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20</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城管执法提能</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377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352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344.16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97.78</w:t>
            </w:r>
            <w:r>
              <w:rPr>
                <w:rFonts w:hint="eastAsia" w:ascii="宋体" w:hAnsi="宋体" w:eastAsia="宋体" w:cs="宋体"/>
                <w:color w:val="auto"/>
                <w:kern w:val="0"/>
                <w:sz w:val="18"/>
                <w:szCs w:val="18"/>
                <w:lang w:val="en-US" w:eastAsia="zh-CN"/>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377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352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344.16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97.78</w:t>
            </w:r>
            <w:r>
              <w:rPr>
                <w:rFonts w:hint="eastAsia" w:ascii="宋体" w:hAnsi="宋体" w:eastAsia="宋体" w:cs="宋体"/>
                <w:color w:val="auto"/>
                <w:kern w:val="0"/>
                <w:sz w:val="18"/>
                <w:szCs w:val="18"/>
                <w:lang w:val="en-US" w:eastAsia="zh-CN"/>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141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开展“强、转、树”等专项行动。进一步提高城市管理执法队伍的政治素质和业务水平，转变工作作风，树立崭新形象；进一步提高城市管理执法队伍的政治素质和业务水平；完善各类规章，建立城管标准化管理制度；开展各类专项整治；狠抓环保任务，打赢污染防治战；构建数字化智慧平台，加强网格化运行与管理。</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继续开展市容秩序、广告整治、环境保护、扫黑除恶等专项整治；严格执法，建立健全执法公式制度、法制审核制度、执法全过程记录制度等，不断规范执法行为，提升城市管理水平。</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18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开展“两节两会”、流动货车、夜市、“五边”、“青春靓城”、“中元节”文明祭祀、学校周边、户外广告、油烟污染及文明城创建等十类专项综合环境整治，出动人力3万余次。</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352</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352</w:t>
            </w:r>
            <w:r>
              <w:rPr>
                <w:rFonts w:hint="eastAsia" w:ascii="宋体" w:hAnsi="宋体" w:eastAsia="宋体" w:cs="宋体"/>
                <w:color w:val="auto"/>
                <w:kern w:val="0"/>
                <w:sz w:val="18"/>
                <w:szCs w:val="18"/>
                <w:lang w:val="en-US" w:eastAsia="zh-CN"/>
              </w:rPr>
              <w:t>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全面提升市容环境品质，让市民群众生活更加美好幸福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20</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财政拨款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352</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352</w:t>
            </w:r>
            <w:r>
              <w:rPr>
                <w:rFonts w:hint="eastAsia" w:ascii="宋体" w:hAnsi="宋体" w:eastAsia="宋体" w:cs="宋体"/>
                <w:color w:val="auto"/>
                <w:kern w:val="0"/>
                <w:sz w:val="18"/>
                <w:szCs w:val="18"/>
                <w:lang w:val="en-US" w:eastAsia="zh-CN"/>
              </w:rPr>
              <w:t>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打造良好营商环境，进一步提升企业和群众的获得感</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全面提升行政执法效能，让市民群众生活更加规范有序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全面提升运行保障能力，让市民群众生活更加舒适安全</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89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全面提升城市市容环境，让市民群众生活更加舒心便利，满意度进一步增强。</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r>
              <w:rPr>
                <w:rFonts w:hint="eastAsia" w:ascii="宋体" w:hAnsi="宋体" w:cs="宋体"/>
                <w:color w:val="auto"/>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bl>
    <w:p/>
    <w:p/>
    <w:p/>
    <w:p/>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20</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第三方公司考核</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67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加强数字城管信息采集监督、考评考核的透明度和公正性，提高广大市民对我市城市管理的满意度</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有效采集、全面监督，实施考评考核，不断提高广大市民对我市城市管理的满意度</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22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主城区76个网格每月采集案件，有效上报总量达 5000条以上；每月对主城区（具体到街办）和非主城区（20个乡镇）进行暗访、考评。（每月定期开展控违查违专项检查工作、文明城创建突击专项检查）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132万元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无</w:t>
            </w:r>
          </w:p>
        </w:tc>
      </w:tr>
      <w:tr>
        <w:tblPrEx>
          <w:tblCellMar>
            <w:top w:w="0" w:type="dxa"/>
            <w:left w:w="108" w:type="dxa"/>
            <w:bottom w:w="0" w:type="dxa"/>
            <w:right w:w="108" w:type="dxa"/>
          </w:tblCellMar>
        </w:tblPrEx>
        <w:trPr>
          <w:trHeight w:val="23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信息采集网格全覆盖，提高数字城管信息采集监督服务的透明度和公正性，确保数字城管系统高效运转；对考评单位城市管理工作按照相关要求进行不定期暗访检查，收集城市管理中存在的问题并出具考评报告，有效解决热点、难点问题。</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无</w:t>
            </w:r>
          </w:p>
        </w:tc>
      </w:tr>
      <w:tr>
        <w:tblPrEx>
          <w:tblCellMar>
            <w:top w:w="0" w:type="dxa"/>
            <w:left w:w="108" w:type="dxa"/>
            <w:bottom w:w="0" w:type="dxa"/>
            <w:right w:w="108" w:type="dxa"/>
          </w:tblCellMar>
        </w:tblPrEx>
        <w:trPr>
          <w:trHeight w:val="3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20</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财政拨款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132万元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打造良好营商环境，进一步提升企业和群众的获得感</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全面提升行政执法效能，让市民群众生活更加规范有序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全面提升运行保障能力，让市民群众生活更加舒适安全</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89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全面提升城市市容环境，让市民群众生活更加舒心便利，满意度进一步增强。</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20</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控违经费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170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ascii="宋体" w:hAnsi="宋体" w:cs="宋体"/>
                <w:kern w:val="0"/>
                <w:sz w:val="18"/>
                <w:szCs w:val="18"/>
              </w:rPr>
              <w:t xml:space="preserve"> </w:t>
            </w:r>
            <w:r>
              <w:rPr>
                <w:rFonts w:hint="eastAsia" w:ascii="宋体" w:hAnsi="宋体" w:cs="宋体"/>
                <w:kern w:val="0"/>
                <w:sz w:val="18"/>
                <w:szCs w:val="18"/>
                <w:lang w:val="en-US" w:eastAsia="zh-CN"/>
              </w:rPr>
              <w:t>力争实现新增违建零正常和存量违建负增长两大目标，基本完成主城区40工程拆违任务，十点探索“零违建”小区创建工作，形成对违法建设的压倒性态势。</w:t>
            </w:r>
            <w:r>
              <w:rPr>
                <w:rFonts w:ascii="宋体" w:hAnsi="宋体" w:cs="宋体"/>
                <w:kern w:val="0"/>
                <w:sz w:val="18"/>
                <w:szCs w:val="18"/>
              </w:rPr>
              <w:t xml:space="preserve"> </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201</w:t>
            </w:r>
            <w:r>
              <w:rPr>
                <w:rFonts w:hint="eastAsia" w:ascii="宋体" w:hAnsi="宋体" w:cs="宋体"/>
                <w:color w:val="auto"/>
                <w:kern w:val="0"/>
                <w:sz w:val="18"/>
                <w:szCs w:val="18"/>
                <w:lang w:val="en-US" w:eastAsia="zh-CN"/>
              </w:rPr>
              <w:t>9</w:t>
            </w:r>
            <w:r>
              <w:rPr>
                <w:rFonts w:hint="eastAsia" w:ascii="宋体" w:hAnsi="宋体" w:eastAsia="宋体" w:cs="宋体"/>
                <w:color w:val="auto"/>
                <w:kern w:val="0"/>
                <w:sz w:val="18"/>
                <w:szCs w:val="18"/>
              </w:rPr>
              <w:t>年以学习贯彻十九大精神为统领，以落实全省违法建设专项治理五年行动的部署和要求为目标，以城市管理综合执法体制改革为契机，以继续深入推进控违查违铁拳行动为抓手，继续在主城区大力开展40工程拆违行动，确保五年行动顺利推进并圆满完成。</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cs="宋体"/>
                <w:kern w:val="0"/>
                <w:sz w:val="18"/>
                <w:szCs w:val="18"/>
                <w:lang w:val="en-US" w:eastAsia="zh-CN"/>
              </w:rPr>
              <w:t>存量违法建筑拆除</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ascii="宋体" w:hAnsi="宋体"/>
                <w:sz w:val="18"/>
                <w:szCs w:val="18"/>
              </w:rPr>
              <w:t>4.96</w:t>
            </w:r>
            <w:r>
              <w:rPr>
                <w:rFonts w:hint="eastAsia" w:ascii="宋体" w:hAnsi="宋体"/>
                <w:sz w:val="18"/>
                <w:szCs w:val="18"/>
              </w:rPr>
              <w:t>万</w:t>
            </w:r>
            <w:r>
              <w:rPr>
                <w:rFonts w:hint="eastAsia" w:ascii="宋体" w:hAnsi="宋体"/>
                <w:sz w:val="18"/>
                <w:szCs w:val="18"/>
                <w:lang w:val="en-US" w:eastAsia="zh-CN"/>
              </w:rPr>
              <w:t>平方米</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ascii="宋体" w:hAnsi="宋体"/>
                <w:sz w:val="18"/>
                <w:szCs w:val="18"/>
              </w:rPr>
              <w:t>4.96</w:t>
            </w:r>
            <w:r>
              <w:rPr>
                <w:rFonts w:hint="eastAsia" w:ascii="宋体" w:hAnsi="宋体"/>
                <w:sz w:val="18"/>
                <w:szCs w:val="18"/>
              </w:rPr>
              <w:t>万</w:t>
            </w:r>
            <w:r>
              <w:rPr>
                <w:rFonts w:hint="eastAsia" w:ascii="宋体" w:hAnsi="宋体"/>
                <w:sz w:val="18"/>
                <w:szCs w:val="18"/>
                <w:lang w:val="en-US" w:eastAsia="zh-CN"/>
              </w:rPr>
              <w:t>平方米</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8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cs="宋体"/>
                <w:kern w:val="0"/>
                <w:sz w:val="18"/>
                <w:szCs w:val="18"/>
              </w:rPr>
              <w:t>新违法建筑及时拆除率</w:t>
            </w:r>
            <w:r>
              <w:rPr>
                <w:rFonts w:hint="eastAsia" w:ascii="宋体" w:cs="宋体"/>
                <w:kern w:val="0"/>
                <w:sz w:val="18"/>
                <w:szCs w:val="18"/>
                <w:lang w:eastAsia="zh-CN"/>
              </w:rPr>
              <w:t>、</w:t>
            </w:r>
            <w:r>
              <w:rPr>
                <w:rFonts w:hint="eastAsia" w:ascii="宋体" w:cs="宋体"/>
                <w:kern w:val="0"/>
                <w:sz w:val="18"/>
                <w:szCs w:val="18"/>
                <w:lang w:val="en-US" w:eastAsia="zh-CN"/>
              </w:rPr>
              <w:t>立案后查处率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20</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6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纳入预算管理的政府性基金基金300万元，财政补助拨款25万元</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325万元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打造良好营商环境，进一步提升企业和群众的获得感</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保持对新增违法建设的高压态势，对新增违法建设零容忍，坚持露头就打，发现就拆，坚决刹风止乱，及时发现、及时拆除新增违法建设的高压态势已基本形成</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控违查违“铁拳行动”，整治乱搭乱建现象，有效地改善了人居环境，提升了城市品质</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cs="宋体"/>
                <w:kern w:val="0"/>
                <w:sz w:val="18"/>
                <w:szCs w:val="18"/>
              </w:rPr>
              <w:t>威慑违法建筑行为的发生</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95</w:t>
            </w:r>
            <w:r>
              <w:rPr>
                <w:rFonts w:hint="eastAsia" w:ascii="宋体" w:hAnsi="宋体" w:eastAsia="宋体" w:cs="宋体"/>
                <w:color w:val="auto"/>
                <w:kern w:val="0"/>
                <w:sz w:val="18"/>
                <w:szCs w:val="18"/>
                <w:lang w:val="en-US" w:eastAsia="zh-CN"/>
              </w:rPr>
              <w:t>%</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2565"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通过攻坚战，群众反复投诉、影响消防通道以及有碍市容观瞻的违法建设被拆除，多年来历史积存、遗留的违建老大难问题得到解决，老旧小区的环境面貌明显改观，得到了市民的一致好评，居民对社区环境的满意度明显提升。</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20</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数字城管指挥中心坐席员经费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81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ascii="宋体" w:hAnsi="宋体" w:cs="宋体"/>
                <w:kern w:val="0"/>
                <w:sz w:val="18"/>
                <w:szCs w:val="18"/>
              </w:rPr>
              <w:t xml:space="preserve"> </w:t>
            </w:r>
            <w:r>
              <w:rPr>
                <w:rFonts w:hint="eastAsia" w:ascii="宋体" w:hAnsi="宋体" w:cs="宋体"/>
                <w:kern w:val="0"/>
                <w:sz w:val="18"/>
                <w:szCs w:val="18"/>
                <w:lang w:val="en-US" w:eastAsia="zh-CN"/>
              </w:rPr>
              <w:t>将鄂州市数字城管12319热线打造成高效、智能、权威、规范的公共服务平台，提高政府公共服务水平和行政效率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数字城管平台稳定、高效运行</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10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rPr>
            </w:pPr>
            <w:r>
              <w:rPr>
                <w:rFonts w:hint="eastAsia" w:ascii="宋体" w:cs="宋体"/>
                <w:kern w:val="0"/>
                <w:sz w:val="18"/>
                <w:szCs w:val="18"/>
                <w:lang w:val="en-US" w:eastAsia="zh-CN"/>
              </w:rPr>
              <w:t>坐席员10人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39万元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39万元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cs="宋体"/>
                <w:kern w:val="0"/>
                <w:sz w:val="18"/>
                <w:szCs w:val="18"/>
              </w:rPr>
              <w:t>话务接通率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20</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6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财政投入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为市民参与城市管理提供多元化的手段，简化市民咨询、投诉、建议的流程，提升城市形象</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让城区风景更加靓丽，人居环境明显改善</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改善居住环境</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95</w:t>
            </w:r>
            <w:r>
              <w:rPr>
                <w:rFonts w:hint="eastAsia" w:ascii="宋体" w:hAnsi="宋体" w:eastAsia="宋体" w:cs="宋体"/>
                <w:color w:val="auto"/>
                <w:kern w:val="0"/>
                <w:sz w:val="18"/>
                <w:szCs w:val="18"/>
                <w:lang w:val="en-US" w:eastAsia="zh-CN"/>
              </w:rPr>
              <w:t>%</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161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畅通信访渠道，及时回应群众诉求，尽力维护人民群众的合法权益</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bl>
    <w:p/>
    <w:p/>
    <w:p/>
    <w:p/>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20</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城乡生活垃圾分类工作经费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81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kern w:val="0"/>
                <w:sz w:val="18"/>
                <w:szCs w:val="18"/>
              </w:rPr>
              <w:t>加快推进我市城乡生活垃圾分类工作，到2021年底，全市建成生活垃圾分类省级示范社区1个，生活垃圾分类省级分类示范村10个。到2022年我市至少有1个区实现生活垃圾分类全覆盖，其他各区、葛店开发区、临空经济区至少有1个街道（乡、镇）基本建成生活垃圾分类示范片区。</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有效治理垃圾，全面改善人居环境。</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rPr>
            </w:pPr>
            <w:r>
              <w:rPr>
                <w:rFonts w:hint="eastAsia" w:ascii="宋体" w:cs="宋体"/>
                <w:kern w:val="0"/>
                <w:sz w:val="18"/>
                <w:szCs w:val="18"/>
                <w:lang w:val="en-US" w:eastAsia="zh-CN"/>
              </w:rPr>
              <w:t>分类示范社区（村）</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11个</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11个</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cs="宋体"/>
                <w:kern w:val="0"/>
                <w:sz w:val="18"/>
                <w:szCs w:val="18"/>
              </w:rPr>
              <w:t>公共机构及相关企事业分类覆盖率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20</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财政投入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提供良好营商环境，为我市城乡融合高质量发展建设提供有力保障</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让城区风景更加美丽，人居环境明显改善</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改善人民群众的人文环境</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95</w:t>
            </w:r>
            <w:r>
              <w:rPr>
                <w:rFonts w:hint="eastAsia" w:ascii="宋体" w:hAnsi="宋体" w:eastAsia="宋体" w:cs="宋体"/>
                <w:color w:val="auto"/>
                <w:kern w:val="0"/>
                <w:sz w:val="18"/>
                <w:szCs w:val="18"/>
                <w:lang w:val="en-US" w:eastAsia="zh-CN"/>
              </w:rPr>
              <w:t>%</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161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群众满意率</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bl>
    <w:p/>
    <w:p/>
    <w:p/>
    <w:p/>
    <w:p/>
    <w:p/>
    <w:p/>
    <w:p/>
    <w:tbl>
      <w:tblPr>
        <w:tblStyle w:val="3"/>
        <w:tblW w:w="9160" w:type="dxa"/>
        <w:jc w:val="center"/>
        <w:tblLayout w:type="fixed"/>
        <w:tblCellMar>
          <w:top w:w="0" w:type="dxa"/>
          <w:left w:w="108" w:type="dxa"/>
          <w:bottom w:w="0" w:type="dxa"/>
          <w:right w:w="108" w:type="dxa"/>
        </w:tblCellMar>
      </w:tblPr>
      <w:tblGrid>
        <w:gridCol w:w="593"/>
        <w:gridCol w:w="988"/>
        <w:gridCol w:w="1121"/>
        <w:gridCol w:w="737"/>
        <w:gridCol w:w="1143"/>
        <w:gridCol w:w="286"/>
        <w:gridCol w:w="859"/>
        <w:gridCol w:w="858"/>
        <w:gridCol w:w="285"/>
        <w:gridCol w:w="286"/>
        <w:gridCol w:w="429"/>
        <w:gridCol w:w="142"/>
        <w:gridCol w:w="716"/>
        <w:gridCol w:w="717"/>
      </w:tblGrid>
      <w:tr>
        <w:tblPrEx>
          <w:tblCellMar>
            <w:top w:w="0" w:type="dxa"/>
            <w:left w:w="108" w:type="dxa"/>
            <w:bottom w:w="0" w:type="dxa"/>
            <w:right w:w="108" w:type="dxa"/>
          </w:tblCellMar>
        </w:tblPrEx>
        <w:trPr>
          <w:trHeight w:val="597" w:hRule="exact"/>
          <w:jc w:val="center"/>
        </w:trPr>
        <w:tc>
          <w:tcPr>
            <w:tcW w:w="9160" w:type="dxa"/>
            <w:gridSpan w:val="14"/>
            <w:tcBorders>
              <w:top w:val="nil"/>
              <w:left w:val="nil"/>
              <w:bottom w:val="nil"/>
              <w:right w:val="nil"/>
            </w:tcBorders>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410" w:hRule="atLeast"/>
          <w:jc w:val="center"/>
        </w:trPr>
        <w:tc>
          <w:tcPr>
            <w:tcW w:w="9160" w:type="dxa"/>
            <w:gridSpan w:val="14"/>
            <w:tcBorders>
              <w:top w:val="nil"/>
              <w:left w:val="nil"/>
              <w:bottom w:val="nil"/>
              <w:right w:val="nil"/>
            </w:tcBorders>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w:t>
            </w:r>
            <w:r>
              <w:rPr>
                <w:rFonts w:hint="eastAsia" w:ascii="宋体" w:hAnsi="宋体" w:eastAsia="宋体" w:cs="宋体"/>
                <w:color w:val="auto"/>
                <w:kern w:val="0"/>
                <w:sz w:val="22"/>
                <w:lang w:val="en-US" w:eastAsia="zh-CN"/>
              </w:rPr>
              <w:t>2020</w:t>
            </w:r>
            <w:r>
              <w:rPr>
                <w:rFonts w:hint="eastAsia" w:ascii="宋体" w:hAnsi="宋体" w:eastAsia="宋体" w:cs="宋体"/>
                <w:color w:val="auto"/>
                <w:kern w:val="0"/>
                <w:sz w:val="22"/>
              </w:rPr>
              <w:t xml:space="preserve"> 年度）</w:t>
            </w:r>
          </w:p>
        </w:tc>
      </w:tr>
      <w:tr>
        <w:tblPrEx>
          <w:tblCellMar>
            <w:top w:w="0" w:type="dxa"/>
            <w:left w:w="108" w:type="dxa"/>
            <w:bottom w:w="0" w:type="dxa"/>
            <w:right w:w="108" w:type="dxa"/>
          </w:tblCellMar>
        </w:tblPrEx>
        <w:trPr>
          <w:trHeight w:val="515" w:hRule="exact"/>
          <w:jc w:val="center"/>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7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环卫作业经费</w:t>
            </w:r>
          </w:p>
        </w:tc>
      </w:tr>
      <w:tr>
        <w:tblPrEx>
          <w:tblCellMar>
            <w:top w:w="0" w:type="dxa"/>
            <w:left w:w="108" w:type="dxa"/>
            <w:bottom w:w="0" w:type="dxa"/>
            <w:right w:w="108" w:type="dxa"/>
          </w:tblCellMar>
        </w:tblPrEx>
        <w:trPr>
          <w:trHeight w:val="504" w:hRule="exact"/>
          <w:jc w:val="center"/>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4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鄂州市城市管理执法委员会</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lang w:eastAsia="zh-CN"/>
              </w:rPr>
              <w:t>鄂州市市容环境卫生管理局</w:t>
            </w:r>
          </w:p>
        </w:tc>
      </w:tr>
      <w:tr>
        <w:tblPrEx>
          <w:tblCellMar>
            <w:top w:w="0" w:type="dxa"/>
            <w:left w:w="108" w:type="dxa"/>
            <w:bottom w:w="0" w:type="dxa"/>
            <w:right w:w="108" w:type="dxa"/>
          </w:tblCellMar>
        </w:tblPrEx>
        <w:trPr>
          <w:trHeight w:val="394" w:hRule="exact"/>
          <w:jc w:val="center"/>
        </w:trPr>
        <w:tc>
          <w:tcPr>
            <w:tcW w:w="15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4261</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4261</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4261</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4261</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4261</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4261</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上年结转资金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其他资金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5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13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796" w:hRule="exact"/>
          <w:jc w:val="center"/>
        </w:trPr>
        <w:tc>
          <w:tcPr>
            <w:tcW w:w="5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134" w:type="dxa"/>
            <w:gridSpan w:val="6"/>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深入开展</w:t>
            </w:r>
            <w:bookmarkStart w:id="0" w:name="_GoBack"/>
            <w:bookmarkEnd w:id="0"/>
            <w:r>
              <w:rPr>
                <w:rFonts w:hint="eastAsia" w:ascii="宋体" w:hAnsi="宋体" w:eastAsia="宋体" w:cs="宋体"/>
                <w:color w:val="auto"/>
                <w:kern w:val="0"/>
                <w:sz w:val="18"/>
                <w:szCs w:val="18"/>
                <w:lang w:val="en-US" w:eastAsia="zh-CN"/>
              </w:rPr>
              <w:t>环卫作业改革创新，实行环卫作业精细化管理，提升环卫作业效能，优化质量管理和文明服务水平，打造优美的市容环境卫生。</w:t>
            </w:r>
          </w:p>
          <w:p>
            <w:pPr>
              <w:widowControl/>
              <w:spacing w:line="240" w:lineRule="exact"/>
              <w:jc w:val="both"/>
              <w:rPr>
                <w:rFonts w:hint="default" w:ascii="宋体" w:hAnsi="宋体" w:eastAsia="宋体" w:cs="宋体"/>
                <w:color w:val="auto"/>
                <w:kern w:val="0"/>
                <w:sz w:val="18"/>
                <w:szCs w:val="18"/>
                <w:lang w:val="en-US" w:eastAsia="zh-CN"/>
              </w:rPr>
            </w:pP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市容环境卫生得到了有效提升，通过文明城市、卫生城市的考核。</w:t>
            </w:r>
          </w:p>
        </w:tc>
      </w:tr>
      <w:tr>
        <w:tblPrEx>
          <w:tblCellMar>
            <w:top w:w="0" w:type="dxa"/>
            <w:left w:w="108" w:type="dxa"/>
            <w:bottom w:w="0" w:type="dxa"/>
            <w:right w:w="108" w:type="dxa"/>
          </w:tblCellMar>
        </w:tblPrEx>
        <w:trPr>
          <w:trHeight w:val="701" w:hRule="exact"/>
          <w:jc w:val="center"/>
        </w:trPr>
        <w:tc>
          <w:tcPr>
            <w:tcW w:w="593"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完成绩效表中申报的数量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保洁质量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p>
            <w:pPr>
              <w:widowControl/>
              <w:spacing w:line="240" w:lineRule="exact"/>
              <w:jc w:val="center"/>
              <w:rPr>
                <w:rFonts w:hint="default" w:ascii="宋体" w:hAnsi="宋体" w:eastAsia="宋体" w:cs="宋体"/>
                <w:color w:val="auto"/>
                <w:kern w:val="0"/>
                <w:sz w:val="18"/>
                <w:szCs w:val="18"/>
                <w:lang w:val="en-US" w:eastAsia="zh-CN"/>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指标2：</w:t>
            </w:r>
            <w:r>
              <w:rPr>
                <w:rFonts w:hint="eastAsia" w:ascii="宋体" w:hAnsi="宋体" w:eastAsia="宋体" w:cs="宋体"/>
                <w:color w:val="auto"/>
                <w:kern w:val="0"/>
                <w:sz w:val="18"/>
                <w:szCs w:val="18"/>
                <w:lang w:eastAsia="zh-CN"/>
              </w:rPr>
              <w:t>管理水平</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按时间保质保量完成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按预定成本完成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bidi w:val="0"/>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解决灵活就业人员</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提升城市卫生质量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优化鄂州环境</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完善公共设施</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市民满意率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08" w:hRule="exact"/>
          <w:jc w:val="center"/>
        </w:trPr>
        <w:tc>
          <w:tcPr>
            <w:tcW w:w="658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92</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bl>
    <w:p/>
    <w:p/>
    <w:tbl>
      <w:tblPr>
        <w:tblStyle w:val="3"/>
        <w:tblW w:w="9160" w:type="dxa"/>
        <w:jc w:val="center"/>
        <w:tblLayout w:type="fixed"/>
        <w:tblCellMar>
          <w:top w:w="0" w:type="dxa"/>
          <w:left w:w="108" w:type="dxa"/>
          <w:bottom w:w="0" w:type="dxa"/>
          <w:right w:w="108" w:type="dxa"/>
        </w:tblCellMar>
      </w:tblPr>
      <w:tblGrid>
        <w:gridCol w:w="593"/>
        <w:gridCol w:w="988"/>
        <w:gridCol w:w="1121"/>
        <w:gridCol w:w="737"/>
        <w:gridCol w:w="1143"/>
        <w:gridCol w:w="286"/>
        <w:gridCol w:w="859"/>
        <w:gridCol w:w="858"/>
        <w:gridCol w:w="285"/>
        <w:gridCol w:w="286"/>
        <w:gridCol w:w="429"/>
        <w:gridCol w:w="142"/>
        <w:gridCol w:w="716"/>
        <w:gridCol w:w="717"/>
      </w:tblGrid>
      <w:tr>
        <w:tblPrEx>
          <w:tblCellMar>
            <w:top w:w="0" w:type="dxa"/>
            <w:left w:w="108" w:type="dxa"/>
            <w:bottom w:w="0" w:type="dxa"/>
            <w:right w:w="108" w:type="dxa"/>
          </w:tblCellMar>
        </w:tblPrEx>
        <w:trPr>
          <w:trHeight w:val="597" w:hRule="exact"/>
          <w:jc w:val="center"/>
        </w:trPr>
        <w:tc>
          <w:tcPr>
            <w:tcW w:w="9160" w:type="dxa"/>
            <w:gridSpan w:val="14"/>
            <w:tcBorders>
              <w:top w:val="nil"/>
              <w:left w:val="nil"/>
              <w:bottom w:val="nil"/>
              <w:right w:val="nil"/>
            </w:tcBorders>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410" w:hRule="atLeast"/>
          <w:jc w:val="center"/>
        </w:trPr>
        <w:tc>
          <w:tcPr>
            <w:tcW w:w="9160" w:type="dxa"/>
            <w:gridSpan w:val="14"/>
            <w:tcBorders>
              <w:top w:val="nil"/>
              <w:left w:val="nil"/>
              <w:bottom w:val="nil"/>
              <w:right w:val="nil"/>
            </w:tcBorders>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w:t>
            </w:r>
            <w:r>
              <w:rPr>
                <w:rFonts w:hint="eastAsia" w:ascii="宋体" w:hAnsi="宋体" w:eastAsia="宋体" w:cs="宋体"/>
                <w:color w:val="auto"/>
                <w:kern w:val="0"/>
                <w:sz w:val="22"/>
                <w:lang w:val="en-US" w:eastAsia="zh-CN"/>
              </w:rPr>
              <w:t>2020</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515" w:hRule="exact"/>
          <w:jc w:val="center"/>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7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垃圾处置运行经费</w:t>
            </w:r>
          </w:p>
        </w:tc>
      </w:tr>
      <w:tr>
        <w:tblPrEx>
          <w:tblCellMar>
            <w:top w:w="0" w:type="dxa"/>
            <w:left w:w="108" w:type="dxa"/>
            <w:bottom w:w="0" w:type="dxa"/>
            <w:right w:w="108" w:type="dxa"/>
          </w:tblCellMar>
        </w:tblPrEx>
        <w:trPr>
          <w:trHeight w:val="504" w:hRule="exact"/>
          <w:jc w:val="center"/>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4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鄂州市城市管理执法委员会</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lang w:eastAsia="zh-CN"/>
              </w:rPr>
              <w:t>鄂州市市容环境卫生管理局</w:t>
            </w:r>
          </w:p>
        </w:tc>
      </w:tr>
      <w:tr>
        <w:tblPrEx>
          <w:tblCellMar>
            <w:top w:w="0" w:type="dxa"/>
            <w:left w:w="108" w:type="dxa"/>
            <w:bottom w:w="0" w:type="dxa"/>
            <w:right w:w="108" w:type="dxa"/>
          </w:tblCellMar>
        </w:tblPrEx>
        <w:trPr>
          <w:trHeight w:val="394" w:hRule="exact"/>
          <w:jc w:val="center"/>
        </w:trPr>
        <w:tc>
          <w:tcPr>
            <w:tcW w:w="15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上年结转资金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其他资金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5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13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796" w:hRule="exact"/>
          <w:jc w:val="center"/>
        </w:trPr>
        <w:tc>
          <w:tcPr>
            <w:tcW w:w="5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134" w:type="dxa"/>
            <w:gridSpan w:val="6"/>
            <w:tcBorders>
              <w:top w:val="single" w:color="auto" w:sz="4" w:space="0"/>
              <w:left w:val="nil"/>
              <w:bottom w:val="single" w:color="auto" w:sz="4" w:space="0"/>
              <w:right w:val="single" w:color="auto" w:sz="4" w:space="0"/>
            </w:tcBorders>
            <w:vAlign w:val="center"/>
          </w:tcPr>
          <w:p>
            <w:pPr>
              <w:spacing w:line="240" w:lineRule="auto"/>
              <w:ind w:firstLine="270" w:firstLineChars="150"/>
              <w:rPr>
                <w:sz w:val="18"/>
                <w:szCs w:val="18"/>
              </w:rPr>
            </w:pPr>
            <w:r>
              <w:rPr>
                <w:rFonts w:hint="eastAsia" w:ascii="仿宋" w:hAnsi="仿宋" w:eastAsia="仿宋"/>
                <w:b w:val="0"/>
                <w:bCs/>
                <w:sz w:val="18"/>
                <w:szCs w:val="18"/>
              </w:rPr>
              <w:t>推进</w:t>
            </w:r>
            <w:r>
              <w:rPr>
                <w:rFonts w:hint="eastAsia" w:ascii="仿宋" w:hAnsi="仿宋" w:eastAsia="仿宋" w:cs="仿宋"/>
                <w:b w:val="0"/>
                <w:bCs/>
                <w:color w:val="000000"/>
                <w:spacing w:val="8"/>
                <w:sz w:val="18"/>
                <w:szCs w:val="18"/>
              </w:rPr>
              <w:t>垃圾无害化资源化处理</w:t>
            </w:r>
            <w:r>
              <w:rPr>
                <w:rFonts w:hint="eastAsia" w:cs="仿宋"/>
                <w:b w:val="0"/>
                <w:bCs/>
                <w:color w:val="000000"/>
                <w:spacing w:val="8"/>
                <w:sz w:val="18"/>
                <w:szCs w:val="18"/>
                <w:lang w:eastAsia="zh-CN"/>
              </w:rPr>
              <w:t>，</w:t>
            </w:r>
            <w:r>
              <w:rPr>
                <w:rFonts w:hint="eastAsia" w:ascii="仿宋" w:hAnsi="仿宋" w:eastAsia="仿宋"/>
                <w:sz w:val="18"/>
                <w:szCs w:val="18"/>
              </w:rPr>
              <w:t>充分</w:t>
            </w:r>
            <w:r>
              <w:rPr>
                <w:rFonts w:hint="eastAsia" w:ascii="仿宋" w:hAnsi="仿宋" w:eastAsia="仿宋" w:cs="仿宋"/>
                <w:color w:val="000000"/>
                <w:spacing w:val="8"/>
                <w:sz w:val="18"/>
                <w:szCs w:val="18"/>
              </w:rPr>
              <w:t>保障垃圾“收集、运输、处理”正常运转，实现垃圾的无害化、减量化、资源化处理，垃圾渗滤液达标排放。</w:t>
            </w:r>
            <w:r>
              <w:rPr>
                <w:spacing w:val="-10"/>
                <w:sz w:val="18"/>
                <w:szCs w:val="18"/>
              </w:rPr>
              <w:t>营造整洁、靓丽、优美的</w:t>
            </w:r>
            <w:r>
              <w:rPr>
                <w:rFonts w:hint="eastAsia"/>
                <w:spacing w:val="-10"/>
                <w:sz w:val="18"/>
                <w:szCs w:val="18"/>
                <w:lang w:eastAsia="zh-CN"/>
              </w:rPr>
              <w:t>城市环境</w:t>
            </w:r>
            <w:r>
              <w:rPr>
                <w:spacing w:val="-4"/>
                <w:sz w:val="18"/>
                <w:szCs w:val="18"/>
              </w:rPr>
              <w:t>，服务市民</w:t>
            </w:r>
            <w:r>
              <w:rPr>
                <w:rFonts w:hint="eastAsia"/>
                <w:spacing w:val="-4"/>
                <w:sz w:val="18"/>
                <w:szCs w:val="18"/>
                <w:lang w:eastAsia="zh-CN"/>
              </w:rPr>
              <w:t>，</w:t>
            </w:r>
            <w:r>
              <w:rPr>
                <w:spacing w:val="-4"/>
                <w:sz w:val="18"/>
                <w:szCs w:val="18"/>
              </w:rPr>
              <w:t>改善人居环境，打造宜居城市。</w:t>
            </w:r>
          </w:p>
          <w:p>
            <w:pPr>
              <w:spacing w:line="560" w:lineRule="exact"/>
              <w:rPr>
                <w:sz w:val="28"/>
                <w:szCs w:val="28"/>
              </w:rPr>
            </w:pPr>
          </w:p>
          <w:p>
            <w:pPr>
              <w:widowControl/>
              <w:spacing w:line="240" w:lineRule="exact"/>
              <w:jc w:val="center"/>
              <w:rPr>
                <w:rFonts w:hint="default" w:ascii="宋体" w:hAnsi="宋体" w:eastAsia="宋体" w:cs="宋体"/>
                <w:color w:val="auto"/>
                <w:kern w:val="0"/>
                <w:sz w:val="18"/>
                <w:szCs w:val="18"/>
                <w:lang w:val="en-US" w:eastAsia="zh-CN"/>
              </w:rPr>
            </w:pP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完成了</w:t>
            </w:r>
            <w:r>
              <w:rPr>
                <w:rFonts w:hint="default" w:ascii="宋体" w:hAnsi="宋体" w:eastAsia="宋体" w:cs="宋体"/>
                <w:color w:val="auto"/>
                <w:kern w:val="0"/>
                <w:sz w:val="18"/>
                <w:szCs w:val="18"/>
                <w:lang w:val="en-US" w:eastAsia="zh-CN"/>
              </w:rPr>
              <w:t>垃圾的无害化、减量化、资源化处理。渗滤液达标排放</w:t>
            </w: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701" w:hRule="exact"/>
          <w:jc w:val="center"/>
        </w:trPr>
        <w:tc>
          <w:tcPr>
            <w:tcW w:w="593"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完成绩效表中申报的数量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保洁质量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p>
            <w:pPr>
              <w:widowControl/>
              <w:spacing w:line="240" w:lineRule="exact"/>
              <w:jc w:val="center"/>
              <w:rPr>
                <w:rFonts w:hint="default" w:ascii="宋体" w:hAnsi="宋体" w:eastAsia="宋体" w:cs="宋体"/>
                <w:color w:val="auto"/>
                <w:kern w:val="0"/>
                <w:sz w:val="18"/>
                <w:szCs w:val="18"/>
                <w:lang w:val="en-US" w:eastAsia="zh-CN"/>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指标2：</w:t>
            </w:r>
            <w:r>
              <w:rPr>
                <w:rFonts w:hint="eastAsia" w:ascii="宋体" w:hAnsi="宋体" w:eastAsia="宋体" w:cs="宋体"/>
                <w:color w:val="auto"/>
                <w:kern w:val="0"/>
                <w:sz w:val="18"/>
                <w:szCs w:val="18"/>
                <w:lang w:eastAsia="zh-CN"/>
              </w:rPr>
              <w:t>管理水平</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按时间保质保量完成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按预定成本完成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bidi w:val="0"/>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解决灵活就业人员</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提升城市卫生质量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优化鄂州环境</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完善公共设施</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市民满意率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08" w:hRule="exact"/>
          <w:jc w:val="center"/>
        </w:trPr>
        <w:tc>
          <w:tcPr>
            <w:tcW w:w="658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92</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bl>
    <w:p/>
    <w:tbl>
      <w:tblPr>
        <w:tblStyle w:val="3"/>
        <w:tblW w:w="9402" w:type="dxa"/>
        <w:jc w:val="center"/>
        <w:tblLayout w:type="fixed"/>
        <w:tblCellMar>
          <w:top w:w="0" w:type="dxa"/>
          <w:left w:w="108" w:type="dxa"/>
          <w:bottom w:w="0" w:type="dxa"/>
          <w:right w:w="108" w:type="dxa"/>
        </w:tblCellMar>
      </w:tblPr>
      <w:tblGrid>
        <w:gridCol w:w="832"/>
        <w:gridCol w:w="850"/>
        <w:gridCol w:w="993"/>
        <w:gridCol w:w="1057"/>
        <w:gridCol w:w="644"/>
        <w:gridCol w:w="490"/>
        <w:gridCol w:w="1069"/>
        <w:gridCol w:w="916"/>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402" w:type="dxa"/>
            <w:gridSpan w:val="14"/>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402" w:type="dxa"/>
            <w:gridSpan w:val="14"/>
            <w:tcBorders>
              <w:top w:val="nil"/>
              <w:left w:val="nil"/>
              <w:bottom w:val="nil"/>
              <w:right w:val="nil"/>
            </w:tcBorders>
            <w:noWrap w:val="0"/>
            <w:vAlign w:val="top"/>
          </w:tcPr>
          <w:p>
            <w:pPr>
              <w:widowControl/>
              <w:jc w:val="center"/>
              <w:rPr>
                <w:rFonts w:ascii="宋体" w:hAnsi="宋体" w:cs="宋体"/>
                <w:kern w:val="0"/>
                <w:sz w:val="22"/>
              </w:rPr>
            </w:pPr>
            <w:r>
              <w:rPr>
                <w:rFonts w:hint="eastAsia" w:ascii="宋体" w:hAnsi="宋体" w:cs="宋体"/>
                <w:kern w:val="0"/>
                <w:sz w:val="22"/>
              </w:rPr>
              <w:t>（2020年度）</w:t>
            </w:r>
          </w:p>
        </w:tc>
      </w:tr>
      <w:tr>
        <w:tblPrEx>
          <w:tblCellMar>
            <w:top w:w="0" w:type="dxa"/>
            <w:left w:w="108" w:type="dxa"/>
            <w:bottom w:w="0" w:type="dxa"/>
            <w:right w:w="108" w:type="dxa"/>
          </w:tblCellMar>
        </w:tblPrEx>
        <w:trPr>
          <w:trHeight w:val="300" w:hRule="exact"/>
          <w:jc w:val="center"/>
        </w:trPr>
        <w:tc>
          <w:tcPr>
            <w:tcW w:w="16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72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2020年市政设施养护</w:t>
            </w:r>
          </w:p>
        </w:tc>
      </w:tr>
      <w:tr>
        <w:tblPrEx>
          <w:tblCellMar>
            <w:top w:w="0" w:type="dxa"/>
            <w:left w:w="108" w:type="dxa"/>
            <w:bottom w:w="0" w:type="dxa"/>
            <w:right w:w="108" w:type="dxa"/>
          </w:tblCellMar>
        </w:tblPrEx>
        <w:trPr>
          <w:trHeight w:val="300" w:hRule="exact"/>
          <w:jc w:val="center"/>
        </w:trPr>
        <w:tc>
          <w:tcPr>
            <w:tcW w:w="16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5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鄂州市城管委</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鄂州市市政设施管理处</w:t>
            </w:r>
          </w:p>
        </w:tc>
      </w:tr>
      <w:tr>
        <w:tblPrEx>
          <w:tblCellMar>
            <w:top w:w="0" w:type="dxa"/>
            <w:left w:w="108" w:type="dxa"/>
            <w:bottom w:w="0" w:type="dxa"/>
            <w:right w:w="108" w:type="dxa"/>
          </w:tblCellMar>
        </w:tblPrEx>
        <w:trPr>
          <w:trHeight w:val="300" w:hRule="exact"/>
          <w:jc w:val="center"/>
        </w:trPr>
        <w:tc>
          <w:tcPr>
            <w:tcW w:w="16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753</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99.73%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753</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8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1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6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2162" w:hRule="exact"/>
          <w:jc w:val="center"/>
        </w:trPr>
        <w:tc>
          <w:tcPr>
            <w:tcW w:w="8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1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1、加强城市道路管理，保障城市道路完好，充分发挥城市道路功能，促进城市经济和社会发展；维护吴楚大道东段交通及球团矿货运铁路安全 2、为加强城市桥梁养护工作，提高城市桥梁养护水平，保障城市桥梁完好和安全运行 3、加强城市道路和排水设施管理，保障城市道路和排水设施的使用功能，促进我市经济和社会发展 4、加强城市夜间设施维修养护，确保城市照明设施完好，充分发挥城市照明设施的功能，为美化城市作贡献</w:t>
            </w:r>
          </w:p>
        </w:tc>
        <w:tc>
          <w:tcPr>
            <w:tcW w:w="346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1、我市城区道路设施完好率达95％以上、保障吴楚大道东段与球团矿铁路平交口运行安全率达100％ 2、确保桥梁安全运行，各桥年度技术状态评估达到三级及以上 3、我市城区排水畅通率达90％以上 4、城区亮化设施亮灯率达98％以上</w:t>
            </w:r>
          </w:p>
        </w:tc>
      </w:tr>
      <w:tr>
        <w:tblPrEx>
          <w:tblCellMar>
            <w:top w:w="0" w:type="dxa"/>
            <w:left w:w="108" w:type="dxa"/>
            <w:bottom w:w="0" w:type="dxa"/>
            <w:right w:w="108" w:type="dxa"/>
          </w:tblCellMar>
        </w:tblPrEx>
        <w:trPr>
          <w:trHeight w:val="533" w:hRule="exact"/>
          <w:jc w:val="center"/>
        </w:trPr>
        <w:tc>
          <w:tcPr>
            <w:tcW w:w="83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993"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道路养护面积</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589.05万平方米</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排水管网养护长度</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754.803千米</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桥梁养护面积</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100.732千平方米</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亮化设施维修</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各类灯具5044盏</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维修合格率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养护合格率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巡查合格率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成本控制额</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753万元</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751万元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设施完好率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95%以上</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95%以上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维护市民居住环境</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社会满意度</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95%以上</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95%以上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85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tbl>
      <w:tblPr>
        <w:tblStyle w:val="3"/>
        <w:tblpPr w:leftFromText="180" w:rightFromText="180" w:vertAnchor="text" w:horzAnchor="page" w:tblpX="1592" w:tblpY="856"/>
        <w:tblOverlap w:val="never"/>
        <w:tblW w:w="9080" w:type="dxa"/>
        <w:tblInd w:w="0" w:type="dxa"/>
        <w:tblLayout w:type="fixed"/>
        <w:tblCellMar>
          <w:top w:w="0" w:type="dxa"/>
          <w:left w:w="108" w:type="dxa"/>
          <w:bottom w:w="0" w:type="dxa"/>
          <w:right w:w="108" w:type="dxa"/>
        </w:tblCellMar>
      </w:tblPr>
      <w:tblGrid>
        <w:gridCol w:w="588"/>
        <w:gridCol w:w="980"/>
        <w:gridCol w:w="1112"/>
        <w:gridCol w:w="730"/>
        <w:gridCol w:w="946"/>
        <w:gridCol w:w="188"/>
        <w:gridCol w:w="1134"/>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trPr>
        <w:tc>
          <w:tcPr>
            <w:tcW w:w="9080" w:type="dxa"/>
            <w:gridSpan w:val="14"/>
            <w:tcBorders>
              <w:top w:val="nil"/>
              <w:left w:val="nil"/>
              <w:bottom w:val="nil"/>
              <w:right w:val="nil"/>
            </w:tcBorders>
            <w:noWrap w:val="0"/>
            <w:vAlign w:val="top"/>
          </w:tcPr>
          <w:p>
            <w:pPr>
              <w:widowControl/>
              <w:jc w:val="center"/>
              <w:rPr>
                <w:rFonts w:ascii="宋体" w:hAnsi="宋体" w:cs="宋体"/>
                <w:kern w:val="0"/>
                <w:sz w:val="22"/>
              </w:rPr>
            </w:pPr>
            <w:r>
              <w:rPr>
                <w:rFonts w:hint="eastAsia" w:ascii="宋体" w:hAnsi="宋体" w:cs="宋体"/>
                <w:kern w:val="0"/>
                <w:sz w:val="22"/>
              </w:rPr>
              <w:t>（2020年度）</w:t>
            </w:r>
          </w:p>
        </w:tc>
      </w:tr>
      <w:tr>
        <w:tblPrEx>
          <w:tblCellMar>
            <w:top w:w="0" w:type="dxa"/>
            <w:left w:w="108" w:type="dxa"/>
            <w:bottom w:w="0" w:type="dxa"/>
            <w:right w:w="108" w:type="dxa"/>
          </w:tblCellMar>
        </w:tblPrEx>
        <w:trPr>
          <w:trHeight w:val="300" w:hRule="exact"/>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2020年市政设施巡查费</w:t>
            </w:r>
          </w:p>
        </w:tc>
      </w:tr>
      <w:tr>
        <w:tblPrEx>
          <w:tblCellMar>
            <w:top w:w="0" w:type="dxa"/>
            <w:left w:w="108" w:type="dxa"/>
            <w:bottom w:w="0" w:type="dxa"/>
            <w:right w:w="108" w:type="dxa"/>
          </w:tblCellMar>
        </w:tblPrEx>
        <w:trPr>
          <w:trHeight w:val="300" w:hRule="exact"/>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鄂州市城管委</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鄂州市市政设施管理处</w:t>
            </w:r>
          </w:p>
        </w:tc>
      </w:tr>
      <w:tr>
        <w:tblPrEx>
          <w:tblCellMar>
            <w:top w:w="0" w:type="dxa"/>
            <w:left w:w="108" w:type="dxa"/>
            <w:bottom w:w="0" w:type="dxa"/>
            <w:right w:w="108" w:type="dxa"/>
          </w:tblCellMar>
        </w:tblPrEx>
        <w:trPr>
          <w:trHeight w:val="300" w:hRule="exact"/>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53" w:hRule="exact"/>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保障我市城区道路、桥梁、排水及其附属设施完好率达95％以上</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我市城区道路、桥梁、排水及其附属设施完好率达95％以上</w:t>
            </w:r>
          </w:p>
        </w:tc>
      </w:tr>
      <w:tr>
        <w:tblPrEx>
          <w:tblCellMar>
            <w:top w:w="0" w:type="dxa"/>
            <w:left w:w="108" w:type="dxa"/>
            <w:bottom w:w="0" w:type="dxa"/>
            <w:right w:w="108" w:type="dxa"/>
          </w:tblCellMar>
        </w:tblPrEx>
        <w:trPr>
          <w:trHeight w:val="533" w:hRule="exact"/>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沥青砼路面</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345.84万平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水泥砼路面</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105.43万平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人行道</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137.78万平方米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路名牌</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843块</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桥梁</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100.73千平方米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下水道</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754.803千米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环湖格栅</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19座</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护栏管</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0.91千米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巡查合格率</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指标1：成本控制额率</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755万元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755万元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指标1：设施完好率</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维护市民居住环境</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指标1：社会满意度</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指标2：</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088"/>
        <w:gridCol w:w="46"/>
        <w:gridCol w:w="946"/>
        <w:gridCol w:w="1039"/>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cs="宋体"/>
                <w:kern w:val="0"/>
                <w:sz w:val="22"/>
              </w:rPr>
            </w:pPr>
            <w:r>
              <w:rPr>
                <w:rFonts w:hint="eastAsia" w:ascii="宋体" w:hAnsi="宋体" w:cs="宋体"/>
                <w:kern w:val="0"/>
                <w:sz w:val="22"/>
              </w:rPr>
              <w:t>（2020年度）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2020年专项整治项目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392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鄂州市城管委</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鄂州市市政设施管理处</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49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5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608"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49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应急排渍达标率100％、影响设施安全运行障碍物拆除率达100％、共享单车综合整治有效率达95％以上、停车位施划达标率达95％以上</w:t>
            </w:r>
          </w:p>
        </w:tc>
        <w:tc>
          <w:tcPr>
            <w:tcW w:w="35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应急排渍达标率100％、影响设施安全运行障碍物拆除率达100％、共享单车综合整治有效率达95％以上、停车位施划达标率达95％以上</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施划停车泊位</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20000㎡</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20000㎡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清理违章占道等</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验收合格</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合格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合格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及时完成</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成本控制额</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145万元</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维护市民居住环境</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社会满意度</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95%以上</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95%以上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pStyle w:val="2"/>
        <w:rPr>
          <w:sz w:val="28"/>
          <w:szCs w:val="28"/>
        </w:rPr>
      </w:pPr>
    </w:p>
    <w:p/>
    <w:p/>
    <w:p/>
    <w:tbl>
      <w:tblPr>
        <w:tblStyle w:val="3"/>
        <w:tblW w:w="125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6"/>
        <w:gridCol w:w="564"/>
        <w:gridCol w:w="7"/>
        <w:gridCol w:w="120"/>
        <w:gridCol w:w="555"/>
        <w:gridCol w:w="277"/>
        <w:gridCol w:w="349"/>
        <w:gridCol w:w="470"/>
        <w:gridCol w:w="660"/>
        <w:gridCol w:w="505"/>
        <w:gridCol w:w="976"/>
        <w:gridCol w:w="834"/>
        <w:gridCol w:w="54"/>
        <w:gridCol w:w="862"/>
        <w:gridCol w:w="114"/>
        <w:gridCol w:w="1105"/>
        <w:gridCol w:w="647"/>
        <w:gridCol w:w="329"/>
        <w:gridCol w:w="755"/>
        <w:gridCol w:w="222"/>
        <w:gridCol w:w="343"/>
        <w:gridCol w:w="84"/>
        <w:gridCol w:w="285"/>
        <w:gridCol w:w="1447"/>
        <w:gridCol w:w="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2149" w:type="dxa"/>
          <w:trHeight w:val="1200" w:hRule="atLeast"/>
        </w:trPr>
        <w:tc>
          <w:tcPr>
            <w:tcW w:w="646" w:type="dxa"/>
            <w:tcBorders>
              <w:top w:val="nil"/>
              <w:left w:val="nil"/>
              <w:bottom w:val="nil"/>
              <w:right w:val="nil"/>
            </w:tcBorders>
            <w:shd w:val="clear" w:color="auto" w:fill="auto"/>
            <w:vAlign w:val="top"/>
          </w:tcPr>
          <w:p>
            <w:pPr>
              <w:keepNext w:val="0"/>
              <w:keepLines w:val="0"/>
              <w:widowControl/>
              <w:suppressLineNumbers w:val="0"/>
              <w:ind w:firstLineChars="100"/>
              <w:jc w:val="left"/>
              <w:textAlignment w:val="top"/>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附件2</w:t>
            </w:r>
          </w:p>
        </w:tc>
        <w:tc>
          <w:tcPr>
            <w:tcW w:w="9748"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eastAsia" w:ascii="宋体" w:hAnsi="宋体" w:eastAsia="宋体" w:cs="宋体"/>
                <w:b/>
                <w:bCs/>
                <w:i w:val="0"/>
                <w:iCs w:val="0"/>
                <w:color w:val="000000"/>
                <w:kern w:val="0"/>
                <w:sz w:val="29"/>
                <w:szCs w:val="29"/>
                <w:u w:val="none"/>
                <w:lang w:val="en-US" w:eastAsia="zh-CN" w:bidi="ar"/>
              </w:rPr>
              <w:t>鄂州市绿化管理处2020保运转专项（项目）绩效目标自评表</w:t>
            </w:r>
            <w:r>
              <w:rPr>
                <w:rFonts w:hint="eastAsia" w:ascii="宋体" w:hAnsi="宋体" w:eastAsia="宋体" w:cs="宋体"/>
                <w:b/>
                <w:bCs/>
                <w:i w:val="0"/>
                <w:iCs w:val="0"/>
                <w:color w:val="000000"/>
                <w:kern w:val="0"/>
                <w:sz w:val="29"/>
                <w:szCs w:val="29"/>
                <w:u w:val="none"/>
                <w:lang w:val="en-US" w:eastAsia="zh-CN" w:bidi="ar"/>
              </w:rPr>
              <w:br w:type="textWrapping"/>
            </w:r>
            <w:r>
              <w:rPr>
                <w:rStyle w:val="16"/>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300" w:hRule="atLeast"/>
        </w:trPr>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18"/>
                <w:szCs w:val="18"/>
                <w:u w:val="none"/>
              </w:rPr>
            </w:pPr>
            <w:r>
              <w:rPr>
                <w:rStyle w:val="17"/>
                <w:lang w:val="en-US" w:eastAsia="zh-CN" w:bidi="ar"/>
              </w:rPr>
              <w:t>专项（项目）名称</w:t>
            </w:r>
          </w:p>
        </w:tc>
        <w:tc>
          <w:tcPr>
            <w:tcW w:w="8488" w:type="dxa"/>
            <w:gridSpan w:val="1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2020年保运转项目</w:t>
            </w:r>
          </w:p>
        </w:tc>
        <w:tc>
          <w:tcPr>
            <w:tcW w:w="2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300" w:hRule="atLeast"/>
        </w:trPr>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18"/>
                <w:szCs w:val="18"/>
                <w:u w:val="none"/>
              </w:rPr>
            </w:pPr>
            <w:r>
              <w:rPr>
                <w:rStyle w:val="17"/>
                <w:lang w:val="en-US" w:eastAsia="zh-CN" w:bidi="ar"/>
              </w:rPr>
              <w:t>主管部门</w:t>
            </w:r>
          </w:p>
        </w:tc>
        <w:tc>
          <w:tcPr>
            <w:tcW w:w="2812"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鄂州市园林绿化管理局</w:t>
            </w:r>
          </w:p>
        </w:tc>
        <w:tc>
          <w:tcPr>
            <w:tcW w:w="186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实施单位</w:t>
            </w: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600"/>
              <w:jc w:val="left"/>
              <w:textAlignment w:val="top"/>
              <w:rPr>
                <w:rFonts w:hint="eastAsia" w:ascii="宋体" w:hAnsi="宋体" w:eastAsia="宋体" w:cs="宋体"/>
                <w:i w:val="0"/>
                <w:iCs w:val="0"/>
                <w:color w:val="000000"/>
                <w:sz w:val="18"/>
                <w:szCs w:val="18"/>
                <w:u w:val="none"/>
              </w:rPr>
            </w:pPr>
            <w:r>
              <w:rPr>
                <w:rStyle w:val="17"/>
                <w:lang w:val="en-US" w:eastAsia="zh-CN" w:bidi="ar"/>
              </w:rPr>
              <w:t>鄂州市绿化管理处</w:t>
            </w:r>
          </w:p>
        </w:tc>
        <w:tc>
          <w:tcPr>
            <w:tcW w:w="2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570" w:hRule="atLeast"/>
        </w:trPr>
        <w:tc>
          <w:tcPr>
            <w:tcW w:w="134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Style w:val="17"/>
                <w:lang w:val="en-US" w:eastAsia="zh-CN" w:bidi="ar"/>
              </w:rPr>
              <w:t>项目资金（万元）</w:t>
            </w:r>
          </w:p>
        </w:tc>
        <w:tc>
          <w:tcPr>
            <w:tcW w:w="16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000000"/>
                <w:sz w:val="20"/>
                <w:szCs w:val="20"/>
                <w:u w:val="none"/>
              </w:rPr>
            </w:pPr>
            <w:r>
              <w:rPr>
                <w:rStyle w:val="17"/>
                <w:lang w:val="en-US" w:eastAsia="zh-CN" w:bidi="ar"/>
              </w:rPr>
              <w:t>全年预算数</w:t>
            </w:r>
            <w:r>
              <w:rPr>
                <w:rStyle w:val="17"/>
                <w:lang w:val="en-US" w:eastAsia="zh-CN" w:bidi="ar"/>
              </w:rPr>
              <w:br w:type="textWrapping"/>
            </w:r>
            <w:r>
              <w:rPr>
                <w:rStyle w:val="17"/>
                <w:lang w:val="en-US" w:eastAsia="zh-CN" w:bidi="ar"/>
              </w:rPr>
              <w:t>（A）</w:t>
            </w:r>
          </w:p>
        </w:tc>
        <w:tc>
          <w:tcPr>
            <w:tcW w:w="394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600"/>
              <w:jc w:val="left"/>
              <w:textAlignment w:val="top"/>
              <w:rPr>
                <w:rFonts w:hint="eastAsia" w:ascii="宋体" w:hAnsi="宋体" w:eastAsia="宋体" w:cs="宋体"/>
                <w:i w:val="0"/>
                <w:iCs w:val="0"/>
                <w:color w:val="000000"/>
                <w:sz w:val="18"/>
                <w:szCs w:val="18"/>
                <w:u w:val="none"/>
              </w:rPr>
            </w:pPr>
            <w:r>
              <w:rPr>
                <w:rStyle w:val="17"/>
                <w:lang w:val="en-US" w:eastAsia="zh-CN" w:bidi="ar"/>
              </w:rPr>
              <w:t>全年执行数（B）</w:t>
            </w:r>
          </w:p>
        </w:tc>
        <w:tc>
          <w:tcPr>
            <w:tcW w:w="17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执行率（B/A)</w:t>
            </w:r>
          </w:p>
        </w:tc>
        <w:tc>
          <w:tcPr>
            <w:tcW w:w="2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300" w:hRule="atLeast"/>
        </w:trPr>
        <w:tc>
          <w:tcPr>
            <w:tcW w:w="134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年度资金总额：</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ind w:firstLineChars="20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w:t>
            </w:r>
          </w:p>
        </w:tc>
        <w:tc>
          <w:tcPr>
            <w:tcW w:w="39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640.82</w:t>
            </w:r>
          </w:p>
        </w:tc>
        <w:tc>
          <w:tcPr>
            <w:tcW w:w="1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96.65%</w:t>
            </w:r>
          </w:p>
        </w:tc>
        <w:tc>
          <w:tcPr>
            <w:tcW w:w="2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300" w:hRule="atLeast"/>
        </w:trPr>
        <w:tc>
          <w:tcPr>
            <w:tcW w:w="134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right"/>
              <w:textAlignment w:val="top"/>
              <w:rPr>
                <w:rFonts w:hint="eastAsia" w:ascii="宋体" w:hAnsi="宋体" w:eastAsia="宋体" w:cs="宋体"/>
                <w:i w:val="0"/>
                <w:iCs w:val="0"/>
                <w:color w:val="000000"/>
                <w:sz w:val="18"/>
                <w:szCs w:val="18"/>
                <w:u w:val="none"/>
              </w:rPr>
            </w:pPr>
            <w:r>
              <w:rPr>
                <w:rStyle w:val="17"/>
                <w:lang w:val="en-US" w:eastAsia="zh-CN" w:bidi="ar"/>
              </w:rPr>
              <w:t>其中：中央补助</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945"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173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300" w:hRule="atLeast"/>
        </w:trPr>
        <w:tc>
          <w:tcPr>
            <w:tcW w:w="134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right"/>
              <w:textAlignment w:val="top"/>
              <w:rPr>
                <w:rFonts w:hint="eastAsia" w:ascii="宋体" w:hAnsi="宋体" w:eastAsia="宋体" w:cs="宋体"/>
                <w:i w:val="0"/>
                <w:iCs w:val="0"/>
                <w:color w:val="000000"/>
                <w:sz w:val="18"/>
                <w:szCs w:val="18"/>
                <w:u w:val="none"/>
              </w:rPr>
            </w:pPr>
            <w:r>
              <w:rPr>
                <w:rStyle w:val="17"/>
                <w:lang w:val="en-US" w:eastAsia="zh-CN" w:bidi="ar"/>
              </w:rPr>
              <w:t>地方资金</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ind w:firstLineChars="20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w:t>
            </w:r>
          </w:p>
        </w:tc>
        <w:tc>
          <w:tcPr>
            <w:tcW w:w="39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640.82</w:t>
            </w:r>
          </w:p>
        </w:tc>
        <w:tc>
          <w:tcPr>
            <w:tcW w:w="1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96.65%</w:t>
            </w:r>
          </w:p>
        </w:tc>
        <w:tc>
          <w:tcPr>
            <w:tcW w:w="2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540" w:hRule="atLeast"/>
        </w:trPr>
        <w:tc>
          <w:tcPr>
            <w:tcW w:w="134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000000"/>
                <w:sz w:val="20"/>
                <w:szCs w:val="20"/>
                <w:u w:val="none"/>
              </w:rPr>
            </w:pPr>
            <w:r>
              <w:rPr>
                <w:rStyle w:val="17"/>
                <w:lang w:val="en-US" w:eastAsia="zh-CN" w:bidi="ar"/>
              </w:rPr>
              <w:t>其他资金</w:t>
            </w:r>
            <w:r>
              <w:rPr>
                <w:rStyle w:val="17"/>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（包括结转结余）</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3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1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00"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年度总体目标</w:t>
            </w:r>
          </w:p>
        </w:tc>
        <w:tc>
          <w:tcPr>
            <w:tcW w:w="4483"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年初设定目标</w:t>
            </w:r>
          </w:p>
        </w:tc>
        <w:tc>
          <w:tcPr>
            <w:tcW w:w="47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全年实际完成情况</w:t>
            </w: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510"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4483"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18"/>
                <w:szCs w:val="18"/>
                <w:u w:val="none"/>
              </w:rPr>
            </w:pPr>
            <w:r>
              <w:rPr>
                <w:rStyle w:val="17"/>
                <w:lang w:val="en-US" w:eastAsia="zh-CN" w:bidi="ar"/>
              </w:rPr>
              <w:t>营造整洁、靓丽、优美的城市环境。</w:t>
            </w:r>
          </w:p>
        </w:tc>
        <w:tc>
          <w:tcPr>
            <w:tcW w:w="47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700"/>
              <w:jc w:val="left"/>
              <w:textAlignment w:val="top"/>
              <w:rPr>
                <w:rFonts w:hint="eastAsia" w:ascii="宋体" w:hAnsi="宋体" w:eastAsia="宋体" w:cs="宋体"/>
                <w:i w:val="0"/>
                <w:iCs w:val="0"/>
                <w:color w:val="000000"/>
                <w:sz w:val="18"/>
                <w:szCs w:val="18"/>
                <w:u w:val="none"/>
              </w:rPr>
            </w:pPr>
            <w:r>
              <w:rPr>
                <w:rStyle w:val="17"/>
                <w:lang w:val="en-US" w:eastAsia="zh-CN" w:bidi="ar"/>
              </w:rPr>
              <w:t>城区环境大大改善，提高了城市。</w:t>
            </w: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492"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7"/>
                <w:lang w:val="en-US" w:eastAsia="zh-CN" w:bidi="ar"/>
              </w:rPr>
              <w:t>绩效指标</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一级指标</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Style w:val="17"/>
                <w:lang w:val="en-US" w:eastAsia="zh-CN" w:bidi="ar"/>
              </w:rPr>
              <w:t>二级指标</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三级指标</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年度指标值</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全年完成值</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未完成原因和改进措施</w:t>
            </w: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lang w:val="en-US" w:eastAsia="zh-CN" w:bidi="ar"/>
              </w:rPr>
              <w:t>产出指标</w:t>
            </w:r>
          </w:p>
        </w:tc>
        <w:tc>
          <w:tcPr>
            <w:tcW w:w="9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lang w:val="en-US" w:eastAsia="zh-CN" w:bidi="ar"/>
              </w:rPr>
              <w:t>数量指标</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电器设备维修数量</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989件</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989件</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8"/>
                <w:szCs w:val="18"/>
                <w:u w:val="none"/>
              </w:rPr>
            </w:pPr>
            <w:r>
              <w:rPr>
                <w:rStyle w:val="17"/>
                <w:lang w:val="en-US" w:eastAsia="zh-CN" w:bidi="ar"/>
              </w:rPr>
              <w:t>强化定额管理</w:t>
            </w: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土建工程维修面积</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420平方米</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420平方米</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栈桥维修面积</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7445平方米</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7445平方米</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绿化养护次数</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26次</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26次</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生产设备购置数量</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5台/件</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5台</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生产资料购置金额</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44.6万元</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44.6万元</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26321平方米苗木补栽数量</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1400株</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1423株</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花景摆设数量</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80万盆</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80万盆</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7"/>
                <w:lang w:val="en-US" w:eastAsia="zh-CN" w:bidi="ar"/>
              </w:rPr>
              <w:t>质量指标</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18"/>
                <w:szCs w:val="18"/>
                <w:u w:val="none"/>
              </w:rPr>
            </w:pPr>
            <w:r>
              <w:rPr>
                <w:rStyle w:val="17"/>
                <w:lang w:val="en-US" w:eastAsia="zh-CN" w:bidi="ar"/>
              </w:rPr>
              <w:t>绿化设施完好率</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≧95%</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绿化保持率</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≧95%</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Style w:val="17"/>
                <w:lang w:val="en-US" w:eastAsia="zh-CN" w:bidi="ar"/>
              </w:rPr>
              <w:t>时效指标</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18"/>
                <w:szCs w:val="18"/>
                <w:u w:val="none"/>
              </w:rPr>
            </w:pPr>
            <w:r>
              <w:rPr>
                <w:rStyle w:val="17"/>
                <w:lang w:val="en-US" w:eastAsia="zh-CN" w:bidi="ar"/>
              </w:rPr>
              <w:t>运转维护费保障时效</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2020年1月-12月</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2020年1月-12月</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19"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Style w:val="17"/>
                <w:lang w:val="en-US" w:eastAsia="zh-CN" w:bidi="ar"/>
              </w:rPr>
              <w:t>成本指标</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18"/>
                <w:szCs w:val="18"/>
                <w:u w:val="none"/>
              </w:rPr>
            </w:pPr>
            <w:r>
              <w:rPr>
                <w:rStyle w:val="17"/>
                <w:lang w:val="en-US" w:eastAsia="zh-CN" w:bidi="ar"/>
              </w:rPr>
              <w:t>成本控制限额</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663万元</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640.82万元</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285"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效益指标</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Style w:val="17"/>
                <w:lang w:val="en-US" w:eastAsia="zh-CN" w:bidi="ar"/>
              </w:rPr>
              <w:t>经济效益</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285"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Style w:val="17"/>
                <w:lang w:val="en-US" w:eastAsia="zh-CN" w:bidi="ar"/>
              </w:rPr>
              <w:t>社会效益</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18"/>
                <w:szCs w:val="18"/>
                <w:u w:val="none"/>
              </w:rPr>
            </w:pPr>
            <w:r>
              <w:rPr>
                <w:rStyle w:val="17"/>
                <w:lang w:val="en-US" w:eastAsia="zh-CN" w:bidi="ar"/>
              </w:rPr>
              <w:t>美化城市环境，提升城市品味</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基本达成预期指标</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基本达成预期指标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285"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Style w:val="17"/>
                <w:lang w:val="en-US" w:eastAsia="zh-CN" w:bidi="ar"/>
              </w:rPr>
              <w:t>生态效益</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left"/>
              <w:textAlignment w:val="top"/>
              <w:rPr>
                <w:rFonts w:hint="eastAsia" w:ascii="宋体" w:hAnsi="宋体" w:eastAsia="宋体" w:cs="宋体"/>
                <w:i w:val="0"/>
                <w:iCs w:val="0"/>
                <w:color w:val="000000"/>
                <w:sz w:val="18"/>
                <w:szCs w:val="18"/>
                <w:u w:val="none"/>
              </w:rPr>
            </w:pPr>
            <w:r>
              <w:rPr>
                <w:rStyle w:val="17"/>
                <w:lang w:val="en-US" w:eastAsia="zh-CN" w:bidi="ar"/>
              </w:rPr>
              <w:t>保护、改善市民居住环境</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基本达成预期指标</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基本达成预期指标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285"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Style w:val="17"/>
                <w:lang w:val="en-US" w:eastAsia="zh-CN" w:bidi="ar"/>
              </w:rPr>
              <w:t>可持续影</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570"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0"/>
                <w:szCs w:val="20"/>
                <w:u w:val="none"/>
              </w:rPr>
            </w:pPr>
            <w:r>
              <w:rPr>
                <w:rStyle w:val="17"/>
                <w:lang w:val="en-US" w:eastAsia="zh-CN" w:bidi="ar"/>
              </w:rPr>
              <w:t>满意</w:t>
            </w:r>
            <w:r>
              <w:rPr>
                <w:rStyle w:val="17"/>
                <w:lang w:val="en-US" w:eastAsia="zh-CN" w:bidi="ar"/>
              </w:rPr>
              <w:br w:type="textWrapping"/>
            </w:r>
            <w:r>
              <w:rPr>
                <w:rStyle w:val="17"/>
                <w:lang w:val="en-US" w:eastAsia="zh-CN" w:bidi="ar"/>
              </w:rPr>
              <w:t>度指</w:t>
            </w:r>
          </w:p>
        </w:tc>
        <w:tc>
          <w:tcPr>
            <w:tcW w:w="94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0"/>
                <w:szCs w:val="20"/>
                <w:u w:val="none"/>
              </w:rPr>
            </w:pPr>
            <w:r>
              <w:rPr>
                <w:rStyle w:val="17"/>
                <w:lang w:val="en-US" w:eastAsia="zh-CN" w:bidi="ar"/>
              </w:rPr>
              <w:t>服务对象</w:t>
            </w:r>
            <w:r>
              <w:rPr>
                <w:rStyle w:val="17"/>
                <w:lang w:val="en-US" w:eastAsia="zh-CN" w:bidi="ar"/>
              </w:rPr>
              <w:br w:type="textWrapping"/>
            </w:r>
            <w:r>
              <w:rPr>
                <w:rStyle w:val="17"/>
                <w:lang w:val="en-US" w:eastAsia="zh-CN" w:bidi="ar"/>
              </w:rPr>
              <w:t>满意度指</w:t>
            </w:r>
          </w:p>
        </w:tc>
        <w:tc>
          <w:tcPr>
            <w:tcW w:w="297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18"/>
                <w:szCs w:val="18"/>
                <w:u w:val="none"/>
              </w:rPr>
            </w:pPr>
            <w:r>
              <w:rPr>
                <w:rStyle w:val="17"/>
                <w:lang w:val="en-US" w:eastAsia="zh-CN" w:bidi="ar"/>
              </w:rPr>
              <w:t>社会公众满意度</w:t>
            </w:r>
          </w:p>
        </w:tc>
        <w:tc>
          <w:tcPr>
            <w:tcW w:w="186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≧95%</w:t>
            </w:r>
          </w:p>
        </w:tc>
        <w:tc>
          <w:tcPr>
            <w:tcW w:w="20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80" w:type="dxa"/>
          <w:trHeight w:val="3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17"/>
                <w:lang w:val="en-US" w:eastAsia="zh-CN" w:bidi="ar"/>
              </w:rPr>
              <w:t>说明</w:t>
            </w:r>
          </w:p>
        </w:tc>
        <w:tc>
          <w:tcPr>
            <w:tcW w:w="9183" w:type="dxa"/>
            <w:gridSpan w:val="1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7"/>
                <w:lang w:val="en-US" w:eastAsia="zh-CN" w:bidi="ar"/>
              </w:rPr>
              <w:t>无</w:t>
            </w:r>
          </w:p>
        </w:tc>
        <w:tc>
          <w:tcPr>
            <w:tcW w:w="934" w:type="dxa"/>
            <w:gridSpan w:val="4"/>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2492" w:type="dxa"/>
          <w:trHeight w:val="1137" w:hRule="atLeast"/>
        </w:trPr>
        <w:tc>
          <w:tcPr>
            <w:tcW w:w="10051" w:type="dxa"/>
            <w:gridSpan w:val="20"/>
            <w:tcBorders>
              <w:top w:val="nil"/>
              <w:left w:val="nil"/>
              <w:bottom w:val="nil"/>
              <w:right w:val="nil"/>
            </w:tcBorders>
            <w:shd w:val="clear" w:color="auto" w:fill="auto"/>
            <w:vAlign w:val="top"/>
          </w:tcPr>
          <w:p>
            <w:pPr>
              <w:keepNext w:val="0"/>
              <w:keepLines w:val="0"/>
              <w:widowControl/>
              <w:suppressLineNumbers w:val="0"/>
              <w:ind w:firstLineChars="100"/>
              <w:jc w:val="left"/>
              <w:textAlignment w:val="top"/>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注：1.定量指标，资金使用单位填写本地区实际完成数。财政和主管部门汇总时，对绝对值直接累加计算，相对值按照资金额度加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权平均计算。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2.定性指标根据指标完成情况分为：全部或基本达成预期指标、部分达成预期指标并具有一定效果、未达成预期指标且效果较差三档，分别按照100%-80%（含）、80%-60%（含）、60-0%合理填写完成比例。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3.资金使用单位按项目填报，主管部门和财政部门汇总时按区域绩效目标填报。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1215" w:hRule="atLeast"/>
        </w:trPr>
        <w:tc>
          <w:tcPr>
            <w:tcW w:w="11325" w:type="dxa"/>
            <w:gridSpan w:val="22"/>
            <w:tcBorders>
              <w:top w:val="nil"/>
              <w:left w:val="nil"/>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000000"/>
                <w:sz w:val="20"/>
                <w:szCs w:val="20"/>
                <w:u w:val="none"/>
              </w:rPr>
            </w:pPr>
            <w:r>
              <w:rPr>
                <w:rFonts w:ascii="黑体" w:hAnsi="宋体" w:eastAsia="黑体" w:cs="黑体"/>
                <w:i w:val="0"/>
                <w:iCs w:val="0"/>
                <w:color w:val="000000"/>
                <w:kern w:val="0"/>
                <w:sz w:val="24"/>
                <w:szCs w:val="24"/>
                <w:u w:val="none"/>
                <w:lang w:val="en-US" w:eastAsia="zh-CN" w:bidi="ar"/>
              </w:rPr>
              <w:t>附件2</w:t>
            </w:r>
            <w:r>
              <w:rPr>
                <w:rFonts w:ascii="黑体" w:hAnsi="宋体" w:eastAsia="黑体" w:cs="黑体"/>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32"/>
                <w:szCs w:val="32"/>
                <w:u w:val="none"/>
                <w:lang w:val="en-US" w:eastAsia="zh-CN" w:bidi="ar"/>
              </w:rPr>
              <w:t>鄂州市绿化管理处道路游园管养经费专项（项目）绩效目标自评表</w:t>
            </w:r>
            <w:r>
              <w:rPr>
                <w:rFonts w:hint="eastAsia" w:ascii="宋体" w:hAnsi="宋体" w:eastAsia="宋体" w:cs="宋体"/>
                <w:b/>
                <w:bCs/>
                <w:i w:val="0"/>
                <w:iCs w:val="0"/>
                <w:color w:val="000000"/>
                <w:kern w:val="0"/>
                <w:sz w:val="32"/>
                <w:szCs w:val="3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27" w:hRule="atLeast"/>
        </w:trPr>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8562" w:type="dxa"/>
            <w:gridSpan w:val="1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2020年道路游园管养经费</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27" w:hRule="atLeast"/>
        </w:trPr>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鄂州市园林绿化管理局</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465"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鄂州市绿化管理处</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780" w:hRule="atLeast"/>
        </w:trPr>
        <w:tc>
          <w:tcPr>
            <w:tcW w:w="243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231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Times New Roman" w:hAnsi="Times New Roman" w:cs="Times New Roman"/>
                <w:i w:val="0"/>
                <w:iCs w:val="0"/>
                <w:color w:val="000000"/>
                <w:sz w:val="20"/>
                <w:szCs w:val="20"/>
                <w:u w:val="none"/>
              </w:rPr>
            </w:pP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w:t>
            </w:r>
          </w:p>
        </w:tc>
        <w:tc>
          <w:tcPr>
            <w:tcW w:w="35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5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27" w:hRule="atLeast"/>
        </w:trPr>
        <w:tc>
          <w:tcPr>
            <w:tcW w:w="243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1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3599" w:type="dxa"/>
            <w:gridSpan w:val="8"/>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27" w:hRule="atLeast"/>
        </w:trPr>
        <w:tc>
          <w:tcPr>
            <w:tcW w:w="243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1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其中：中央补助</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599" w:type="dxa"/>
            <w:gridSpan w:val="8"/>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27" w:hRule="atLeast"/>
        </w:trPr>
        <w:tc>
          <w:tcPr>
            <w:tcW w:w="243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1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地方资金</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3599" w:type="dxa"/>
            <w:gridSpan w:val="8"/>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600" w:hRule="atLeast"/>
        </w:trPr>
        <w:tc>
          <w:tcPr>
            <w:tcW w:w="243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1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left"/>
              <w:textAlignment w:val="top"/>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（包括结转结余）</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35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27" w:hRule="atLeast"/>
        </w:trPr>
        <w:tc>
          <w:tcPr>
            <w:tcW w:w="6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978"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5331"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55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978"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计划绿化养护面积199.83万平方米，做好城区绿化的补栽、病虫害防治等养护工作。</w:t>
            </w:r>
          </w:p>
        </w:tc>
        <w:tc>
          <w:tcPr>
            <w:tcW w:w="5331"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实现绿化养护面积199.83万平方米，促进绿化管养提档升级。</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537" w:hRule="atLeast"/>
        </w:trPr>
        <w:tc>
          <w:tcPr>
            <w:tcW w:w="6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439"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绿化养护面积</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199.83万平方米</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99.83万平方米</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强化费用定额管理</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1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绿化养护次数</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1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新栽树木成活率</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1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绿化苗木保存率</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1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绿化养护合格率</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72"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养护费保障时效</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402"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5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1064万元</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1064万元</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1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507"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美化城市环境，提升城市品味</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492"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保护、改善市民居住环境</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31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1218" w:type="dxa"/>
          <w:trHeight w:val="315"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0" w:type="dxa"/>
            <w:gridSpan w:val="13"/>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1218" w:type="dxa"/>
          <w:trHeight w:val="540" w:hRule="atLeast"/>
        </w:trPr>
        <w:tc>
          <w:tcPr>
            <w:tcW w:w="6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w:t>
            </w:r>
          </w:p>
        </w:tc>
        <w:tc>
          <w:tcPr>
            <w:tcW w:w="323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wBefore w:w="1218" w:type="dxa"/>
          <w:trHeight w:val="327" w:hRule="atLeast"/>
        </w:trPr>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10309" w:type="dxa"/>
            <w:gridSpan w:val="1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333"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3"/>
          <w:wBefore w:w="1218" w:type="dxa"/>
          <w:trHeight w:val="1230" w:hRule="atLeast"/>
        </w:trPr>
        <w:tc>
          <w:tcPr>
            <w:tcW w:w="11325" w:type="dxa"/>
            <w:gridSpan w:val="22"/>
            <w:tcBorders>
              <w:top w:val="nil"/>
              <w:left w:val="nil"/>
              <w:bottom w:val="nil"/>
              <w:right w:val="nil"/>
            </w:tcBorders>
            <w:shd w:val="clear" w:color="auto" w:fill="auto"/>
            <w:vAlign w:val="top"/>
          </w:tcPr>
          <w:p>
            <w:pPr>
              <w:keepNext w:val="0"/>
              <w:keepLines w:val="0"/>
              <w:widowControl/>
              <w:suppressLineNumbers w:val="0"/>
              <w:ind w:firstLineChars="100"/>
              <w:jc w:val="left"/>
              <w:textAlignment w:val="top"/>
              <w:rPr>
                <w:rFonts w:hint="default" w:ascii="Times New Roman" w:hAnsi="Times New Roman" w:cs="Times New Roman"/>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资金额度加权平均计算。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2.定性指标根据指标完成情况分为：全部或基本达成预期指标、部分达成预期指标并具有一定效果、未达成预期指标且效果较差三档，分别按照100%-80%（含）、80%-60%（含）、60-0%合理填写完成比例。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3.资金使用单位按项目填报，主管部门和财政部门汇总时按区域绩效目标填报。</w:t>
            </w:r>
          </w:p>
        </w:tc>
      </w:tr>
    </w:tbl>
    <w:p>
      <w:pPr>
        <w:pStyle w:val="2"/>
        <w:rPr>
          <w:rFonts w:hint="eastAsia" w:eastAsia="宋体"/>
          <w:sz w:val="28"/>
          <w:szCs w:val="28"/>
          <w:lang w:val="en-US" w:eastAsia="zh-CN"/>
        </w:rPr>
      </w:pPr>
    </w:p>
    <w:tbl>
      <w:tblPr>
        <w:tblStyle w:val="3"/>
        <w:tblW w:w="100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5"/>
        <w:gridCol w:w="737"/>
        <w:gridCol w:w="1032"/>
        <w:gridCol w:w="712"/>
        <w:gridCol w:w="944"/>
        <w:gridCol w:w="1463"/>
        <w:gridCol w:w="1463"/>
        <w:gridCol w:w="222"/>
        <w:gridCol w:w="952"/>
        <w:gridCol w:w="222"/>
        <w:gridCol w:w="488"/>
        <w:gridCol w:w="222"/>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916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60" w:type="dxa"/>
            <w:gridSpan w:val="13"/>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66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2020年工程保运转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鄂州市城市管理执法委员会</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7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鄂州市洋澜湖风景区管理处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4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5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29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营造整洁、靓丽、优美的游园风景环境</w:t>
            </w:r>
          </w:p>
        </w:tc>
        <w:tc>
          <w:tcPr>
            <w:tcW w:w="429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游园景区养护管理收到了良好的效果，提高了我市的城市景观水平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7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指标值</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完成值</w:t>
            </w:r>
          </w:p>
        </w:tc>
        <w:tc>
          <w:tcPr>
            <w:tcW w:w="10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绿化养护面积</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102.36万平方米</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102.36万平方米</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绿化养护次数</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8次</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8次</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新栽树木成活率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强化定额管理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绿化苗木保存率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绿化养护合格率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养护费保障时效</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2020年1月-12月</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2020年1月-12月</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成本控制限额</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590万元</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549.68万元</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06"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 w:type="dxa"/>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 w:type="dxa"/>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0" w:type="dxa"/>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4" w:type="dxa"/>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706"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美化城市环境，提升城市品味,基础设施完好率100%，市民满意度95%以上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指标2：</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10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6"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提升绿化覆盖率，净化洋澜湖水质，树立绿色发展理念，改善市民居住环境</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4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社会公众满意度</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7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lang w:val="en-US" w:eastAsia="zh-CN"/>
        </w:rPr>
      </w:pPr>
    </w:p>
    <w:tbl>
      <w:tblPr>
        <w:tblStyle w:val="3"/>
        <w:tblW w:w="95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2"/>
        <w:gridCol w:w="467"/>
        <w:gridCol w:w="981"/>
        <w:gridCol w:w="772"/>
        <w:gridCol w:w="1226"/>
        <w:gridCol w:w="1405"/>
        <w:gridCol w:w="1500"/>
        <w:gridCol w:w="576"/>
        <w:gridCol w:w="466"/>
        <w:gridCol w:w="20"/>
        <w:gridCol w:w="558"/>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8266"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8266" w:type="dxa"/>
            <w:gridSpan w:val="1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9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2020年游园养护费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鄂州市城市管理执法委员会</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3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鄂州市洋澜湖风景区管理处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1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1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0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营造整洁、靓丽、优美的游园风景环境</w:t>
            </w:r>
          </w:p>
        </w:tc>
        <w:tc>
          <w:tcPr>
            <w:tcW w:w="30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游园景区养护管理收到了良好的效果，提高了我市的城市景观水平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81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指标值</w:t>
            </w:r>
          </w:p>
        </w:tc>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完成值</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2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绿化养护面积</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102.36万平方米</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102.36万平方米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绿化养护次数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8次</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8次</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新栽树木成活率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强化定额管理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绿化苗木保存率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绿化养护合格率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养护费保障时效</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2020年1月-12月</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2020年1月-12月</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成本控制限额</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859万元</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859万元</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_</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_</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_</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022"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美化城市环境，提升城市品味,基础设施完好率100%，市民满意度95%以上</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5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2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提升绿化覆盖率，净化洋澜湖水质，树立绿色发展理念，改善市民居住环境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基本达成预期指标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社会公众满意度</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7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3"/>
        <w:tblW w:w="10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892"/>
        <w:gridCol w:w="1317"/>
        <w:gridCol w:w="1811"/>
        <w:gridCol w:w="1578"/>
        <w:gridCol w:w="1537"/>
        <w:gridCol w:w="1702"/>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894"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320"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81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58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7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1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鄂州市滨江公园养护费专项（项目）绩效目标自评表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056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（2020年度）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78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滨江公园养护费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鄂州市城市管理执法委员会</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鄂州市滨江公园管理处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27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7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7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其中：中央补助</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7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7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（包括结转结余）</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6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营造整洁、靓丽、优美的游园环境。</w:t>
            </w:r>
          </w:p>
        </w:tc>
        <w:tc>
          <w:tcPr>
            <w:tcW w:w="4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绿化养护面积</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26.41万平方米</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26.41万平方米</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公厕管护数量</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4座</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4座</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亮化工程维护面积</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750平方米</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750平方米</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养护费使用合格率</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园区绿化保持率</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养护项目验收合格率</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养护费保障时效</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207万元</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207万元</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美化游园环境，提升城市品味</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保护、改善市民居住环境</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100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56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056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56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3.资金使用单位按项目填报，主管部门和财政部门汇总时按区域绩效目标填报。</w:t>
            </w:r>
          </w:p>
        </w:tc>
      </w:tr>
    </w:tbl>
    <w:p>
      <w:pPr>
        <w:pStyle w:val="2"/>
        <w:rPr>
          <w:rFonts w:hint="eastAsia"/>
          <w:lang w:val="en-US" w:eastAsia="zh-CN"/>
        </w:rPr>
      </w:pPr>
    </w:p>
    <w:tbl>
      <w:tblPr>
        <w:tblStyle w:val="3"/>
        <w:tblW w:w="98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0"/>
        <w:gridCol w:w="570"/>
        <w:gridCol w:w="1060"/>
        <w:gridCol w:w="2020"/>
        <w:gridCol w:w="1170"/>
        <w:gridCol w:w="1690"/>
        <w:gridCol w:w="160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70" w:type="dxa"/>
            <w:tcBorders>
              <w:top w:val="single" w:color="D8D8D8" w:sz="4" w:space="0"/>
              <w:left w:val="single" w:color="D8D8D8" w:sz="4" w:space="0"/>
              <w:bottom w:val="single" w:color="D8D8D8" w:sz="4" w:space="0"/>
              <w:right w:val="single" w:color="D8D8D8" w:sz="4" w:space="0"/>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570" w:type="dxa"/>
            <w:tcBorders>
              <w:top w:val="single" w:color="D8D8D8" w:sz="4" w:space="0"/>
              <w:left w:val="single" w:color="D8D8D8" w:sz="4" w:space="0"/>
              <w:bottom w:val="single" w:color="D8D8D8" w:sz="4" w:space="0"/>
              <w:right w:val="single" w:color="D8D8D8" w:sz="4" w:space="0"/>
            </w:tcBorders>
            <w:shd w:val="clear" w:color="auto" w:fill="auto"/>
            <w:vAlign w:val="center"/>
          </w:tcPr>
          <w:p>
            <w:pPr>
              <w:rPr>
                <w:rFonts w:hint="eastAsia" w:ascii="黑体" w:hAnsi="宋体" w:eastAsia="黑体" w:cs="黑体"/>
                <w:i w:val="0"/>
                <w:iCs w:val="0"/>
                <w:color w:val="000000"/>
                <w:sz w:val="24"/>
                <w:szCs w:val="24"/>
                <w:u w:val="none"/>
              </w:rPr>
            </w:pPr>
          </w:p>
        </w:tc>
        <w:tc>
          <w:tcPr>
            <w:tcW w:w="1060" w:type="dxa"/>
            <w:tcBorders>
              <w:top w:val="single" w:color="D8D8D8" w:sz="4" w:space="0"/>
              <w:left w:val="single" w:color="D8D8D8" w:sz="4" w:space="0"/>
              <w:bottom w:val="single" w:color="D8D8D8" w:sz="4" w:space="0"/>
              <w:right w:val="single" w:color="D8D8D8" w:sz="4" w:space="0"/>
            </w:tcBorders>
            <w:shd w:val="clear" w:color="auto" w:fill="auto"/>
            <w:vAlign w:val="center"/>
          </w:tcPr>
          <w:p>
            <w:pPr>
              <w:rPr>
                <w:rFonts w:hint="eastAsia" w:ascii="黑体" w:hAnsi="宋体" w:eastAsia="黑体" w:cs="黑体"/>
                <w:i w:val="0"/>
                <w:iCs w:val="0"/>
                <w:color w:val="000000"/>
                <w:sz w:val="24"/>
                <w:szCs w:val="24"/>
                <w:u w:val="none"/>
              </w:rPr>
            </w:pPr>
          </w:p>
        </w:tc>
        <w:tc>
          <w:tcPr>
            <w:tcW w:w="2020" w:type="dxa"/>
            <w:tcBorders>
              <w:top w:val="single" w:color="D8D8D8" w:sz="4" w:space="0"/>
              <w:left w:val="single" w:color="D8D8D8" w:sz="4" w:space="0"/>
              <w:bottom w:val="single" w:color="D8D8D8" w:sz="4" w:space="0"/>
              <w:right w:val="single" w:color="D8D8D8" w:sz="4" w:space="0"/>
            </w:tcBorders>
            <w:shd w:val="clear" w:color="auto" w:fill="auto"/>
            <w:vAlign w:val="center"/>
          </w:tcPr>
          <w:p>
            <w:pPr>
              <w:rPr>
                <w:rFonts w:hint="eastAsia" w:ascii="黑体" w:hAnsi="宋体" w:eastAsia="黑体" w:cs="黑体"/>
                <w:i w:val="0"/>
                <w:iCs w:val="0"/>
                <w:color w:val="000000"/>
                <w:sz w:val="24"/>
                <w:szCs w:val="24"/>
                <w:u w:val="none"/>
              </w:rPr>
            </w:pPr>
          </w:p>
        </w:tc>
        <w:tc>
          <w:tcPr>
            <w:tcW w:w="1170" w:type="dxa"/>
            <w:tcBorders>
              <w:top w:val="single" w:color="D8D8D8" w:sz="4" w:space="0"/>
              <w:left w:val="single" w:color="D8D8D8" w:sz="4" w:space="0"/>
              <w:bottom w:val="single" w:color="D8D8D8" w:sz="4" w:space="0"/>
              <w:right w:val="single" w:color="D8D8D8"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90" w:type="dxa"/>
            <w:tcBorders>
              <w:top w:val="single" w:color="D8D8D8" w:sz="4" w:space="0"/>
              <w:left w:val="single" w:color="D8D8D8" w:sz="4" w:space="0"/>
              <w:bottom w:val="single" w:color="D8D8D8" w:sz="4" w:space="0"/>
              <w:right w:val="single" w:color="D8D8D8"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00" w:type="dxa"/>
            <w:tcBorders>
              <w:top w:val="single" w:color="D8D8D8" w:sz="4" w:space="0"/>
              <w:left w:val="single" w:color="D8D8D8" w:sz="4" w:space="0"/>
              <w:bottom w:val="single" w:color="D8D8D8" w:sz="4" w:space="0"/>
              <w:right w:val="single" w:color="D8D8D8"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170" w:type="dxa"/>
            <w:tcBorders>
              <w:top w:val="single" w:color="D8D8D8" w:sz="4" w:space="0"/>
              <w:left w:val="single" w:color="D8D8D8" w:sz="4" w:space="0"/>
              <w:bottom w:val="single" w:color="D8D8D8" w:sz="4" w:space="0"/>
              <w:right w:val="single" w:color="D8D8D8"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9850" w:type="dxa"/>
            <w:gridSpan w:val="8"/>
            <w:tcBorders>
              <w:top w:val="single" w:color="D8D8D8" w:sz="4" w:space="0"/>
              <w:left w:val="single" w:color="D8D8D8" w:sz="4" w:space="0"/>
              <w:bottom w:val="single" w:color="D8D8D8" w:sz="4" w:space="0"/>
              <w:right w:val="single" w:color="D8D8D8"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鄂州市滨江公园保运转维修维护专项（项目）绩效目标自评表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85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（2020年度）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76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2020年滨江公园保运转维修维护资金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鄂州市园林绿化管理中心</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鄂州市滨江公园管理处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22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2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7.15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2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其中：中央补助</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2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7.15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2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 其他资金</w:t>
            </w:r>
            <w:r>
              <w:rPr>
                <w:rStyle w:val="18"/>
                <w:rFonts w:ascii="宋体" w:hAnsi="宋体" w:eastAsia="宋体" w:cs="宋体"/>
                <w:sz w:val="24"/>
                <w:szCs w:val="24"/>
                <w:lang w:val="en-US" w:eastAsia="zh-CN" w:bidi="ar"/>
              </w:rPr>
              <w:br w:type="textWrapping"/>
            </w:r>
            <w:r>
              <w:rPr>
                <w:rStyle w:val="18"/>
                <w:rFonts w:ascii="宋体" w:hAnsi="宋体" w:eastAsia="宋体" w:cs="宋体"/>
                <w:sz w:val="24"/>
                <w:szCs w:val="24"/>
                <w:lang w:val="en-US" w:eastAsia="zh-CN" w:bidi="ar"/>
              </w:rPr>
              <w:t xml:space="preserve">   （包括结转结余）</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8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营造整洁、靓丽、优美的游园环境。</w:t>
            </w: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园区环境大大改善，提高了我市的城市景观水平。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园区电器设备维修数量</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6400米</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4200米</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建立、完善费用定额管理制度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土建工程维修面积</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1300平方米</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831平方米</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宣传牌制作安装数量</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305块</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201块</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生产资料购置数量</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75吨</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50吨</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花景摆设数量</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30万盆</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21万盆</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设施运转合格率</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园区绿化保持率</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运转维护费保障时效</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149万元</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146.7万元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美化游园环境，提升城市品味</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保护、改善市民居住环境</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92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850" w:type="dxa"/>
            <w:gridSpan w:val="8"/>
            <w:tcBorders>
              <w:top w:val="single" w:color="D8D8D8" w:sz="4" w:space="0"/>
              <w:left w:val="single" w:color="D8D8D8" w:sz="4" w:space="0"/>
              <w:bottom w:val="single" w:color="D8D8D8" w:sz="4" w:space="0"/>
              <w:right w:val="single" w:color="D8D8D8"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850" w:type="dxa"/>
            <w:gridSpan w:val="8"/>
            <w:tcBorders>
              <w:top w:val="single" w:color="D8D8D8" w:sz="4" w:space="0"/>
              <w:left w:val="single" w:color="D8D8D8" w:sz="4" w:space="0"/>
              <w:bottom w:val="single" w:color="D8D8D8" w:sz="4" w:space="0"/>
              <w:right w:val="single" w:color="D8D8D8"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9850" w:type="dxa"/>
            <w:gridSpan w:val="8"/>
            <w:tcBorders>
              <w:top w:val="single" w:color="D8D8D8" w:sz="4" w:space="0"/>
              <w:left w:val="single" w:color="D8D8D8" w:sz="4" w:space="0"/>
              <w:bottom w:val="single" w:color="D8D8D8" w:sz="4" w:space="0"/>
              <w:right w:val="single" w:color="D8D8D8"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8"/>
                <w:rFonts w:ascii="宋体" w:hAnsi="宋体" w:eastAsia="宋体" w:cs="宋体"/>
                <w:sz w:val="24"/>
                <w:szCs w:val="24"/>
                <w:lang w:val="en-US" w:eastAsia="zh-CN" w:bidi="ar"/>
              </w:rPr>
              <w:t>3.资金使用单位按项目填报，主管部门和财政部门汇总时按区域绩效目标填报。</w:t>
            </w:r>
          </w:p>
        </w:tc>
      </w:tr>
    </w:tbl>
    <w:p>
      <w:pPr>
        <w:rPr>
          <w:rFonts w:hint="eastAsia"/>
          <w:lang w:val="en-US" w:eastAsia="zh-CN"/>
        </w:rPr>
      </w:pPr>
    </w:p>
    <w:p>
      <w:pPr>
        <w:pStyle w:val="2"/>
        <w:rPr>
          <w:rFonts w:hint="eastAsia"/>
          <w:lang w:val="en-US" w:eastAsia="zh-CN"/>
        </w:rPr>
      </w:pPr>
    </w:p>
    <w:tbl>
      <w:tblPr>
        <w:tblStyle w:val="3"/>
        <w:tblW w:w="9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08"/>
        <w:gridCol w:w="1041"/>
        <w:gridCol w:w="1622"/>
        <w:gridCol w:w="1237"/>
        <w:gridCol w:w="1726"/>
        <w:gridCol w:w="1726"/>
        <w:gridCol w:w="1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509"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04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623"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2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7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7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jc w:val="center"/>
        </w:trPr>
        <w:tc>
          <w:tcPr>
            <w:tcW w:w="976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鄂州市西山风景区管理处游园养护（项目）绩效目标自评表</w:t>
            </w:r>
            <w:r>
              <w:rPr>
                <w:rStyle w:val="19"/>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9765"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77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2019年度游园养护项目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鄂州市园林局</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鄂州市西山风景区管理处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20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3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0"/>
                <w:lang w:val="en-US" w:eastAsia="zh-CN" w:bidi="ar"/>
              </w:rPr>
              <w:t>其中：中央补助</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0"/>
                <w:lang w:val="en-US" w:eastAsia="zh-CN" w:bidi="ar"/>
              </w:rPr>
              <w:t xml:space="preserve">      地方资金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3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20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20"/>
                <w:lang w:val="en-US" w:eastAsia="zh-CN" w:bidi="ar"/>
              </w:rPr>
              <w:t xml:space="preserve"> 其他资金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（包括结转结余）</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8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营造整洁、靓丽、优美的游园环境。</w:t>
            </w:r>
          </w:p>
        </w:tc>
        <w:tc>
          <w:tcPr>
            <w:tcW w:w="48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消防演练的次数</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2次</w:t>
            </w:r>
          </w:p>
        </w:tc>
        <w:tc>
          <w:tcPr>
            <w:tcW w:w="13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强化定额管理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改造新建景观栈桥及木座椅</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100平方米</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126平方米</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松材线虫病疫木清理除治</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2000株</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2076株</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接待游客次数</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70万</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80万</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日常基础设施维护</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10次</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生产资料购置金额</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40万元</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40万元</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工程建设标准实施项目完成率</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绿化建设任务</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6000平方米</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6000平方米</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新景观建筑</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1500米</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1500米</w:t>
            </w:r>
          </w:p>
        </w:tc>
        <w:tc>
          <w:tcPr>
            <w:tcW w:w="13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滑坡治理工程移植</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20"/>
                <w:lang w:val="en-US" w:eastAsia="zh-CN" w:bidi="ar"/>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绿化保持率</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公园路沿线拆房有效率</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758万元</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758万元</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创4A景观提升设计规划及其评审</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1次</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1次</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设施正常运转率</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美化城市环境，提升城市品味</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保护、改善市民居住环境</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景区疫情防控</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92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请在此处简要说明各级审计和财政监督检查中发现的问题及其所涉及的金额，如没有请填无。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76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6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976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3.资金使用单位按项目填报，主管部门和财政部门汇总时按区域绩效目标填报。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hint="eastAsia"/>
          <w:lang w:val="en-US" w:eastAsia="zh-CN"/>
        </w:rPr>
      </w:pPr>
    </w:p>
    <w:p>
      <w:pPr>
        <w:pStyle w:val="2"/>
        <w:rPr>
          <w:rFonts w:hint="eastAsia"/>
          <w:lang w:val="en-US" w:eastAsia="zh-CN"/>
        </w:rPr>
      </w:pPr>
    </w:p>
    <w:p>
      <w:pPr>
        <w:rPr>
          <w:rFonts w:hint="eastAsia"/>
          <w:lang w:val="en-US" w:eastAsia="zh-CN"/>
        </w:rPr>
      </w:pPr>
    </w:p>
    <w:tbl>
      <w:tblPr>
        <w:tblStyle w:val="3"/>
        <w:tblW w:w="109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9"/>
        <w:gridCol w:w="20"/>
        <w:gridCol w:w="529"/>
        <w:gridCol w:w="21"/>
        <w:gridCol w:w="1004"/>
        <w:gridCol w:w="122"/>
        <w:gridCol w:w="1747"/>
        <w:gridCol w:w="91"/>
        <w:gridCol w:w="1479"/>
        <w:gridCol w:w="228"/>
        <w:gridCol w:w="1603"/>
        <w:gridCol w:w="35"/>
        <w:gridCol w:w="1599"/>
        <w:gridCol w:w="267"/>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28"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509" w:type="dxa"/>
            <w:gridSpan w:val="2"/>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043" w:type="dxa"/>
            <w:gridSpan w:val="2"/>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618"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454"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728"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728"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9980"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鄂州市西山风景区管理处保运转专项（项目）绩效目标自评表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9980" w:type="dxa"/>
            <w:gridSpan w:val="15"/>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79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2020年度保运转项目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鄂州市园林局</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鄂州市西山风景区管理处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208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8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3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8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其中：中央补助</w:t>
            </w:r>
          </w:p>
        </w:tc>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08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地方资金</w:t>
            </w:r>
          </w:p>
        </w:tc>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3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208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其他资金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（包括结转结余）</w:t>
            </w:r>
          </w:p>
        </w:tc>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5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6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8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营造整洁、靓丽、优美的游园环境。</w:t>
            </w:r>
          </w:p>
        </w:tc>
        <w:tc>
          <w:tcPr>
            <w:tcW w:w="48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5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栈道维修面积</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930平方米</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930平方米</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强化定额管理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电器设施维修数量</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10610件</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10610件</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土建工程维修面积</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8180平方米</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8960平方米</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其他设施维修数量</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18台</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18台</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生产设备购置数量</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2129个</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2129个</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生产资料购置金额</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42万元</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42万元</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白蚁防治点个数</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4100个</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4300个</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苗木补栽株数</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3847株</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3847株</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花景摆设盆数</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19万盆</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19万盆</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经费保障养护、保洁人数</w:t>
            </w:r>
          </w:p>
        </w:tc>
        <w:tc>
          <w:tcPr>
            <w:tcW w:w="1728"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239人</w:t>
            </w:r>
          </w:p>
        </w:tc>
        <w:tc>
          <w:tcPr>
            <w:tcW w:w="1728" w:type="dxa"/>
            <w:gridSpan w:val="2"/>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239人</w:t>
            </w: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绿化设施完好率</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4"/>
                <w:szCs w:val="24"/>
                <w:u w:val="none"/>
                <w:lang w:val="en-US" w:eastAsia="zh-CN" w:bidi="ar"/>
              </w:rPr>
              <w:t>5%</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绿化保持率</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运转维护费保障时效</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2019年1月-12月</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2019年1月-12月</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456万元</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456万元</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美化城市环境，提升城市品味</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保护、改善市民居住环境</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常态化参与文明城市创建</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基本达成预期指标</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9452"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请在此处简要说明各级审计和财政监督检查中发现的问题及其所涉及的金额，如没有请填无。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980"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980"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9980"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3.资金使用单位按项目填报，主管部门和财政部门汇总时按区域绩效目标填报。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509" w:type="dxa"/>
            <w:gridSpan w:val="2"/>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949" w:type="dxa"/>
            <w:gridSpan w:val="2"/>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815" w:type="dxa"/>
            <w:gridSpan w:val="3"/>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581"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3"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121"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鄂州市园林绿化中心2020园林工程运维专项（项目）绩效目标自评表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0121" w:type="dxa"/>
            <w:gridSpan w:val="15"/>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81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2020年园林工程运维项目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鄂州市城管执法委员会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2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鄂州市园林绿化中心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198.34</w:t>
            </w:r>
          </w:p>
        </w:tc>
        <w:tc>
          <w:tcPr>
            <w:tcW w:w="2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198.34</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其中：中央补助</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198.34</w:t>
            </w:r>
          </w:p>
        </w:tc>
        <w:tc>
          <w:tcPr>
            <w:tcW w:w="2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198.34</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r>
              <w:rPr>
                <w:rStyle w:val="21"/>
                <w:lang w:val="en-US" w:eastAsia="zh-CN" w:bidi="ar"/>
              </w:rPr>
              <w:br w:type="textWrapping"/>
            </w:r>
            <w:r>
              <w:rPr>
                <w:rStyle w:val="21"/>
                <w:lang w:val="en-US" w:eastAsia="zh-CN" w:bidi="ar"/>
              </w:rPr>
              <w:t xml:space="preserve">   （包括结转结余）</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85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营造整洁、靓丽、优美的城市环境。</w:t>
            </w:r>
          </w:p>
        </w:tc>
        <w:tc>
          <w:tcPr>
            <w:tcW w:w="4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完善了城区精细化管养考核体系，公园绿地环境优美、园林设施完好、游园秩序良好，提高了城市品位。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94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园林设施维修面积</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13200平方米</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13200平方米</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生产资料购置数量</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22吨</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22吨</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白蚁防治处数</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444处</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444处</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苗木补栽面积</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42400平方米</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42400平方米</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开展宣传活动次数</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2次</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2次</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绿化设施完好率</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绿化保持率</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运转维护费保障时效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198.34万元</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198.34万元</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美化城市环境，提升城市品味</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保护、改善市民居住环境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3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961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121"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0121"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21"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21"/>
                <w:lang w:val="en-US" w:eastAsia="zh-CN" w:bidi="ar"/>
              </w:rPr>
              <w:t xml:space="preserve">   3.资金使用单位按项目填报，主管部门和财政部门汇总时按区域绩效目标填报。</w:t>
            </w:r>
          </w:p>
        </w:tc>
      </w:tr>
    </w:tbl>
    <w:p>
      <w:pPr>
        <w:pStyle w:val="2"/>
        <w:rPr>
          <w:rFonts w:hint="eastAsia"/>
          <w:lang w:val="en-US" w:eastAsia="zh-CN"/>
        </w:rPr>
      </w:pPr>
    </w:p>
    <w:tbl>
      <w:tblPr>
        <w:tblStyle w:val="3"/>
        <w:tblW w:w="10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09"/>
        <w:gridCol w:w="947"/>
        <w:gridCol w:w="1809"/>
        <w:gridCol w:w="1345"/>
        <w:gridCol w:w="1565"/>
        <w:gridCol w:w="1551"/>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509"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949"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81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3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6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5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1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2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鄂州市园林绿化中心生态园林城市创建专项（项目）绩效目标自评表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0425"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84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2020年生态园林城市创建专项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鄂州市城管执法委员会</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鄂州市园林绿化中心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19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其中：中央补助</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地方资金</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其他资金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（包括结转结余）</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6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52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以生态宜居园林城市为目标，加强生态文明建设，改善人民群众生活质量，增强市民对鄂州的归属感、自豪感和幸福感,提高我市居民的生活质量。</w:t>
            </w:r>
          </w:p>
        </w:tc>
        <w:tc>
          <w:tcPr>
            <w:tcW w:w="52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园林城市考评达标，园林绿化考核指标基本达到年度预期，积极推进生态园林城市创建，重点谋划节约型绿地、防护绿地、城市绿道、公园绿地服务半径覆盖率达标建设、数字化园林、林荫路推广率达标建设等重点项目库，积极推进生态园林城市创建，不断巩固创建成果，城市绿地总量大幅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电视技术报告片拍摄制作金额</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20万元</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17.8万元</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剩余费用跨年度支付结算，制定费用定额化管理制度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绿化成果画册</w:t>
            </w:r>
          </w:p>
        </w:tc>
        <w:tc>
          <w:tcPr>
            <w:tcW w:w="1348" w:type="dxa"/>
            <w:tcBorders>
              <w:top w:val="single" w:color="000000" w:sz="4" w:space="0"/>
              <w:left w:val="nil"/>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9.8万元</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建成区绿地面积</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1314.42公顷</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1314.42公顷</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绿化覆盖率</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≧43.22%</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43.22%</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绿地率</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≧37.48%</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37.48%</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城市人均公园绿地面积</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资料印刷份数</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1000份</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1000份</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培训场次</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数字化园林专管员经费（每人/年）</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9.8万元</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园林科普宣传费用</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1.8万元</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1.8万元</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生态园林城市检查结果</w:t>
            </w:r>
          </w:p>
        </w:tc>
        <w:tc>
          <w:tcPr>
            <w:tcW w:w="1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养护费保障时效</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60万元</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3万元</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美化城市环境，提升城市品味</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保护、改善市民居住生态环境</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99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42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42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2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3.资金使用单位按项目填报，主管部门和财政部门汇总时按区域绩效目标填报。</w:t>
            </w:r>
          </w:p>
        </w:tc>
      </w:tr>
    </w:tbl>
    <w:p>
      <w:pPr>
        <w:rPr>
          <w:rFonts w:hint="eastAsia"/>
          <w:lang w:val="en-US" w:eastAsia="zh-CN"/>
        </w:rPr>
      </w:pPr>
    </w:p>
    <w:p>
      <w:pPr>
        <w:pStyle w:val="2"/>
        <w:rPr>
          <w:rFonts w:hint="eastAsia"/>
          <w:lang w:val="en-US" w:eastAsia="zh-CN"/>
        </w:rPr>
      </w:pPr>
    </w:p>
    <w:p>
      <w:pPr>
        <w:rPr>
          <w:rFonts w:hint="eastAsia"/>
          <w:lang w:val="en-US" w:eastAsia="zh-CN"/>
        </w:rPr>
      </w:pPr>
    </w:p>
    <w:tbl>
      <w:tblPr>
        <w:tblStyle w:val="3"/>
        <w:tblW w:w="10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09"/>
        <w:gridCol w:w="974"/>
        <w:gridCol w:w="1809"/>
        <w:gridCol w:w="1522"/>
        <w:gridCol w:w="1700"/>
        <w:gridCol w:w="1522"/>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5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c>
          <w:tcPr>
            <w:tcW w:w="509"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976"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815"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5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7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2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6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5" w:hRule="atLeast"/>
          <w:jc w:val="center"/>
        </w:trPr>
        <w:tc>
          <w:tcPr>
            <w:tcW w:w="10134"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鄂州市园林绿化中心城区广场游园绿地养护费专项（项目）绩效目标    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0134"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8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2020年城区广场游园绿地养护费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鄂州市城管执法委员会</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鄂州市园林绿化中心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9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89.77</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其中：中央补助</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19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89.77</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9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（包括结转结余）</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9"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8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计划绿化养护面积23.06万平方米，做好城区绿化的补栽、病虫害防治等养护工作。</w:t>
            </w:r>
          </w:p>
        </w:tc>
        <w:tc>
          <w:tcPr>
            <w:tcW w:w="4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精细化管养模式不断优化，着力提升园林绿化管养水平,实现绿化养护面积23.06万平方米管理优良，促进绿化管养提档升级。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绿化养护面积</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23.06万平方米</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23.06万平方米</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绿化养护次数</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48次</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48次</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新栽树木成活率</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绿化苗木保存率</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绿化养护合格率</w:t>
            </w:r>
          </w:p>
        </w:tc>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养护费保障时效</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2020年1月-12月</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成本控制限额</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99万元</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89.77万元</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美化城市环境，提升城市品味</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保护、改善市民居住环境</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基本达到预期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9"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96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13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013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013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3.资金使用单位按项目填报，主管部门和财政部门汇总时按区域绩效目标填报。</w:t>
            </w:r>
          </w:p>
        </w:tc>
      </w:tr>
    </w:tbl>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FmZmJjZTE1NmRhNDE3NWU5ODE1YjRkOGRiM2YifQ=="/>
  </w:docVars>
  <w:rsids>
    <w:rsidRoot w:val="00000000"/>
    <w:rsid w:val="074F04D5"/>
    <w:rsid w:val="0DF31AFF"/>
    <w:rsid w:val="17622085"/>
    <w:rsid w:val="19A72F65"/>
    <w:rsid w:val="1DF874DC"/>
    <w:rsid w:val="2CF2355C"/>
    <w:rsid w:val="2EED46A6"/>
    <w:rsid w:val="30A137FA"/>
    <w:rsid w:val="30C60952"/>
    <w:rsid w:val="394D60CC"/>
    <w:rsid w:val="3A151F1E"/>
    <w:rsid w:val="40166CEC"/>
    <w:rsid w:val="444D4B2B"/>
    <w:rsid w:val="46476EB4"/>
    <w:rsid w:val="49C820BA"/>
    <w:rsid w:val="51C969CF"/>
    <w:rsid w:val="5245206B"/>
    <w:rsid w:val="576C31D4"/>
    <w:rsid w:val="5FC1162D"/>
    <w:rsid w:val="67691137"/>
    <w:rsid w:val="6F8A116C"/>
    <w:rsid w:val="71DC4DBC"/>
    <w:rsid w:val="72AC48DB"/>
    <w:rsid w:val="7BA72041"/>
    <w:rsid w:val="7C0D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151"/>
    <w:basedOn w:val="4"/>
    <w:qFormat/>
    <w:uiPriority w:val="0"/>
    <w:rPr>
      <w:rFonts w:hint="eastAsia" w:ascii="宋体" w:hAnsi="宋体" w:eastAsia="宋体" w:cs="宋体"/>
      <w:color w:val="000000"/>
      <w:sz w:val="32"/>
      <w:szCs w:val="32"/>
      <w:u w:val="none"/>
    </w:rPr>
  </w:style>
  <w:style w:type="character" w:customStyle="1" w:styleId="6">
    <w:name w:val="font81"/>
    <w:basedOn w:val="4"/>
    <w:qFormat/>
    <w:uiPriority w:val="0"/>
    <w:rPr>
      <w:rFonts w:hint="eastAsia" w:ascii="宋体" w:hAnsi="宋体" w:eastAsia="宋体" w:cs="宋体"/>
      <w:color w:val="000000"/>
      <w:sz w:val="20"/>
      <w:szCs w:val="20"/>
      <w:u w:val="none"/>
    </w:rPr>
  </w:style>
  <w:style w:type="character" w:customStyle="1" w:styleId="7">
    <w:name w:val="font101"/>
    <w:basedOn w:val="4"/>
    <w:qFormat/>
    <w:uiPriority w:val="0"/>
    <w:rPr>
      <w:rFonts w:hint="eastAsia" w:ascii="宋体" w:hAnsi="宋体" w:eastAsia="宋体" w:cs="宋体"/>
      <w:color w:val="000000"/>
      <w:sz w:val="18"/>
      <w:szCs w:val="18"/>
      <w:u w:val="none"/>
    </w:rPr>
  </w:style>
  <w:style w:type="character" w:customStyle="1" w:styleId="8">
    <w:name w:val="font121"/>
    <w:basedOn w:val="4"/>
    <w:qFormat/>
    <w:uiPriority w:val="0"/>
    <w:rPr>
      <w:rFonts w:hint="eastAsia" w:ascii="宋体" w:hAnsi="宋体" w:eastAsia="宋体" w:cs="宋体"/>
      <w:color w:val="000000"/>
      <w:sz w:val="32"/>
      <w:szCs w:val="32"/>
      <w:u w:val="none"/>
    </w:rPr>
  </w:style>
  <w:style w:type="character" w:customStyle="1" w:styleId="9">
    <w:name w:val="font131"/>
    <w:basedOn w:val="4"/>
    <w:qFormat/>
    <w:uiPriority w:val="0"/>
    <w:rPr>
      <w:rFonts w:hint="eastAsia" w:ascii="宋体" w:hAnsi="宋体" w:eastAsia="宋体" w:cs="宋体"/>
      <w:color w:val="000000"/>
      <w:sz w:val="18"/>
      <w:szCs w:val="18"/>
      <w:u w:val="none"/>
    </w:rPr>
  </w:style>
  <w:style w:type="character" w:customStyle="1" w:styleId="10">
    <w:name w:val="font61"/>
    <w:basedOn w:val="4"/>
    <w:qFormat/>
    <w:uiPriority w:val="0"/>
    <w:rPr>
      <w:rFonts w:hint="eastAsia" w:ascii="宋体" w:hAnsi="宋体" w:eastAsia="宋体" w:cs="宋体"/>
      <w:color w:val="000000"/>
      <w:sz w:val="20"/>
      <w:szCs w:val="20"/>
      <w:u w:val="none"/>
    </w:rPr>
  </w:style>
  <w:style w:type="character" w:customStyle="1" w:styleId="11">
    <w:name w:val="font51"/>
    <w:basedOn w:val="4"/>
    <w:qFormat/>
    <w:uiPriority w:val="0"/>
    <w:rPr>
      <w:rFonts w:hint="eastAsia" w:ascii="宋体" w:hAnsi="宋体" w:eastAsia="宋体" w:cs="宋体"/>
      <w:color w:val="000000"/>
      <w:sz w:val="22"/>
      <w:szCs w:val="22"/>
      <w:u w:val="none"/>
    </w:rPr>
  </w:style>
  <w:style w:type="character" w:customStyle="1" w:styleId="12">
    <w:name w:val="font91"/>
    <w:basedOn w:val="4"/>
    <w:qFormat/>
    <w:uiPriority w:val="0"/>
    <w:rPr>
      <w:rFonts w:hint="eastAsia" w:ascii="宋体" w:hAnsi="宋体" w:eastAsia="宋体" w:cs="宋体"/>
      <w:color w:val="000000"/>
      <w:sz w:val="20"/>
      <w:szCs w:val="20"/>
      <w:u w:val="none"/>
    </w:rPr>
  </w:style>
  <w:style w:type="character" w:customStyle="1" w:styleId="13">
    <w:name w:val="font41"/>
    <w:basedOn w:val="4"/>
    <w:qFormat/>
    <w:uiPriority w:val="0"/>
    <w:rPr>
      <w:rFonts w:hint="eastAsia" w:ascii="宋体" w:hAnsi="宋体" w:eastAsia="宋体" w:cs="宋体"/>
      <w:color w:val="000000"/>
      <w:sz w:val="32"/>
      <w:szCs w:val="32"/>
      <w:u w:val="none"/>
    </w:rPr>
  </w:style>
  <w:style w:type="character" w:customStyle="1" w:styleId="14">
    <w:name w:val="font21"/>
    <w:basedOn w:val="4"/>
    <w:qFormat/>
    <w:uiPriority w:val="0"/>
    <w:rPr>
      <w:rFonts w:hint="eastAsia" w:ascii="宋体" w:hAnsi="宋体" w:eastAsia="宋体" w:cs="宋体"/>
      <w:color w:val="000000"/>
      <w:sz w:val="20"/>
      <w:szCs w:val="20"/>
      <w:u w:val="none"/>
    </w:rPr>
  </w:style>
  <w:style w:type="character" w:customStyle="1" w:styleId="15">
    <w:name w:val="font11"/>
    <w:basedOn w:val="4"/>
    <w:qFormat/>
    <w:uiPriority w:val="0"/>
    <w:rPr>
      <w:rFonts w:hint="eastAsia" w:ascii="宋体" w:hAnsi="宋体" w:eastAsia="宋体" w:cs="宋体"/>
      <w:color w:val="000000"/>
      <w:sz w:val="18"/>
      <w:szCs w:val="18"/>
      <w:u w:val="none"/>
    </w:rPr>
  </w:style>
  <w:style w:type="character" w:customStyle="1" w:styleId="16">
    <w:name w:val="font01"/>
    <w:basedOn w:val="4"/>
    <w:qFormat/>
    <w:uiPriority w:val="0"/>
    <w:rPr>
      <w:rFonts w:hint="eastAsia" w:ascii="宋体" w:hAnsi="宋体" w:eastAsia="宋体" w:cs="宋体"/>
      <w:color w:val="000000"/>
      <w:sz w:val="20"/>
      <w:szCs w:val="20"/>
      <w:u w:val="none"/>
    </w:rPr>
  </w:style>
  <w:style w:type="character" w:customStyle="1" w:styleId="17">
    <w:name w:val="font31"/>
    <w:basedOn w:val="4"/>
    <w:qFormat/>
    <w:uiPriority w:val="0"/>
    <w:rPr>
      <w:rFonts w:hint="eastAsia" w:ascii="宋体" w:hAnsi="宋体" w:eastAsia="宋体" w:cs="宋体"/>
      <w:color w:val="000000"/>
      <w:sz w:val="18"/>
      <w:szCs w:val="18"/>
      <w:u w:val="none"/>
    </w:rPr>
  </w:style>
  <w:style w:type="character" w:customStyle="1" w:styleId="18">
    <w:name w:val="font112"/>
    <w:basedOn w:val="4"/>
    <w:qFormat/>
    <w:uiPriority w:val="0"/>
    <w:rPr>
      <w:rFonts w:hint="eastAsia" w:ascii="宋体" w:hAnsi="宋体" w:eastAsia="宋体" w:cs="宋体"/>
      <w:color w:val="000000"/>
      <w:sz w:val="18"/>
      <w:szCs w:val="18"/>
      <w:u w:val="none"/>
    </w:rPr>
  </w:style>
  <w:style w:type="character" w:customStyle="1" w:styleId="19">
    <w:name w:val="font12"/>
    <w:basedOn w:val="4"/>
    <w:qFormat/>
    <w:uiPriority w:val="0"/>
    <w:rPr>
      <w:rFonts w:hint="eastAsia" w:ascii="宋体" w:hAnsi="宋体" w:eastAsia="宋体" w:cs="宋体"/>
      <w:color w:val="000000"/>
      <w:sz w:val="32"/>
      <w:szCs w:val="32"/>
      <w:u w:val="none"/>
    </w:rPr>
  </w:style>
  <w:style w:type="character" w:customStyle="1" w:styleId="20">
    <w:name w:val="font111"/>
    <w:basedOn w:val="4"/>
    <w:qFormat/>
    <w:uiPriority w:val="0"/>
    <w:rPr>
      <w:rFonts w:hint="eastAsia" w:ascii="宋体" w:hAnsi="宋体" w:eastAsia="宋体" w:cs="宋体"/>
      <w:color w:val="000000"/>
      <w:sz w:val="20"/>
      <w:szCs w:val="20"/>
      <w:u w:val="none"/>
    </w:rPr>
  </w:style>
  <w:style w:type="character" w:customStyle="1" w:styleId="21">
    <w:name w:val="font14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13818</Words>
  <Characters>15832</Characters>
  <Lines>0</Lines>
  <Paragraphs>0</Paragraphs>
  <TotalTime>2</TotalTime>
  <ScaleCrop>false</ScaleCrop>
  <LinksUpToDate>false</LinksUpToDate>
  <CharactersWithSpaces>16232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Administrator.USER-20170628WQ</dc:creator>
  <cp:lastModifiedBy>夏之雪</cp:lastModifiedBy>
  <dcterms:modified xsi:type="dcterms:W3CDTF">2023-05-22T08:50:41Z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66AD7D5D8289454C8DE43F3731F1F1CF</vt:lpwstr>
  </property>
</Properties>
</file>