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hint="eastAsia" w:ascii="方正小标宋简体" w:hAnsi="方正小标宋简体" w:eastAsia="方正小标宋简体" w:cs="方正小标宋简体"/>
          <w:b/>
          <w:bCs/>
          <w:sz w:val="40"/>
          <w:szCs w:val="40"/>
          <w:u w:val="none"/>
          <w:lang w:val="en-US" w:eastAsia="zh-CN"/>
        </w:rPr>
      </w:pPr>
    </w:p>
    <w:p>
      <w:pPr>
        <w:spacing w:after="312" w:afterLines="100" w:line="600" w:lineRule="exact"/>
        <w:jc w:val="center"/>
        <w:rPr>
          <w:rFonts w:hint="eastAsia" w:ascii="方正小标宋简体" w:hAnsi="方正小标宋简体" w:eastAsia="方正小标宋简体" w:cs="方正小标宋简体"/>
          <w:b/>
          <w:bCs/>
          <w:sz w:val="40"/>
          <w:szCs w:val="40"/>
          <w:u w:val="none"/>
          <w:lang w:val="en-US" w:eastAsia="zh-CN"/>
        </w:rPr>
      </w:pPr>
      <w:r>
        <w:rPr>
          <w:rFonts w:hint="eastAsia" w:ascii="方正小标宋简体" w:hAnsi="方正小标宋简体" w:eastAsia="方正小标宋简体" w:cs="方正小标宋简体"/>
          <w:b/>
          <w:bCs/>
          <w:sz w:val="40"/>
          <w:szCs w:val="40"/>
          <w:u w:val="none"/>
          <w:lang w:val="en-US" w:eastAsia="zh-CN"/>
        </w:rPr>
        <w:t>鄂州市食品药品检验检测所</w:t>
      </w:r>
    </w:p>
    <w:p>
      <w:pPr>
        <w:spacing w:after="312" w:afterLines="100" w:line="600" w:lineRule="exact"/>
        <w:jc w:val="center"/>
        <w:rPr>
          <w:rFonts w:hint="default"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sz w:val="40"/>
          <w:szCs w:val="40"/>
          <w:u w:val="none"/>
          <w:lang w:val="en-US" w:eastAsia="zh-CN"/>
        </w:rPr>
        <w:t>2020</w:t>
      </w:r>
      <w:r>
        <w:rPr>
          <w:rFonts w:hint="eastAsia" w:ascii="方正小标宋简体" w:hAnsi="方正小标宋简体" w:eastAsia="方正小标宋简体" w:cs="方正小标宋简体"/>
          <w:b w:val="0"/>
          <w:bCs w:val="0"/>
          <w:sz w:val="40"/>
          <w:szCs w:val="40"/>
          <w:u w:val="none"/>
          <w:lang w:val="en-US" w:eastAsia="zh-CN"/>
        </w:rPr>
        <w:t>年决算</w:t>
      </w: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目  录</w:t>
      </w:r>
    </w:p>
    <w:p>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第一部分 食品药品检验检测所单位概况</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一、主要职能</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二、机构设置</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二、人员构成</w:t>
      </w:r>
    </w:p>
    <w:p>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第二部分 2020年决算安排情况说明</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一、决算收支情况总体说明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二、财政拨款收支决算情况说明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三、一般公共预算支出决算情况说明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四、一般公共预算基本支出决算情况说明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五、国有资产占用情况说明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六、预算绩效情况说明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七、政府采购执行情况说明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八、一般公共预算“三公”经费支出决算情况说明</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第三部分 名词解释</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第四部分 食品药品检验检测所2020年部门决算表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一、收支决算总表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二、收入决算总表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三、支出决算总表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四、财政拨款收支决算总表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五、一般公共预算支出决算表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六、一般公共预算基本支出决算表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七、一般公共预算“三公”经费支出决算表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八、政府性基金预算支出决算表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九、国有资本经营预算财政拨款支出决算表</w:t>
      </w:r>
    </w:p>
    <w:p>
      <w:pPr>
        <w:numPr>
          <w:ilvl w:val="0"/>
          <w:numId w:val="0"/>
        </w:numPr>
        <w:ind w:firstLine="640"/>
        <w:jc w:val="both"/>
        <w:rPr>
          <w:rFonts w:hint="eastAsia" w:ascii="仿宋" w:hAnsi="仿宋" w:eastAsia="仿宋" w:cs="仿宋"/>
          <w:color w:val="auto"/>
          <w:sz w:val="32"/>
          <w:szCs w:val="32"/>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numPr>
          <w:ilvl w:val="0"/>
          <w:numId w:val="1"/>
        </w:numPr>
        <w:spacing w:after="312" w:afterLines="100"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b/>
          <w:bCs/>
          <w:sz w:val="40"/>
          <w:szCs w:val="40"/>
          <w:lang w:val="en-US" w:eastAsia="zh-CN"/>
        </w:rPr>
        <w:t>鄂州市食品药品检验检测所</w:t>
      </w:r>
      <w:r>
        <w:rPr>
          <w:rFonts w:hint="eastAsia" w:ascii="方正小标宋简体" w:hAnsi="方正小标宋简体" w:eastAsia="方正小标宋简体" w:cs="方正小标宋简体"/>
          <w:sz w:val="40"/>
          <w:szCs w:val="40"/>
          <w:lang w:val="en-US" w:eastAsia="zh-CN"/>
        </w:rPr>
        <w:t>概况</w:t>
      </w:r>
    </w:p>
    <w:p>
      <w:pPr>
        <w:numPr>
          <w:ilvl w:val="0"/>
          <w:numId w:val="0"/>
        </w:numPr>
        <w:spacing w:after="312" w:afterLines="100" w:line="600" w:lineRule="exact"/>
        <w:jc w:val="both"/>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after="312" w:line="3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鄂州市食品药品检验检测所是市公共检验检测中心所属二级单位，主要职责是：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市本级年度检验检测工作计划内的药品、化妆品、食品、食品相关产品、食品添加剂、保健食品的质量检验检测；开展净化环境洁净度检测；承接相关监管部门实施市场准入委托或授权的发证检验以及政府和相关部门的委托检验；提供有关技术质量标准的咨询和服务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开展食品、药品、化妆品等相关检测技术的科研工作，对辖区食品、药品生产企业检验检测工作实施技术指导。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指导辖区内食品药品生产、经营、使用单位质量检验部门业务技术工作，协助解决技术疑难问题，培训有关技术管理人员。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综合上报食品、药品、化妆品质量信息。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承担上级交办的其他工作。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after="312" w:line="3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机构设置情况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内设5个行政科室和4个检验科室，分别为办公室、业技室、质保室、抽检室、收检室、化学室、中药室、微生物室和食品室</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人员构成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鄂州市食品药品检验检测所为公益一类事业单位，相当正科级，核定公益一类事业编制32名，设所长1名，副所长2名。现有在职在编人员29名，退休人员5名。</w:t>
      </w: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第二部分 2020年决算安排情况说明</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一、决算收支情况说明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决算总</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1156.86</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781.45</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67.55</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98.70</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276.72</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23.92</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1137.64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832.74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73.20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304.9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26.80</w:t>
      </w:r>
      <w:r>
        <w:rPr>
          <w:rFonts w:hint="eastAsia" w:ascii="仿宋_GB2312" w:hAnsi="仿宋_GB2312" w:eastAsia="仿宋_GB2312" w:cs="仿宋_GB2312"/>
          <w:color w:val="auto"/>
          <w:sz w:val="32"/>
          <w:szCs w:val="32"/>
        </w:rPr>
        <w:t>%。</w:t>
      </w:r>
    </w:p>
    <w:p>
      <w:p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按照支出功能分类科目，主要用于：</w:t>
      </w:r>
      <w:r>
        <w:rPr>
          <w:rFonts w:hint="eastAsia" w:ascii="仿宋_GB2312" w:hAnsi="仿宋_GB2312" w:eastAsia="仿宋_GB2312" w:cs="仿宋_GB2312"/>
          <w:color w:val="auto"/>
          <w:sz w:val="32"/>
          <w:szCs w:val="32"/>
          <w:lang w:val="en-US" w:eastAsia="zh-CN"/>
        </w:rPr>
        <w:t>一般公共服务支出、社会保障和就业支出、卫生健康支出、住房保障支出、其他支出</w:t>
      </w:r>
      <w:r>
        <w:rPr>
          <w:rFonts w:hint="eastAsia" w:ascii="仿宋_GB2312" w:hAnsi="仿宋_GB2312" w:eastAsia="仿宋_GB2312" w:cs="仿宋_GB2312"/>
          <w:color w:val="auto"/>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按照支出经济分类科目，主要用于：</w:t>
      </w:r>
      <w:r>
        <w:rPr>
          <w:rFonts w:hint="eastAsia" w:ascii="仿宋_GB2312" w:hAnsi="仿宋_GB2312" w:eastAsia="仿宋_GB2312" w:cs="仿宋_GB2312"/>
          <w:color w:val="auto"/>
          <w:sz w:val="32"/>
          <w:szCs w:val="32"/>
          <w:lang w:val="en-US" w:eastAsia="zh-CN"/>
        </w:rPr>
        <w:t>工资福利支出、对个人和家庭的补助、商品和服务支出、资本性支出。</w:t>
      </w: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财政拨款收支</w:t>
      </w:r>
      <w:r>
        <w:rPr>
          <w:rFonts w:hint="eastAsia" w:ascii="黑体" w:hAnsi="黑体" w:eastAsia="黑体" w:cs="黑体"/>
          <w:i w:val="0"/>
          <w:caps w:val="0"/>
          <w:color w:val="000000"/>
          <w:spacing w:val="0"/>
          <w:sz w:val="32"/>
          <w:szCs w:val="32"/>
          <w:shd w:val="clear" w:fill="FFFFFF"/>
          <w:lang w:val="en-US" w:eastAsia="zh-CN"/>
        </w:rPr>
        <w:t>决算情况说明</w:t>
      </w:r>
    </w:p>
    <w:p>
      <w:pPr>
        <w:spacing w:line="620" w:lineRule="exact"/>
        <w:ind w:firstLine="640"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i w:val="0"/>
          <w:caps w:val="0"/>
          <w:color w:val="000000"/>
          <w:spacing w:val="0"/>
          <w:sz w:val="32"/>
          <w:szCs w:val="32"/>
          <w:shd w:val="clear" w:fill="FFFFFF"/>
        </w:rPr>
        <w:t>年财政拨款收</w:t>
      </w:r>
      <w:r>
        <w:rPr>
          <w:rFonts w:hint="eastAsia" w:ascii="仿宋" w:hAnsi="仿宋" w:eastAsia="仿宋" w:cs="仿宋"/>
          <w:i w:val="0"/>
          <w:caps w:val="0"/>
          <w:color w:val="000000"/>
          <w:spacing w:val="0"/>
          <w:sz w:val="32"/>
          <w:szCs w:val="32"/>
          <w:shd w:val="clear" w:fill="FFFFFF"/>
          <w:lang w:val="en-US" w:eastAsia="zh-CN"/>
        </w:rPr>
        <w:t>入总决</w:t>
      </w:r>
      <w:r>
        <w:rPr>
          <w:rFonts w:hint="eastAsia" w:ascii="仿宋" w:hAnsi="仿宋" w:eastAsia="仿宋" w:cs="仿宋"/>
          <w:i w:val="0"/>
          <w:caps w:val="0"/>
          <w:color w:val="000000"/>
          <w:spacing w:val="0"/>
          <w:sz w:val="32"/>
          <w:szCs w:val="32"/>
          <w:shd w:val="clear" w:fill="FFFFFF"/>
        </w:rPr>
        <w:t>算</w:t>
      </w:r>
      <w:r>
        <w:rPr>
          <w:rFonts w:hint="eastAsia" w:ascii="仿宋" w:hAnsi="仿宋" w:eastAsia="仿宋" w:cs="仿宋"/>
          <w:i w:val="0"/>
          <w:caps w:val="0"/>
          <w:color w:val="000000"/>
          <w:spacing w:val="0"/>
          <w:sz w:val="32"/>
          <w:szCs w:val="32"/>
          <w:shd w:val="clear" w:fill="FFFFFF"/>
          <w:lang w:val="en-US" w:eastAsia="zh-CN"/>
        </w:rPr>
        <w:t>1043.33</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主要</w:t>
      </w:r>
      <w:r>
        <w:rPr>
          <w:rFonts w:hint="eastAsia" w:ascii="仿宋" w:hAnsi="仿宋" w:eastAsia="仿宋" w:cs="仿宋"/>
          <w:i w:val="0"/>
          <w:caps w:val="0"/>
          <w:color w:val="000000"/>
          <w:spacing w:val="0"/>
          <w:sz w:val="32"/>
          <w:szCs w:val="32"/>
          <w:shd w:val="clear" w:fill="FFFFFF"/>
        </w:rPr>
        <w:t>包括：一般公共预算财政拨款本年收入</w:t>
      </w:r>
      <w:r>
        <w:rPr>
          <w:rFonts w:hint="eastAsia" w:ascii="仿宋" w:hAnsi="仿宋" w:eastAsia="仿宋" w:cs="仿宋"/>
          <w:i w:val="0"/>
          <w:caps w:val="0"/>
          <w:color w:val="000000"/>
          <w:spacing w:val="0"/>
          <w:sz w:val="32"/>
          <w:szCs w:val="32"/>
          <w:shd w:val="clear" w:fill="FFFFFF"/>
          <w:lang w:val="en-US" w:eastAsia="zh-CN"/>
        </w:rPr>
        <w:t>781.45</w:t>
      </w:r>
      <w:r>
        <w:rPr>
          <w:rFonts w:hint="eastAsia" w:ascii="仿宋" w:hAnsi="仿宋" w:eastAsia="仿宋" w:cs="仿宋"/>
          <w:i w:val="0"/>
          <w:caps w:val="0"/>
          <w:color w:val="000000"/>
          <w:spacing w:val="0"/>
          <w:sz w:val="32"/>
          <w:szCs w:val="32"/>
          <w:shd w:val="clear" w:fill="FFFFFF"/>
        </w:rPr>
        <w:t>万元、上年结转</w:t>
      </w:r>
      <w:r>
        <w:rPr>
          <w:rFonts w:hint="eastAsia" w:ascii="仿宋" w:hAnsi="仿宋" w:eastAsia="仿宋" w:cs="仿宋"/>
          <w:i w:val="0"/>
          <w:caps w:val="0"/>
          <w:color w:val="000000"/>
          <w:spacing w:val="0"/>
          <w:sz w:val="32"/>
          <w:szCs w:val="32"/>
          <w:shd w:val="clear" w:fill="FFFFFF"/>
          <w:lang w:val="en-US" w:eastAsia="zh-CN"/>
        </w:rPr>
        <w:t>261.89</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支出总</w:t>
      </w:r>
      <w:r>
        <w:rPr>
          <w:rFonts w:hint="eastAsia" w:ascii="仿宋" w:hAnsi="仿宋" w:eastAsia="仿宋" w:cs="仿宋"/>
          <w:i w:val="0"/>
          <w:caps w:val="0"/>
          <w:color w:val="000000"/>
          <w:spacing w:val="0"/>
          <w:sz w:val="32"/>
          <w:szCs w:val="32"/>
          <w:shd w:val="clear" w:fill="FFFFFF"/>
        </w:rPr>
        <w:t>决算</w:t>
      </w:r>
      <w:r>
        <w:rPr>
          <w:rFonts w:hint="eastAsia" w:ascii="仿宋" w:hAnsi="仿宋" w:eastAsia="仿宋" w:cs="仿宋"/>
          <w:i w:val="0"/>
          <w:caps w:val="0"/>
          <w:color w:val="000000"/>
          <w:spacing w:val="0"/>
          <w:sz w:val="32"/>
          <w:szCs w:val="32"/>
          <w:shd w:val="clear" w:fill="FFFFFF"/>
          <w:lang w:val="en-US" w:eastAsia="zh-CN"/>
        </w:rPr>
        <w:t>1043.33</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主要包括：一般公共服务支出978.75万元、社会保障和就业支出27.87万元、卫生健康支出14.81万元、住房保障支出21.90万元。</w:t>
      </w:r>
    </w:p>
    <w:p>
      <w:p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w:t>
      </w:r>
      <w:r>
        <w:rPr>
          <w:rFonts w:hint="eastAsia" w:ascii="黑体" w:hAnsi="黑体" w:eastAsia="黑体" w:cs="黑体"/>
          <w:sz w:val="32"/>
          <w:szCs w:val="32"/>
        </w:rPr>
        <w:t>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val="en-US" w:eastAsia="zh-CN"/>
        </w:rPr>
        <w:t>说明</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2020年一般公共决算支出1043.33万元，具体情况如下：</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一般公共服务支出（类）市场监督管理事务（款）一般行政管理事务（项），用于单位抽检业务日常支出；</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一般公共服务支出（类）市场监督管理事务（款）市场主体管理（项），用于检验检测所需的耗材支出；</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一般公共服务支出（类）市场监督管理事务（款）药品事务（项），用于药品抽检业务日常支出；</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一般公共服务支出（类）市场监督管理事务（款）质量安全监管（项），用于食品药品检测安全检测相关费用支出；</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一般公共服务支出（类）市场监督管理事务（款）事业运行（项），用于人员经费、公用经费及抽样检验相关费用的支出；</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社会保障和就业支出（类）行政事业单位养老支出（款）机关事业单位基本养老保险缴费支出（项），用于缴纳职工养老保险；</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卫生健康支出（类）行政事业单位医疗（款）事业单位医疗（项），用于缴纳职工医疗保险；</w:t>
      </w:r>
    </w:p>
    <w:p>
      <w:pPr>
        <w:numPr>
          <w:ilvl w:val="0"/>
          <w:numId w:val="4"/>
        </w:num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住房保障支出（类）住房改革支出（款）住房公积金（项），用于缴纳职工住房公积金。</w:t>
      </w:r>
    </w:p>
    <w:p>
      <w:pPr>
        <w:keepNext w:val="0"/>
        <w:keepLines w:val="0"/>
        <w:widowControl/>
        <w:suppressLineNumbers w:val="0"/>
        <w:jc w:val="left"/>
      </w:pPr>
    </w:p>
    <w:p>
      <w:pPr>
        <w:keepNext w:val="0"/>
        <w:keepLines w:val="0"/>
        <w:widowControl/>
        <w:suppressLineNumbers w:val="0"/>
        <w:jc w:val="left"/>
      </w:pPr>
    </w:p>
    <w:p>
      <w:pPr>
        <w:spacing w:line="620" w:lineRule="exact"/>
        <w:ind w:firstLine="640" w:firstLineChars="200"/>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四、</w:t>
      </w:r>
      <w:r>
        <w:rPr>
          <w:rFonts w:hint="eastAsia" w:ascii="黑体" w:hAnsi="黑体" w:eastAsia="黑体" w:cs="黑体"/>
          <w:i w:val="0"/>
          <w:caps w:val="0"/>
          <w:color w:val="000000"/>
          <w:spacing w:val="0"/>
          <w:sz w:val="32"/>
          <w:szCs w:val="32"/>
          <w:shd w:val="clear" w:fill="FFFFFF"/>
        </w:rPr>
        <w:t>一般公共预算基本支出</w:t>
      </w:r>
      <w:r>
        <w:rPr>
          <w:rFonts w:hint="eastAsia" w:ascii="黑体" w:hAnsi="黑体" w:eastAsia="黑体" w:cs="黑体"/>
          <w:i w:val="0"/>
          <w:caps w:val="0"/>
          <w:color w:val="000000"/>
          <w:spacing w:val="0"/>
          <w:sz w:val="32"/>
          <w:szCs w:val="32"/>
          <w:shd w:val="clear" w:fill="FFFFFF"/>
          <w:lang w:val="en-US" w:eastAsia="zh-CN"/>
        </w:rPr>
        <w:t>决算</w:t>
      </w:r>
      <w:r>
        <w:rPr>
          <w:rFonts w:hint="eastAsia" w:ascii="黑体" w:hAnsi="黑体" w:eastAsia="黑体" w:cs="黑体"/>
          <w:i w:val="0"/>
          <w:caps w:val="0"/>
          <w:color w:val="000000"/>
          <w:spacing w:val="0"/>
          <w:sz w:val="32"/>
          <w:szCs w:val="32"/>
          <w:shd w:val="clear" w:fill="FFFFFF"/>
        </w:rPr>
        <w:t>情况</w:t>
      </w:r>
      <w:r>
        <w:rPr>
          <w:rFonts w:hint="eastAsia" w:ascii="黑体" w:hAnsi="黑体" w:eastAsia="黑体" w:cs="黑体"/>
          <w:i w:val="0"/>
          <w:caps w:val="0"/>
          <w:color w:val="000000"/>
          <w:spacing w:val="0"/>
          <w:sz w:val="32"/>
          <w:szCs w:val="32"/>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sz w:val="32"/>
          <w:szCs w:val="32"/>
          <w:lang w:val="en-US" w:eastAsia="zh-CN"/>
        </w:rPr>
        <w:t>年一般公共预算基本支出决算738.44万元，占决算总额的70%。其中：</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(一)人员经费525.43万元。包括：</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资福利支出517.49万元，主要用于：在职人员基本工资、津贴补贴、奖金、绩效工资、机关事业单位基本养老保险缴费、职业年金缴费、职工基本医疗保险缴费、公务员医疗补助、其他社会保障缴费、住房公积金、其他工资福利支出等。</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对个人和家庭的补助7.94万元，主要用于：离休费、退休费、抚恤金、生活补助、其他对个人和家庭补助支出等。</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（二）公用经费213.01万元。主要用于：办公费、印刷费、水费、电费、邮电费、差旅费、维修(护)费、培训费、劳务费、工会经费、福利费、公务用车运行维护费、专用设备购置、其他商品和服务支出等。</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五、国有资产占用情况说明</w:t>
      </w:r>
    </w:p>
    <w:p>
      <w:pPr>
        <w:numPr>
          <w:ilvl w:val="0"/>
          <w:numId w:val="0"/>
        </w:numPr>
        <w:spacing w:line="62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截止2020年12月31日，房屋面积3200平方米，共有抽检车辆3辆，为食品药品化妆品抽检业务用车，检验检测专用仪器设备251台/套，原值1997.18万元，其中100万元以上的专用仪器2台，原值411.8万元。</w:t>
      </w:r>
    </w:p>
    <w:p>
      <w:pPr>
        <w:numPr>
          <w:ilvl w:val="0"/>
          <w:numId w:val="0"/>
        </w:numPr>
        <w:spacing w:line="62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六、预算绩效情况说明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食品药品检测项目绩效自评综述：项目全年预算数为520万元，执行数为520万元，完成预算100％。</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主要产出和效益：</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一、产出指标：</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1、食品抽检完成情况</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普通食品及食用农产品：全年食品任务总量3231批次，抽检完成3232批次，完成率100.05%，其中不合格70批次，合格率98%。</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2、药品化妆品抽检完成情况</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药品：全年药品任务总量176批次，抽检完成176批次，完成100.00%，其中不合格2批次，不合格率1.14%。</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化妆品：全年化妆品任务总量19批次，抽检完成19批次，完成100.00%，全部合格。</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为加强市场监管、维护疫情期间市场秩序，营造疫情期间放心消费的购物环境，我所针对疫情期间市场紧缺的方便食品、流通领域抗病毒类和消炎类药物开展了专项抽检。其中食品抽样50批次，药品抽样30批次。</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二、效益指标：</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1、经济效益：为全市人民群众饮食安全提供有力保障，有利于我市经济发展。</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2、社会效益：提高公众饮食用药安全意识及社会和谐。</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3、生态效益：为公众安全的饮食用药环境提供保障。</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三、发现的问题及原因：无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四、下一步改进措施：</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食品药品抽检经费项目的实施，紧紧围绕全年工作目标，牢固树立科学检验理念，加强业务规范化建设，确保检验工作质量，充分发挥市场监管的技术支撑作用，较好的完成了各项工作任务。在项目实施工作中依然有不足之处，我所将继续着力提升能力建设，稳步推进食品药品检验检测工作持续健康发展。</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七、政府采购执行情况说明</w:t>
      </w:r>
    </w:p>
    <w:p>
      <w:pPr>
        <w:pStyle w:val="8"/>
        <w:rPr>
          <w:rFonts w:hint="eastAsia" w:ascii="仿宋_GB2312" w:eastAsia="仿宋_GB2312"/>
          <w:szCs w:val="32"/>
        </w:rPr>
      </w:pPr>
      <w:r>
        <w:rPr>
          <w:rFonts w:hint="eastAsia" w:ascii="仿宋_GB2312" w:eastAsia="仿宋_GB2312"/>
          <w:szCs w:val="32"/>
        </w:rPr>
        <w:t xml:space="preserve"> 2020年度政府采购支出总额 </w:t>
      </w:r>
      <w:r>
        <w:rPr>
          <w:rFonts w:hint="eastAsia" w:ascii="仿宋_GB2312" w:eastAsia="仿宋_GB2312"/>
          <w:szCs w:val="32"/>
          <w:lang w:val="en-US" w:eastAsia="zh-CN"/>
        </w:rPr>
        <w:t>196.7</w:t>
      </w:r>
      <w:r>
        <w:rPr>
          <w:rFonts w:hint="eastAsia" w:ascii="仿宋_GB2312" w:eastAsia="仿宋_GB2312"/>
          <w:szCs w:val="32"/>
        </w:rPr>
        <w:t xml:space="preserve">万元，其中：政府采购货物支出 </w:t>
      </w:r>
      <w:r>
        <w:rPr>
          <w:rFonts w:hint="eastAsia" w:ascii="仿宋_GB2312" w:eastAsia="仿宋_GB2312"/>
          <w:szCs w:val="32"/>
          <w:lang w:val="en-US" w:eastAsia="zh-CN"/>
        </w:rPr>
        <w:t>180.44</w:t>
      </w:r>
      <w:r>
        <w:rPr>
          <w:rFonts w:hint="eastAsia" w:ascii="仿宋_GB2312" w:eastAsia="仿宋_GB2312"/>
          <w:szCs w:val="32"/>
        </w:rPr>
        <w:t xml:space="preserve"> 万元、政府采购服务支出</w:t>
      </w:r>
      <w:r>
        <w:rPr>
          <w:rFonts w:hint="eastAsia" w:ascii="仿宋_GB2312" w:eastAsia="仿宋_GB2312"/>
          <w:szCs w:val="32"/>
          <w:lang w:val="en-US" w:eastAsia="zh-CN"/>
        </w:rPr>
        <w:t>16.26</w:t>
      </w:r>
      <w:r>
        <w:rPr>
          <w:rFonts w:hint="eastAsia" w:ascii="仿宋_GB2312" w:eastAsia="仿宋_GB2312"/>
          <w:szCs w:val="32"/>
        </w:rPr>
        <w:t>万元。</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一般公共预算“三公”经费支出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eastAsia="zh-CN"/>
        </w:rPr>
        <w:t>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29.16</w:t>
      </w:r>
      <w:r>
        <w:rPr>
          <w:rFonts w:hint="eastAsia" w:ascii="仿宋_GB2312" w:hAnsi="仿宋_GB2312" w:eastAsia="仿宋_GB2312" w:cs="仿宋_GB2312"/>
          <w:sz w:val="32"/>
          <w:szCs w:val="32"/>
        </w:rPr>
        <w:t>万元，其中：</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29.16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19.48</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9.67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年公务用车购置量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台，保有量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p>
    <w:p>
      <w:pPr>
        <w:numPr>
          <w:ilvl w:val="0"/>
          <w:numId w:val="0"/>
        </w:numPr>
        <w:jc w:val="both"/>
        <w:rPr>
          <w:rFonts w:hint="eastAsia" w:ascii="仿宋" w:hAnsi="仿宋" w:eastAsia="仿宋" w:cs="仿宋"/>
          <w:color w:val="auto"/>
          <w:sz w:val="32"/>
          <w:szCs w:val="32"/>
          <w:lang w:val="en-US" w:eastAsia="zh-CN"/>
        </w:rPr>
      </w:pPr>
    </w:p>
    <w:p>
      <w:pPr>
        <w:numPr>
          <w:ilvl w:val="0"/>
          <w:numId w:val="0"/>
        </w:numPr>
        <w:jc w:val="both"/>
        <w:rPr>
          <w:rFonts w:hint="eastAsia" w:ascii="仿宋" w:hAnsi="仿宋" w:eastAsia="仿宋" w:cs="仿宋"/>
          <w:color w:val="auto"/>
          <w:sz w:val="32"/>
          <w:szCs w:val="32"/>
          <w:lang w:val="en-US" w:eastAsia="zh-CN"/>
        </w:rPr>
      </w:pPr>
    </w:p>
    <w:p>
      <w:pPr>
        <w:numPr>
          <w:ilvl w:val="0"/>
          <w:numId w:val="0"/>
        </w:numPr>
        <w:jc w:val="both"/>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第三部分  专业名词解释</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4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财政拨款收入：指本年度从本级财政部门取得的财政拨款，包括一般公共预算财政拨款和政府性基金预算财政拨款。</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2、</w:t>
      </w:r>
      <w:r>
        <w:rPr>
          <w:rFonts w:hint="eastAsia" w:ascii="仿宋_GB2312" w:hAnsi="仿宋_GB2312" w:eastAsia="仿宋_GB2312" w:cs="仿宋_GB2312"/>
          <w:sz w:val="32"/>
          <w:szCs w:val="32"/>
          <w:u w:val="none"/>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项目支出：指在基本支出之外为完成特定行政任务和事业发展目标所发生的支出。</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4、</w:t>
      </w:r>
      <w:r>
        <w:rPr>
          <w:rFonts w:hint="eastAsia" w:ascii="仿宋_GB2312" w:hAnsi="仿宋_GB2312" w:eastAsia="仿宋_GB2312" w:cs="仿宋_GB2312"/>
          <w:sz w:val="32"/>
          <w:szCs w:val="32"/>
          <w:u w:val="none"/>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 xml:space="preserve">  5、</w:t>
      </w:r>
      <w:r>
        <w:rPr>
          <w:rFonts w:hint="eastAsia" w:ascii="仿宋_GB2312" w:hAnsi="仿宋_GB2312" w:eastAsia="仿宋_GB2312" w:cs="仿宋_GB2312"/>
          <w:sz w:val="32"/>
          <w:szCs w:val="32"/>
          <w:u w:val="none"/>
          <w:shd w:val="clear" w:color="auto" w:fill="FFFFFF"/>
        </w:rPr>
        <w:t>工资福利支出（支出经济分类科目类级）：反映单位开支的在职职工和编制外长期聘用人员的各类劳动报酬，以及为上述人员缴纳的各项社会保险费等。</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 xml:space="preserve"> 7、</w:t>
      </w:r>
      <w:r>
        <w:rPr>
          <w:rFonts w:hint="eastAsia" w:ascii="仿宋_GB2312" w:hAnsi="仿宋_GB2312" w:eastAsia="仿宋_GB2312" w:cs="仿宋_GB2312"/>
          <w:sz w:val="32"/>
          <w:szCs w:val="32"/>
          <w:u w:val="none"/>
          <w:shd w:val="clear" w:color="auto" w:fill="FFFFFF"/>
        </w:rPr>
        <w:t>商品和服务支出（支出经济分类科目类级）：反映单位购买商品和服务的支出（不包括用于购置固定资产的支出、战略性和应急储备支出）。</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8、</w:t>
      </w:r>
      <w:r>
        <w:rPr>
          <w:rFonts w:hint="eastAsia" w:ascii="仿宋_GB2312" w:hAnsi="仿宋_GB2312" w:eastAsia="仿宋_GB2312" w:cs="仿宋_GB2312"/>
          <w:sz w:val="32"/>
          <w:szCs w:val="32"/>
          <w:u w:val="none"/>
          <w:shd w:val="clear" w:color="auto" w:fill="FFFFFF"/>
        </w:rPr>
        <w:t>对个人和家庭的补助（支出经济分类科目类级）：反映用于对个人和家庭的补助支出。</w:t>
      </w:r>
      <w:r>
        <w:rPr>
          <w:rFonts w:hint="eastAsia" w:ascii="仿宋_GB2312" w:hAnsi="仿宋_GB2312" w:eastAsia="仿宋_GB2312" w:cs="仿宋_GB2312"/>
          <w:sz w:val="32"/>
          <w:szCs w:val="32"/>
          <w:u w:val="none"/>
          <w:shd w:val="clear" w:color="auto" w:fill="FFFFFF"/>
        </w:rPr>
        <w:br w:type="textWrapping"/>
      </w:r>
      <w:r>
        <w:rPr>
          <w:rFonts w:hint="eastAsia" w:ascii="仿宋_GB2312" w:hAnsi="仿宋_GB2312" w:eastAsia="仿宋_GB2312" w:cs="仿宋_GB2312"/>
          <w:sz w:val="32"/>
          <w:szCs w:val="32"/>
          <w:u w:val="none"/>
          <w:shd w:val="clear" w:color="auto" w:fill="FFFFFF"/>
        </w:rPr>
        <w:t>　</w:t>
      </w:r>
      <w:r>
        <w:rPr>
          <w:rFonts w:hint="eastAsia" w:ascii="仿宋_GB2312" w:hAnsi="仿宋_GB2312" w:eastAsia="仿宋_GB2312" w:cs="仿宋_GB2312"/>
          <w:sz w:val="32"/>
          <w:szCs w:val="32"/>
          <w:u w:val="none"/>
          <w:shd w:val="clear" w:color="auto" w:fill="FFFFFF"/>
          <w:lang w:val="en-US" w:eastAsia="zh-CN"/>
        </w:rPr>
        <w:t xml:space="preserve"> 9、</w:t>
      </w:r>
      <w:r>
        <w:rPr>
          <w:rFonts w:hint="eastAsia" w:ascii="仿宋_GB2312" w:hAnsi="仿宋_GB2312" w:eastAsia="仿宋_GB2312" w:cs="仿宋_GB2312"/>
          <w:sz w:val="32"/>
          <w:szCs w:val="32"/>
          <w:u w:val="none"/>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 xml:space="preserve">部分 </w:t>
      </w:r>
      <w:r>
        <w:rPr>
          <w:rFonts w:hint="eastAsia" w:ascii="方正小标宋简体" w:hAnsi="方正小标宋简体" w:eastAsia="方正小标宋简体" w:cs="方正小标宋简体"/>
          <w:sz w:val="40"/>
          <w:szCs w:val="40"/>
          <w:lang w:val="en-US" w:eastAsia="zh-CN"/>
        </w:rPr>
        <w:t>2020年</w:t>
      </w:r>
      <w:r>
        <w:rPr>
          <w:rFonts w:hint="eastAsia" w:ascii="方正小标宋简体" w:hAnsi="方正小标宋简体" w:eastAsia="方正小标宋简体" w:cs="方正小标宋简体"/>
          <w:sz w:val="40"/>
          <w:szCs w:val="40"/>
        </w:rPr>
        <w:t>决算表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食品药品检验检测所</w:t>
      </w:r>
      <w:r>
        <w:rPr>
          <w:rFonts w:hint="eastAsia" w:ascii="仿宋_GB2312" w:hAnsi="仿宋_GB2312" w:eastAsia="仿宋_GB2312" w:cs="仿宋_GB2312"/>
          <w:sz w:val="32"/>
          <w:szCs w:val="32"/>
          <w:lang w:eastAsia="zh-CN"/>
        </w:rPr>
        <w:t>决算表</w:t>
      </w:r>
    </w:p>
    <w:p>
      <w:pPr>
        <w:ind w:firstLine="640" w:firstLineChars="200"/>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85E1AB-CA24-41AF-97A4-76DD2632E5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DE8E3D5-7023-462C-AB0F-371DA65B29C4}"/>
  </w:font>
  <w:font w:name="方正小标宋简体">
    <w:panose1 w:val="02000000000000000000"/>
    <w:charset w:val="86"/>
    <w:family w:val="auto"/>
    <w:pitch w:val="default"/>
    <w:sig w:usb0="00000001" w:usb1="08000000" w:usb2="00000000" w:usb3="00000000" w:csb0="00040000" w:csb1="00000000"/>
    <w:embedRegular r:id="rId3" w:fontKey="{DEF59AF2-B473-4EFE-9AEB-BC049E7C4075}"/>
  </w:font>
  <w:font w:name="仿宋_GB2312">
    <w:panose1 w:val="02010609030101010101"/>
    <w:charset w:val="86"/>
    <w:family w:val="auto"/>
    <w:pitch w:val="default"/>
    <w:sig w:usb0="00000001" w:usb1="080E0000" w:usb2="00000000" w:usb3="00000000" w:csb0="00040000" w:csb1="00000000"/>
    <w:embedRegular r:id="rId4" w:fontKey="{28F4920D-CC4E-4489-BD5C-81F88603EB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957E1"/>
    <w:multiLevelType w:val="singleLevel"/>
    <w:tmpl w:val="045957E1"/>
    <w:lvl w:ilvl="0" w:tentative="0">
      <w:start w:val="2"/>
      <w:numFmt w:val="chineseCounting"/>
      <w:suff w:val="nothing"/>
      <w:lvlText w:val="%1、"/>
      <w:lvlJc w:val="left"/>
      <w:rPr>
        <w:rFonts w:hint="eastAsia"/>
      </w:rPr>
    </w:lvl>
  </w:abstractNum>
  <w:abstractNum w:abstractNumId="1">
    <w:nsid w:val="04C8658D"/>
    <w:multiLevelType w:val="singleLevel"/>
    <w:tmpl w:val="04C8658D"/>
    <w:lvl w:ilvl="0" w:tentative="0">
      <w:start w:val="1"/>
      <w:numFmt w:val="chineseCounting"/>
      <w:suff w:val="space"/>
      <w:lvlText w:val="第%1部分"/>
      <w:lvlJc w:val="left"/>
      <w:rPr>
        <w:rFonts w:hint="eastAsia"/>
      </w:rPr>
    </w:lvl>
  </w:abstractNum>
  <w:abstractNum w:abstractNumId="2">
    <w:nsid w:val="2A24A469"/>
    <w:multiLevelType w:val="singleLevel"/>
    <w:tmpl w:val="2A24A469"/>
    <w:lvl w:ilvl="0" w:tentative="0">
      <w:start w:val="1"/>
      <w:numFmt w:val="decimal"/>
      <w:suff w:val="nothing"/>
      <w:lvlText w:val="%1、"/>
      <w:lvlJc w:val="left"/>
    </w:lvl>
  </w:abstractNum>
  <w:abstractNum w:abstractNumId="3">
    <w:nsid w:val="5C85FDE5"/>
    <w:multiLevelType w:val="singleLevel"/>
    <w:tmpl w:val="5C85FDE5"/>
    <w:lvl w:ilvl="0" w:tentative="0">
      <w:start w:val="1"/>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0825DE1"/>
    <w:rsid w:val="059C364E"/>
    <w:rsid w:val="060979BE"/>
    <w:rsid w:val="07A93794"/>
    <w:rsid w:val="08B3525E"/>
    <w:rsid w:val="0F552555"/>
    <w:rsid w:val="1045153D"/>
    <w:rsid w:val="12C66CC0"/>
    <w:rsid w:val="180E5E58"/>
    <w:rsid w:val="1C035912"/>
    <w:rsid w:val="1F7E6F8B"/>
    <w:rsid w:val="1F8B45B3"/>
    <w:rsid w:val="20532DC7"/>
    <w:rsid w:val="21240AF9"/>
    <w:rsid w:val="21A451C1"/>
    <w:rsid w:val="25E90652"/>
    <w:rsid w:val="2652017F"/>
    <w:rsid w:val="2A0B36F9"/>
    <w:rsid w:val="2A871F05"/>
    <w:rsid w:val="2C541B9F"/>
    <w:rsid w:val="336F02F9"/>
    <w:rsid w:val="34890FB5"/>
    <w:rsid w:val="34D2390A"/>
    <w:rsid w:val="38E32AE0"/>
    <w:rsid w:val="39E23654"/>
    <w:rsid w:val="3A3F3D49"/>
    <w:rsid w:val="3B51333D"/>
    <w:rsid w:val="3D1933C7"/>
    <w:rsid w:val="40DD22A0"/>
    <w:rsid w:val="44DC3F75"/>
    <w:rsid w:val="48D93EAD"/>
    <w:rsid w:val="499C3073"/>
    <w:rsid w:val="49DF628C"/>
    <w:rsid w:val="4ADC4D27"/>
    <w:rsid w:val="500B5558"/>
    <w:rsid w:val="51517676"/>
    <w:rsid w:val="574C5359"/>
    <w:rsid w:val="591F4EFC"/>
    <w:rsid w:val="5A71005B"/>
    <w:rsid w:val="5CCF5743"/>
    <w:rsid w:val="5DB3034D"/>
    <w:rsid w:val="5F0D4C47"/>
    <w:rsid w:val="60B978E1"/>
    <w:rsid w:val="61791DB9"/>
    <w:rsid w:val="62914BB0"/>
    <w:rsid w:val="6726322E"/>
    <w:rsid w:val="685D7D22"/>
    <w:rsid w:val="6FF8698C"/>
    <w:rsid w:val="73454322"/>
    <w:rsid w:val="735E03D4"/>
    <w:rsid w:val="75257BCB"/>
    <w:rsid w:val="77A75781"/>
    <w:rsid w:val="7E7633A9"/>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000000"/>
      <w:sz w:val="12"/>
      <w:szCs w:val="12"/>
      <w:u w:val="none"/>
    </w:rPr>
  </w:style>
  <w:style w:type="character" w:styleId="7">
    <w:name w:val="Hyperlink"/>
    <w:basedOn w:val="5"/>
    <w:qFormat/>
    <w:uiPriority w:val="0"/>
    <w:rPr>
      <w:color w:val="000000"/>
      <w:sz w:val="12"/>
      <w:szCs w:val="12"/>
      <w:u w:val="none"/>
    </w:rPr>
  </w:style>
  <w:style w:type="paragraph" w:customStyle="1" w:styleId="8">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admin</cp:lastModifiedBy>
  <cp:lastPrinted>2021-11-05T07:19:00Z</cp:lastPrinted>
  <dcterms:modified xsi:type="dcterms:W3CDTF">2021-11-05T09:26:05Z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A36A25D0E75D4A73AF596E5C6982A2D4</vt:lpwstr>
  </property>
</Properties>
</file>