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37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7"/>
        <w:gridCol w:w="736"/>
        <w:gridCol w:w="1137"/>
        <w:gridCol w:w="731"/>
        <w:gridCol w:w="982"/>
        <w:gridCol w:w="1185"/>
        <w:gridCol w:w="1125"/>
        <w:gridCol w:w="720"/>
        <w:gridCol w:w="192"/>
        <w:gridCol w:w="457"/>
        <w:gridCol w:w="457"/>
        <w:gridCol w:w="10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exact"/>
          <w:jc w:val="center"/>
        </w:trPr>
        <w:tc>
          <w:tcPr>
            <w:tcW w:w="9373" w:type="dxa"/>
            <w:gridSpan w:val="1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kern w:val="0"/>
                <w:sz w:val="36"/>
                <w:szCs w:val="36"/>
              </w:rPr>
              <w:t>项目支出绩效自评表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9373" w:type="dxa"/>
            <w:gridSpan w:val="12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ascii="宋体" w:hAnsi="宋体" w:eastAsia="宋体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32"/>
                <w:szCs w:val="32"/>
              </w:rPr>
              <w:t>（</w:t>
            </w: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32"/>
                <w:szCs w:val="32"/>
                <w:lang w:val="en-US" w:eastAsia="zh-CN"/>
              </w:rPr>
              <w:t>2020</w:t>
            </w: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32"/>
                <w:szCs w:val="32"/>
              </w:rPr>
              <w:t>年度）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804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eastAsia="zh-CN"/>
              </w:rPr>
              <w:t>安全生产专项服务费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exact"/>
          <w:jc w:val="center"/>
        </w:trPr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主管部门</w:t>
            </w:r>
          </w:p>
        </w:tc>
        <w:tc>
          <w:tcPr>
            <w:tcW w:w="40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eastAsia="zh-CN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eastAsia="zh-CN"/>
              </w:rPr>
              <w:t>鄂州市住房和城乡建设局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实施单位</w:t>
            </w:r>
          </w:p>
        </w:tc>
        <w:tc>
          <w:tcPr>
            <w:tcW w:w="28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eastAsia="zh-CN"/>
              </w:rPr>
              <w:t>鄂州市住房和城乡建设局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3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项目资金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18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年初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预算数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全年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预算数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全年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执行数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分值</w:t>
            </w:r>
          </w:p>
        </w:tc>
        <w:tc>
          <w:tcPr>
            <w:tcW w:w="9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执行率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exact"/>
          <w:jc w:val="center"/>
        </w:trPr>
        <w:tc>
          <w:tcPr>
            <w:tcW w:w="133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8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年度资金总额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10</w:t>
            </w:r>
          </w:p>
        </w:tc>
        <w:tc>
          <w:tcPr>
            <w:tcW w:w="9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133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8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其中：当年财政拨款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—</w:t>
            </w:r>
          </w:p>
        </w:tc>
        <w:tc>
          <w:tcPr>
            <w:tcW w:w="9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  <w:jc w:val="center"/>
        </w:trPr>
        <w:tc>
          <w:tcPr>
            <w:tcW w:w="133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8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上年结转资金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—</w:t>
            </w:r>
          </w:p>
        </w:tc>
        <w:tc>
          <w:tcPr>
            <w:tcW w:w="9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exact"/>
          <w:jc w:val="center"/>
        </w:trPr>
        <w:tc>
          <w:tcPr>
            <w:tcW w:w="133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8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其他资金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—</w:t>
            </w:r>
          </w:p>
        </w:tc>
        <w:tc>
          <w:tcPr>
            <w:tcW w:w="9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exact"/>
          <w:jc w:val="center"/>
        </w:trPr>
        <w:tc>
          <w:tcPr>
            <w:tcW w:w="59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年度总体目标</w:t>
            </w:r>
          </w:p>
        </w:tc>
        <w:tc>
          <w:tcPr>
            <w:tcW w:w="477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预期目标</w:t>
            </w:r>
          </w:p>
        </w:tc>
        <w:tc>
          <w:tcPr>
            <w:tcW w:w="400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实际完成情况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9" w:hRule="exact"/>
          <w:jc w:val="center"/>
        </w:trPr>
        <w:tc>
          <w:tcPr>
            <w:tcW w:w="5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77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eastAsia="zh-CN"/>
              </w:rPr>
              <w:t xml:space="preserve">    建立完善专家库；整合建筑、燃气等行业专家队伍,分类别、按比例建立鄂州市建设行业安全生产专家库,根据实际工作需要,分行业领域分专业配备；保障建筑市场安全生产，燃气安全。</w:t>
            </w:r>
          </w:p>
        </w:tc>
        <w:tc>
          <w:tcPr>
            <w:tcW w:w="400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eastAsia="zh-CN"/>
              </w:rPr>
              <w:t xml:space="preserve">   充分发挥了安全生产专家在安全监管工作中的支撑作用,提高了排查隐患与整改的质量和水平。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exact"/>
          <w:jc w:val="center"/>
        </w:trPr>
        <w:tc>
          <w:tcPr>
            <w:tcW w:w="59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绩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指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标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17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三级指标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指标值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实际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完成值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分值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得分</w:t>
            </w: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偏差原因分析及改进措施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exact"/>
          <w:jc w:val="center"/>
        </w:trPr>
        <w:tc>
          <w:tcPr>
            <w:tcW w:w="59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产出指标</w:t>
            </w:r>
          </w:p>
        </w:tc>
        <w:tc>
          <w:tcPr>
            <w:tcW w:w="113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数量指标</w:t>
            </w:r>
          </w:p>
        </w:tc>
        <w:tc>
          <w:tcPr>
            <w:tcW w:w="17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eastAsia="zh-CN"/>
              </w:rPr>
              <w:t>建筑安全检查次数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64批次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64批次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  <w:jc w:val="center"/>
        </w:trPr>
        <w:tc>
          <w:tcPr>
            <w:tcW w:w="59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7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eastAsia="zh-CN"/>
              </w:rPr>
              <w:t>燃气安全检查次数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55批次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55批次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exact"/>
          <w:jc w:val="center"/>
        </w:trPr>
        <w:tc>
          <w:tcPr>
            <w:tcW w:w="59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7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eastAsia="zh-CN"/>
              </w:rPr>
              <w:t>组织建筑业企业资质专家评审次数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11批次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11批次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59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3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质量指标</w:t>
            </w:r>
          </w:p>
        </w:tc>
        <w:tc>
          <w:tcPr>
            <w:tcW w:w="17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eastAsia="zh-CN"/>
              </w:rPr>
              <w:t>建筑安全检查覆盖率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  <w:jc w:val="center"/>
        </w:trPr>
        <w:tc>
          <w:tcPr>
            <w:tcW w:w="59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7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eastAsia="zh-CN"/>
              </w:rPr>
              <w:t>燃气安全检查覆盖率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exact"/>
          <w:jc w:val="center"/>
        </w:trPr>
        <w:tc>
          <w:tcPr>
            <w:tcW w:w="59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时效指标</w:t>
            </w:r>
          </w:p>
        </w:tc>
        <w:tc>
          <w:tcPr>
            <w:tcW w:w="17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eastAsia="zh-CN"/>
              </w:rPr>
              <w:t>检查时效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2020年度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2020年度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exact"/>
          <w:jc w:val="center"/>
        </w:trPr>
        <w:tc>
          <w:tcPr>
            <w:tcW w:w="59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成本指标</w:t>
            </w:r>
          </w:p>
        </w:tc>
        <w:tc>
          <w:tcPr>
            <w:tcW w:w="17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eastAsia="zh-CN"/>
              </w:rPr>
              <w:t>成本控制率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20万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20万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exact"/>
          <w:jc w:val="center"/>
        </w:trPr>
        <w:tc>
          <w:tcPr>
            <w:tcW w:w="59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社会效益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指标</w:t>
            </w:r>
          </w:p>
        </w:tc>
        <w:tc>
          <w:tcPr>
            <w:tcW w:w="17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eastAsia="zh-CN"/>
              </w:rPr>
              <w:t>问题整改落实率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≥90%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≥90%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exact"/>
          <w:jc w:val="center"/>
        </w:trPr>
        <w:tc>
          <w:tcPr>
            <w:tcW w:w="59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36" w:type="dxa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满意度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指标</w:t>
            </w:r>
          </w:p>
        </w:tc>
        <w:tc>
          <w:tcPr>
            <w:tcW w:w="11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服务对象满意度指标</w:t>
            </w:r>
          </w:p>
        </w:tc>
        <w:tc>
          <w:tcPr>
            <w:tcW w:w="17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eastAsia="zh-CN"/>
              </w:rPr>
              <w:t>公众满意度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≥95%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≥90%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exact"/>
          <w:jc w:val="center"/>
        </w:trPr>
        <w:tc>
          <w:tcPr>
            <w:tcW w:w="64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总分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100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90</w:t>
            </w: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exact"/>
          <w:jc w:val="center"/>
        </w:trPr>
        <w:tc>
          <w:tcPr>
            <w:tcW w:w="9373" w:type="dxa"/>
            <w:gridSpan w:val="1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kern w:val="0"/>
                <w:sz w:val="36"/>
                <w:szCs w:val="36"/>
              </w:rPr>
              <w:t>项目支出绩效自评表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9373" w:type="dxa"/>
            <w:gridSpan w:val="12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32"/>
                <w:szCs w:val="32"/>
              </w:rPr>
              <w:t>（</w:t>
            </w: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32"/>
                <w:szCs w:val="32"/>
                <w:lang w:val="en-US" w:eastAsia="zh-CN"/>
              </w:rPr>
              <w:t>2020</w:t>
            </w: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32"/>
                <w:szCs w:val="32"/>
              </w:rPr>
              <w:t>年度）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804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eastAsia="zh-CN"/>
              </w:rPr>
              <w:t>建筑市场执法管理专项工作经费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exact"/>
          <w:jc w:val="center"/>
        </w:trPr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主管部门</w:t>
            </w:r>
          </w:p>
        </w:tc>
        <w:tc>
          <w:tcPr>
            <w:tcW w:w="40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eastAsia="zh-CN"/>
              </w:rPr>
              <w:t>鄂州市住房和城乡建设局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实施单位</w:t>
            </w:r>
          </w:p>
        </w:tc>
        <w:tc>
          <w:tcPr>
            <w:tcW w:w="28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eastAsia="zh-CN"/>
              </w:rPr>
              <w:t>鄂州市住房和城乡建设局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3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项目资金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18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年初预算数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全年预算数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全年执行数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分值</w:t>
            </w:r>
          </w:p>
        </w:tc>
        <w:tc>
          <w:tcPr>
            <w:tcW w:w="9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执行率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exact"/>
          <w:jc w:val="center"/>
        </w:trPr>
        <w:tc>
          <w:tcPr>
            <w:tcW w:w="133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8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年度资金总额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77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77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77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10</w:t>
            </w:r>
          </w:p>
        </w:tc>
        <w:tc>
          <w:tcPr>
            <w:tcW w:w="9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133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8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其中：当年财政拨款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77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77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77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—</w:t>
            </w:r>
          </w:p>
        </w:tc>
        <w:tc>
          <w:tcPr>
            <w:tcW w:w="9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exact"/>
          <w:jc w:val="center"/>
        </w:trPr>
        <w:tc>
          <w:tcPr>
            <w:tcW w:w="133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8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上年结转资金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—</w:t>
            </w:r>
          </w:p>
        </w:tc>
        <w:tc>
          <w:tcPr>
            <w:tcW w:w="9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exact"/>
          <w:jc w:val="center"/>
        </w:trPr>
        <w:tc>
          <w:tcPr>
            <w:tcW w:w="133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8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其他资金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—</w:t>
            </w:r>
          </w:p>
        </w:tc>
        <w:tc>
          <w:tcPr>
            <w:tcW w:w="9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exact"/>
          <w:jc w:val="center"/>
        </w:trPr>
        <w:tc>
          <w:tcPr>
            <w:tcW w:w="59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年度总体目标</w:t>
            </w:r>
          </w:p>
        </w:tc>
        <w:tc>
          <w:tcPr>
            <w:tcW w:w="477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预期目标</w:t>
            </w:r>
          </w:p>
        </w:tc>
        <w:tc>
          <w:tcPr>
            <w:tcW w:w="400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实际完成情况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exact"/>
          <w:jc w:val="center"/>
        </w:trPr>
        <w:tc>
          <w:tcPr>
            <w:tcW w:w="5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77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eastAsia="zh-CN"/>
              </w:rPr>
              <w:t>规范建筑市场管理，遏制违法违规行为的发生，提升文明意识，确保建设工程质量安全。</w:t>
            </w:r>
          </w:p>
        </w:tc>
        <w:tc>
          <w:tcPr>
            <w:tcW w:w="400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eastAsia="zh-CN"/>
              </w:rPr>
              <w:t>对建筑工地进行执法检查，对违法行为进行及时纠正和督促整改，确保建设工地施工安全和建筑工程质量安全。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exact"/>
          <w:jc w:val="center"/>
        </w:trPr>
        <w:tc>
          <w:tcPr>
            <w:tcW w:w="59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绩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效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指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标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17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三级指标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指标值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实际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完成值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分值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得分</w:t>
            </w: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偏差原因分析及改进措施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9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3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eastAsia="zh-CN"/>
              </w:rPr>
              <w:t>数量指标</w:t>
            </w:r>
          </w:p>
        </w:tc>
        <w:tc>
          <w:tcPr>
            <w:tcW w:w="17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eastAsia="zh-CN"/>
              </w:rPr>
              <w:t>建筑项目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eastAsia="zh-CN"/>
              </w:rPr>
              <w:t>检查个数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61个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61个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9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质量指标</w:t>
            </w:r>
          </w:p>
        </w:tc>
        <w:tc>
          <w:tcPr>
            <w:tcW w:w="17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eastAsia="zh-CN"/>
              </w:rPr>
              <w:t>检查覆盖率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9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时效指标</w:t>
            </w:r>
          </w:p>
        </w:tc>
        <w:tc>
          <w:tcPr>
            <w:tcW w:w="17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eastAsia="zh-CN"/>
              </w:rPr>
              <w:t>检查时效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2020年度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2020年度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9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成本指标</w:t>
            </w:r>
          </w:p>
        </w:tc>
        <w:tc>
          <w:tcPr>
            <w:tcW w:w="17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eastAsia="zh-CN"/>
              </w:rPr>
              <w:t>成本控制率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77万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77万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9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社会效益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指标</w:t>
            </w:r>
          </w:p>
        </w:tc>
        <w:tc>
          <w:tcPr>
            <w:tcW w:w="17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eastAsia="zh-CN"/>
              </w:rPr>
              <w:t>问题整改落实率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≥90%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≥90%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9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36" w:type="dxa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满意度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指标</w:t>
            </w:r>
          </w:p>
        </w:tc>
        <w:tc>
          <w:tcPr>
            <w:tcW w:w="11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服务对象满意度指标</w:t>
            </w:r>
          </w:p>
        </w:tc>
        <w:tc>
          <w:tcPr>
            <w:tcW w:w="17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eastAsia="zh-CN"/>
              </w:rPr>
              <w:t>公众满意度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≥95%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≥90%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4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总分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100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90</w:t>
            </w: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both"/>
        <w:textAlignment w:val="auto"/>
        <w:outlineLvl w:val="9"/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17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E5B0B015-43BF-4B09-8E06-FDC44C55D009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445F3610-0BC5-4170-BE76-E3AA892427A8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611A2A38-8C16-4692-B182-B5A3F82E74F4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4C5359"/>
    <w:rsid w:val="01056F45"/>
    <w:rsid w:val="059C364E"/>
    <w:rsid w:val="060979BE"/>
    <w:rsid w:val="07A93794"/>
    <w:rsid w:val="08B3525E"/>
    <w:rsid w:val="09546BCA"/>
    <w:rsid w:val="09CC512E"/>
    <w:rsid w:val="0F552555"/>
    <w:rsid w:val="1045153D"/>
    <w:rsid w:val="12C66CC0"/>
    <w:rsid w:val="167921A5"/>
    <w:rsid w:val="16E97DB0"/>
    <w:rsid w:val="17005FBC"/>
    <w:rsid w:val="17051C09"/>
    <w:rsid w:val="17805A57"/>
    <w:rsid w:val="180E5E58"/>
    <w:rsid w:val="1F7E6F8B"/>
    <w:rsid w:val="1F8B45B3"/>
    <w:rsid w:val="20532DC7"/>
    <w:rsid w:val="21A451C1"/>
    <w:rsid w:val="24213474"/>
    <w:rsid w:val="2652017F"/>
    <w:rsid w:val="26C047F0"/>
    <w:rsid w:val="29765F80"/>
    <w:rsid w:val="2A6F4035"/>
    <w:rsid w:val="2A871F05"/>
    <w:rsid w:val="2B2C231C"/>
    <w:rsid w:val="2BDC3719"/>
    <w:rsid w:val="2C541B9F"/>
    <w:rsid w:val="2FF81883"/>
    <w:rsid w:val="331F4282"/>
    <w:rsid w:val="3326280E"/>
    <w:rsid w:val="34890FB5"/>
    <w:rsid w:val="378660F2"/>
    <w:rsid w:val="38E32AE0"/>
    <w:rsid w:val="3A3F3D49"/>
    <w:rsid w:val="3B230363"/>
    <w:rsid w:val="3B51333D"/>
    <w:rsid w:val="3C876D82"/>
    <w:rsid w:val="3D1933C7"/>
    <w:rsid w:val="3DF33592"/>
    <w:rsid w:val="3E281641"/>
    <w:rsid w:val="404A4866"/>
    <w:rsid w:val="40DD22A0"/>
    <w:rsid w:val="423B4DFA"/>
    <w:rsid w:val="44DC3F75"/>
    <w:rsid w:val="47EA7812"/>
    <w:rsid w:val="48B22BBB"/>
    <w:rsid w:val="48D93EAD"/>
    <w:rsid w:val="49DF628C"/>
    <w:rsid w:val="4C5410B3"/>
    <w:rsid w:val="4EEC7559"/>
    <w:rsid w:val="500B5558"/>
    <w:rsid w:val="50FD6000"/>
    <w:rsid w:val="51517676"/>
    <w:rsid w:val="574C5359"/>
    <w:rsid w:val="591F4EFC"/>
    <w:rsid w:val="59D11B67"/>
    <w:rsid w:val="5A541572"/>
    <w:rsid w:val="5A71005B"/>
    <w:rsid w:val="5BEF7D74"/>
    <w:rsid w:val="5CCF5743"/>
    <w:rsid w:val="5DB3034D"/>
    <w:rsid w:val="5E9378E4"/>
    <w:rsid w:val="5EDF770C"/>
    <w:rsid w:val="60B978E1"/>
    <w:rsid w:val="61791DB9"/>
    <w:rsid w:val="61E15FB7"/>
    <w:rsid w:val="62914BB0"/>
    <w:rsid w:val="63B46540"/>
    <w:rsid w:val="6726322E"/>
    <w:rsid w:val="6C8110D3"/>
    <w:rsid w:val="6FF8698C"/>
    <w:rsid w:val="711673F3"/>
    <w:rsid w:val="73454322"/>
    <w:rsid w:val="735E03D4"/>
    <w:rsid w:val="743D76A5"/>
    <w:rsid w:val="75257BCB"/>
    <w:rsid w:val="75804333"/>
    <w:rsid w:val="77A75781"/>
    <w:rsid w:val="77FD6A15"/>
    <w:rsid w:val="7B4D51CF"/>
    <w:rsid w:val="7C440B55"/>
    <w:rsid w:val="7DE35000"/>
    <w:rsid w:val="7E7633A9"/>
    <w:rsid w:val="7F6F739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微软雅黑" w:hAnsi="微软雅黑" w:eastAsia="微软雅黑" w:cs="微软雅黑"/>
      <w:color w:val="333333"/>
      <w:kern w:val="0"/>
      <w:sz w:val="21"/>
      <w:szCs w:val="21"/>
      <w:lang w:val="en-US" w:eastAsia="zh-CN" w:bidi="ar"/>
    </w:rPr>
  </w:style>
  <w:style w:type="character" w:styleId="7">
    <w:name w:val="FollowedHyperlink"/>
    <w:basedOn w:val="6"/>
    <w:qFormat/>
    <w:uiPriority w:val="0"/>
    <w:rPr>
      <w:color w:val="000000"/>
      <w:sz w:val="12"/>
      <w:szCs w:val="12"/>
      <w:u w:val="none"/>
    </w:rPr>
  </w:style>
  <w:style w:type="character" w:styleId="8">
    <w:name w:val="Hyperlink"/>
    <w:basedOn w:val="6"/>
    <w:qFormat/>
    <w:uiPriority w:val="0"/>
    <w:rPr>
      <w:color w:val="000000"/>
      <w:sz w:val="12"/>
      <w:szCs w:val="12"/>
      <w:u w:val="none"/>
    </w:rPr>
  </w:style>
  <w:style w:type="paragraph" w:customStyle="1" w:styleId="9">
    <w:name w:val="正文缩进 + 首行缩进:  2 字符"/>
    <w:basedOn w:val="1"/>
    <w:qFormat/>
    <w:uiPriority w:val="99"/>
    <w:pPr>
      <w:spacing w:line="560" w:lineRule="exact"/>
      <w:ind w:firstLine="640"/>
    </w:pPr>
    <w:rPr>
      <w:rFonts w:ascii="仿宋" w:hAnsi="仿宋" w:eastAsia="仿宋" w:cs="宋体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6578</Words>
  <Characters>7234</Characters>
  <Lines>0</Lines>
  <Paragraphs>0</Paragraphs>
  <TotalTime>33</TotalTime>
  <ScaleCrop>false</ScaleCrop>
  <LinksUpToDate>false</LinksUpToDate>
  <CharactersWithSpaces>7507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2019-03-09T05:42:00Z</dcterms:created>
  <dc:creator>Quina</dc:creator>
  <cp:lastModifiedBy>夏之雪</cp:lastModifiedBy>
  <cp:lastPrinted>2021-11-16T02:52:00Z</cp:lastPrinted>
  <dcterms:modified xsi:type="dcterms:W3CDTF">2021-11-16T07:08:40Z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C376D120785D4C409DEFDF525BA2F22E</vt:lpwstr>
  </property>
</Properties>
</file>