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pPr>
      <w:bookmarkStart w:id="0" w:name="_Toc59376406"/>
    </w:p>
    <w:p>
      <w:pPr>
        <w:pStyle w:val="2"/>
        <w:ind w:left="600" w:firstLine="600"/>
      </w:pPr>
    </w:p>
    <w:p>
      <w:pPr>
        <w:pStyle w:val="2"/>
        <w:spacing w:line="660" w:lineRule="exact"/>
        <w:ind w:left="0" w:lef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华容区国民经济和社会发展</w:t>
      </w:r>
    </w:p>
    <w:p>
      <w:pPr>
        <w:pStyle w:val="2"/>
        <w:spacing w:line="660" w:lineRule="exact"/>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第十四个五年规划纲要</w:t>
      </w:r>
    </w:p>
    <w:p>
      <w:pPr>
        <w:spacing w:line="480" w:lineRule="auto"/>
        <w:ind w:firstLine="0" w:firstLineChars="0"/>
        <w:jc w:val="center"/>
        <w:rPr>
          <w:rFonts w:asciiTheme="minorEastAsia" w:hAnsiTheme="minorEastAsia" w:eastAsiaTheme="minorEastAsia"/>
          <w:b/>
          <w:sz w:val="48"/>
        </w:rPr>
      </w:pPr>
    </w:p>
    <w:p>
      <w:pPr>
        <w:spacing w:line="480" w:lineRule="auto"/>
        <w:ind w:firstLine="0" w:firstLineChars="0"/>
        <w:jc w:val="center"/>
        <w:rPr>
          <w:rFonts w:asciiTheme="minorEastAsia" w:hAnsiTheme="minorEastAsia" w:eastAsiaTheme="minorEastAsia"/>
          <w:b/>
          <w:sz w:val="48"/>
        </w:rP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tabs>
          <w:tab w:val="left" w:pos="6203"/>
        </w:tabs>
        <w:ind w:firstLine="0" w:firstLineChars="0"/>
        <w:jc w:val="center"/>
      </w:pPr>
    </w:p>
    <w:p>
      <w:pPr>
        <w:ind w:firstLine="0" w:firstLineChars="0"/>
        <w:jc w:val="center"/>
      </w:pPr>
    </w:p>
    <w:p>
      <w:pPr>
        <w:ind w:firstLine="0" w:firstLineChars="0"/>
        <w:jc w:val="center"/>
      </w:pPr>
    </w:p>
    <w:p>
      <w:pPr>
        <w:pStyle w:val="2"/>
      </w:pPr>
    </w:p>
    <w:p>
      <w:pPr>
        <w:pStyle w:val="2"/>
      </w:pPr>
    </w:p>
    <w:p>
      <w:pPr>
        <w:pStyle w:val="2"/>
      </w:pPr>
    </w:p>
    <w:p>
      <w:pPr>
        <w:ind w:firstLine="0" w:firstLineChars="0"/>
        <w:jc w:val="center"/>
        <w:rPr>
          <w:rFonts w:ascii="楷体" w:hAnsi="楷体" w:eastAsia="楷体" w:cs="楷体"/>
          <w:bCs/>
          <w:sz w:val="36"/>
          <w:szCs w:val="36"/>
        </w:rPr>
      </w:pPr>
      <w:r>
        <w:rPr>
          <w:rFonts w:hint="eastAsia" w:ascii="楷体" w:hAnsi="楷体" w:eastAsia="楷体" w:cs="楷体"/>
          <w:bCs/>
          <w:sz w:val="36"/>
          <w:szCs w:val="36"/>
        </w:rPr>
        <w:t>鄂州市华容区人民政府</w:t>
      </w:r>
    </w:p>
    <w:p>
      <w:pPr>
        <w:pStyle w:val="2"/>
        <w:ind w:left="600" w:firstLine="720"/>
        <w:rPr>
          <w:rFonts w:eastAsia="楷体" w:cs="Times New Roman"/>
          <w:bCs/>
          <w:sz w:val="36"/>
          <w:szCs w:val="36"/>
        </w:rPr>
      </w:pPr>
    </w:p>
    <w:p>
      <w:pPr>
        <w:pStyle w:val="2"/>
        <w:ind w:left="0" w:leftChars="0" w:firstLine="0" w:firstLineChars="0"/>
        <w:rPr>
          <w:rFonts w:eastAsia="楷体" w:cs="Times New Roman"/>
          <w:bCs/>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08" w:charSpace="0"/>
        </w:sectPr>
      </w:pPr>
      <w:bookmarkStart w:id="230" w:name="_GoBack"/>
      <w:bookmarkEnd w:id="230"/>
    </w:p>
    <w:sdt>
      <w:sdtPr>
        <w:rPr>
          <w:rFonts w:ascii="Times New Roman" w:hAnsi="Times New Roman" w:eastAsia="仿宋" w:cstheme="minorBidi"/>
          <w:b w:val="0"/>
          <w:color w:val="auto"/>
          <w:kern w:val="2"/>
          <w:sz w:val="30"/>
          <w:szCs w:val="22"/>
          <w:lang w:val="zh-CN"/>
        </w:rPr>
        <w:id w:val="249172907"/>
      </w:sdtPr>
      <w:sdtEndPr>
        <w:rPr>
          <w:rFonts w:ascii="Times New Roman" w:hAnsi="Times New Roman" w:eastAsia="仿宋" w:cstheme="minorBidi"/>
          <w:b w:val="0"/>
          <w:bCs/>
          <w:color w:val="auto"/>
          <w:kern w:val="2"/>
          <w:sz w:val="30"/>
          <w:szCs w:val="22"/>
          <w:lang w:val="zh-CN"/>
        </w:rPr>
      </w:sdtEndPr>
      <w:sdtContent>
        <w:p>
          <w:pPr>
            <w:pStyle w:val="36"/>
            <w:spacing w:before="408" w:after="408" w:line="460" w:lineRule="exact"/>
            <w:ind w:firstLine="0" w:firstLineChars="0"/>
            <w:jc w:val="center"/>
            <w:rPr>
              <w:rFonts w:ascii="Times New Roman" w:hAnsi="Times New Roman" w:eastAsia="仿宋" w:cstheme="minorBidi"/>
              <w:b w:val="0"/>
              <w:color w:val="auto"/>
              <w:kern w:val="2"/>
              <w:sz w:val="30"/>
              <w:szCs w:val="22"/>
              <w:lang w:val="zh-CN"/>
            </w:rPr>
          </w:pPr>
        </w:p>
        <w:p>
          <w:pPr>
            <w:pStyle w:val="36"/>
            <w:spacing w:before="408" w:after="408" w:line="460" w:lineRule="exact"/>
            <w:ind w:firstLine="0" w:firstLineChars="0"/>
            <w:jc w:val="center"/>
            <w:rPr>
              <w:rFonts w:ascii="黑体" w:hAnsi="黑体" w:eastAsia="黑体"/>
              <w:color w:val="auto"/>
              <w:sz w:val="40"/>
            </w:rPr>
          </w:pPr>
          <w:r>
            <w:rPr>
              <w:rFonts w:ascii="黑体" w:hAnsi="黑体" w:eastAsia="黑体"/>
              <w:color w:val="auto"/>
              <w:sz w:val="40"/>
              <w:lang w:val="zh-CN"/>
            </w:rPr>
            <w:t>目</w:t>
          </w:r>
          <w:r>
            <w:rPr>
              <w:rFonts w:hint="eastAsia" w:ascii="黑体" w:hAnsi="黑体" w:eastAsia="黑体"/>
              <w:color w:val="auto"/>
              <w:sz w:val="40"/>
              <w:lang w:val="zh-CN"/>
            </w:rPr>
            <w:t xml:space="preserve"> </w:t>
          </w:r>
          <w:r>
            <w:rPr>
              <w:rFonts w:ascii="黑体" w:hAnsi="黑体" w:eastAsia="黑体"/>
              <w:color w:val="auto"/>
              <w:sz w:val="40"/>
              <w:lang w:val="zh-CN"/>
            </w:rPr>
            <w:t>录</w:t>
          </w:r>
        </w:p>
        <w:p>
          <w:pPr>
            <w:pStyle w:val="16"/>
            <w:tabs>
              <w:tab w:val="right" w:leader="dot" w:pos="8306"/>
              <w:tab w:val="clear" w:pos="8296"/>
            </w:tabs>
            <w:ind w:firstLine="560"/>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"_Toc26085" </w:instrText>
          </w:r>
          <w:r>
            <w:fldChar w:fldCharType="separate"/>
          </w:r>
          <w:r>
            <w:t xml:space="preserve">第一篇 </w:t>
          </w:r>
          <w:r>
            <w:rPr>
              <w:rFonts w:hint="eastAsia"/>
            </w:rPr>
            <w:t>全面建成小康社会，</w:t>
          </w:r>
          <w:r>
            <w:t>开启社会主义现代化建设新征程</w:t>
          </w:r>
          <w:r>
            <w:tab/>
          </w:r>
          <w:r>
            <w:fldChar w:fldCharType="begin"/>
          </w:r>
          <w:r>
            <w:instrText xml:space="preserve"> PAGEREF _Toc26085 </w:instrText>
          </w:r>
          <w:r>
            <w:fldChar w:fldCharType="separate"/>
          </w:r>
          <w:r>
            <w:t>1</w:t>
          </w:r>
          <w:r>
            <w:fldChar w:fldCharType="end"/>
          </w:r>
          <w:r>
            <w:fldChar w:fldCharType="end"/>
          </w:r>
        </w:p>
        <w:p>
          <w:pPr>
            <w:pStyle w:val="19"/>
            <w:tabs>
              <w:tab w:val="right" w:leader="dot" w:pos="8306"/>
              <w:tab w:val="clear" w:pos="8296"/>
            </w:tabs>
            <w:ind w:left="600" w:firstLine="560"/>
          </w:pPr>
          <w:r>
            <w:fldChar w:fldCharType="begin"/>
          </w:r>
          <w:r>
            <w:instrText xml:space="preserve"> HYPERLINK \l "_Toc19664" </w:instrText>
          </w:r>
          <w:r>
            <w:fldChar w:fldCharType="separate"/>
          </w:r>
          <w:r>
            <w:rPr>
              <w:bCs/>
            </w:rPr>
            <w:t>第一章 发展基础</w:t>
          </w:r>
          <w:r>
            <w:t>与环境</w:t>
          </w:r>
          <w:r>
            <w:tab/>
          </w:r>
          <w:r>
            <w:fldChar w:fldCharType="begin"/>
          </w:r>
          <w:r>
            <w:instrText xml:space="preserve"> PAGEREF _Toc19664 </w:instrText>
          </w:r>
          <w:r>
            <w:fldChar w:fldCharType="separate"/>
          </w:r>
          <w:r>
            <w:t>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"_Toc25535" </w:instrText>
          </w:r>
          <w:r>
            <w:fldChar w:fldCharType="separate"/>
          </w:r>
          <w:r>
            <w:t>第一节 发展基础</w:t>
          </w:r>
          <w:r>
            <w:tab/>
          </w:r>
          <w:r>
            <w:fldChar w:fldCharType="begin"/>
          </w:r>
          <w:r>
            <w:instrText xml:space="preserve"> PAGEREF _Toc25535 </w:instrText>
          </w:r>
          <w:r>
            <w:fldChar w:fldCharType="separate"/>
          </w:r>
          <w:r>
            <w:t>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"_Toc2961" </w:instrText>
          </w:r>
          <w:r>
            <w:fldChar w:fldCharType="separate"/>
          </w:r>
          <w:r>
            <w:t>第二节 发展环境</w:t>
          </w:r>
          <w:r>
            <w:tab/>
          </w:r>
          <w:r>
            <w:fldChar w:fldCharType="begin"/>
          </w:r>
          <w:r>
            <w:instrText xml:space="preserve"> PAGEREF _Toc2961 </w:instrText>
          </w:r>
          <w:r>
            <w:fldChar w:fldCharType="separate"/>
          </w:r>
          <w:r>
            <w:t>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"_Toc7981" </w:instrText>
          </w:r>
          <w:r>
            <w:fldChar w:fldCharType="separate"/>
          </w:r>
          <w:r>
            <w:t>第二章 指导思想与发展目标</w:t>
          </w:r>
          <w:r>
            <w:tab/>
          </w:r>
          <w:r>
            <w:fldChar w:fldCharType="begin"/>
          </w:r>
          <w:r>
            <w:instrText xml:space="preserve"> PAGEREF _Toc7981 </w:instrText>
          </w:r>
          <w:r>
            <w:fldChar w:fldCharType="separate"/>
          </w:r>
          <w:r>
            <w:t>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"_Toc4179" </w:instrText>
          </w:r>
          <w:r>
            <w:fldChar w:fldCharType="separate"/>
          </w:r>
          <w:r>
            <w:t>第一节 指导思想</w:t>
          </w:r>
          <w:r>
            <w:tab/>
          </w:r>
          <w:r>
            <w:fldChar w:fldCharType="begin"/>
          </w:r>
          <w:r>
            <w:instrText xml:space="preserve"> PAGEREF _Toc4179 </w:instrText>
          </w:r>
          <w:r>
            <w:fldChar w:fldCharType="separate"/>
          </w:r>
          <w:r>
            <w:t>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"_Toc4449" </w:instrText>
          </w:r>
          <w:r>
            <w:fldChar w:fldCharType="separate"/>
          </w:r>
          <w:r>
            <w:rPr>
              <w:rFonts w:hint="eastAsia"/>
            </w:rPr>
            <w:t>第二节 基本原则</w:t>
          </w:r>
          <w:r>
            <w:tab/>
          </w:r>
          <w:r>
            <w:fldChar w:fldCharType="begin"/>
          </w:r>
          <w:r>
            <w:instrText xml:space="preserve"> PAGEREF _Toc4449 </w:instrText>
          </w:r>
          <w:r>
            <w:fldChar w:fldCharType="separate"/>
          </w:r>
          <w:r>
            <w:t>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"_Toc18285" </w:instrText>
          </w:r>
          <w:r>
            <w:fldChar w:fldCharType="separate"/>
          </w:r>
          <w:r>
            <w:rPr>
              <w:rFonts w:hint="eastAsia"/>
            </w:rPr>
            <w:t>第三节 产业空间布局</w:t>
          </w:r>
          <w:r>
            <w:tab/>
          </w:r>
          <w:r>
            <w:fldChar w:fldCharType="begin"/>
          </w:r>
          <w:r>
            <w:instrText xml:space="preserve"> PAGEREF _Toc18285 </w:instrText>
          </w:r>
          <w:r>
            <w:fldChar w:fldCharType="separate"/>
          </w:r>
          <w:r>
            <w:t>10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"_Toc5525" </w:instrText>
          </w:r>
          <w:r>
            <w:fldChar w:fldCharType="separate"/>
          </w:r>
          <w:r>
            <w:t>第</w:t>
          </w:r>
          <w:r>
            <w:rPr>
              <w:rFonts w:hint="eastAsia"/>
            </w:rPr>
            <w:t>四</w:t>
          </w:r>
          <w:r>
            <w:t>节 基本目标</w:t>
          </w:r>
          <w:r>
            <w:tab/>
          </w:r>
          <w:r>
            <w:fldChar w:fldCharType="begin"/>
          </w:r>
          <w:r>
            <w:instrText xml:space="preserve"> PAGEREF _Toc5525 </w:instrText>
          </w:r>
          <w:r>
            <w:fldChar w:fldCharType="separate"/>
          </w:r>
          <w:r>
            <w:t>10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"_Toc18020" </w:instrText>
          </w:r>
          <w:r>
            <w:fldChar w:fldCharType="separate"/>
          </w:r>
          <w:r>
            <w:t>第</w:t>
          </w:r>
          <w:r>
            <w:rPr>
              <w:rFonts w:hint="eastAsia"/>
            </w:rPr>
            <w:t>五</w:t>
          </w:r>
          <w:r>
            <w:t>节 主要指标</w:t>
          </w:r>
          <w:r>
            <w:tab/>
          </w:r>
          <w:r>
            <w:fldChar w:fldCharType="begin"/>
          </w:r>
          <w:r>
            <w:instrText xml:space="preserve"> PAGEREF _Toc18020 </w:instrText>
          </w:r>
          <w:r>
            <w:fldChar w:fldCharType="separate"/>
          </w:r>
          <w:r>
            <w:t>14</w:t>
          </w:r>
          <w:r>
            <w:fldChar w:fldCharType="end"/>
          </w:r>
          <w:r>
            <w:fldChar w:fldCharType="end"/>
          </w:r>
        </w:p>
        <w:p>
          <w:pPr>
            <w:pStyle w:val="16"/>
            <w:tabs>
              <w:tab w:val="right" w:leader="dot" w:pos="8306"/>
              <w:tab w:val="clear" w:pos="8296"/>
            </w:tabs>
            <w:ind w:firstLine="560"/>
          </w:pPr>
          <w:r>
            <w:fldChar w:fldCharType="begin"/>
          </w:r>
          <w:r>
            <w:instrText xml:space="preserve"> HYPERLINK \l "_Toc23952" </w:instrText>
          </w:r>
          <w:r>
            <w:fldChar w:fldCharType="separate"/>
          </w:r>
          <w:r>
            <w:t>第二篇 建设数</w:t>
          </w:r>
          <w:r>
            <w:rPr>
              <w:rFonts w:hint="eastAsia"/>
            </w:rPr>
            <w:t>智</w:t>
          </w:r>
          <w:r>
            <w:t>新华容，打造湖北数字产业引领区</w:t>
          </w:r>
          <w:r>
            <w:tab/>
          </w:r>
          <w:r>
            <w:fldChar w:fldCharType="begin"/>
          </w:r>
          <w:r>
            <w:instrText xml:space="preserve"> PAGEREF _Toc23952 </w:instrText>
          </w:r>
          <w:r>
            <w:fldChar w:fldCharType="separate"/>
          </w:r>
          <w:r>
            <w:t>16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"_Toc26867" </w:instrText>
          </w:r>
          <w:r>
            <w:fldChar w:fldCharType="separate"/>
          </w:r>
          <w:r>
            <w:t>第一章 坚持创新驱动发展</w:t>
          </w:r>
          <w:r>
            <w:tab/>
          </w:r>
          <w:r>
            <w:fldChar w:fldCharType="begin"/>
          </w:r>
          <w:r>
            <w:instrText xml:space="preserve"> PAGEREF _Toc26867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"_Toc11008" </w:instrText>
          </w:r>
          <w:r>
            <w:fldChar w:fldCharType="separate"/>
          </w:r>
          <w:r>
            <w:t>第一节 建设高水</w:t>
          </w:r>
          <w:r>
            <w:rPr>
              <w:rFonts w:hint="eastAsia" w:ascii="仿宋" w:hAnsi="仿宋" w:cs="仿宋"/>
            </w:rPr>
            <w:t>平“双创”平</w:t>
          </w:r>
          <w:r>
            <w:t>台</w:t>
          </w:r>
          <w:r>
            <w:tab/>
          </w:r>
          <w:r>
            <w:fldChar w:fldCharType="begin"/>
          </w:r>
          <w:r>
            <w:instrText xml:space="preserve"> PAGEREF _Toc11008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"_Toc29545" </w:instrText>
          </w:r>
          <w:r>
            <w:fldChar w:fldCharType="separate"/>
          </w:r>
          <w:r>
            <w:t>第二节 推动创新成果转化</w:t>
          </w:r>
          <w:r>
            <w:tab/>
          </w:r>
          <w:r>
            <w:fldChar w:fldCharType="begin"/>
          </w:r>
          <w:r>
            <w:instrText xml:space="preserve"> PAGEREF _Toc29545 </w:instrText>
          </w:r>
          <w:r>
            <w:fldChar w:fldCharType="separate"/>
          </w:r>
          <w:r>
            <w:t>16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"_Toc31980" </w:instrText>
          </w:r>
          <w:r>
            <w:fldChar w:fldCharType="separate"/>
          </w:r>
          <w:r>
            <w:t>第三节 强化企业创新主体</w:t>
          </w:r>
          <w:r>
            <w:rPr>
              <w:rFonts w:hint="eastAsia"/>
            </w:rPr>
            <w:t>地位</w:t>
          </w:r>
          <w:r>
            <w:tab/>
          </w:r>
          <w:r>
            <w:fldChar w:fldCharType="begin"/>
          </w:r>
          <w:r>
            <w:instrText xml:space="preserve"> PAGEREF _Toc31980 </w:instrText>
          </w:r>
          <w:r>
            <w:fldChar w:fldCharType="separate"/>
          </w:r>
          <w:r>
            <w:t>17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"_Toc19675" </w:instrText>
          </w:r>
          <w:r>
            <w:fldChar w:fldCharType="separate"/>
          </w:r>
          <w:r>
            <w:t>第四节 构筑</w:t>
          </w:r>
          <w:r>
            <w:rPr>
              <w:rFonts w:hint="eastAsia"/>
            </w:rPr>
            <w:t>创新人才洼地</w:t>
          </w:r>
          <w:r>
            <w:tab/>
          </w:r>
          <w:r>
            <w:fldChar w:fldCharType="begin"/>
          </w:r>
          <w:r>
            <w:instrText xml:space="preserve"> PAGEREF _Toc19675 </w:instrText>
          </w:r>
          <w:r>
            <w:fldChar w:fldCharType="separate"/>
          </w:r>
          <w:r>
            <w:t>18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"_Toc6551" </w:instrText>
          </w:r>
          <w:r>
            <w:fldChar w:fldCharType="separate"/>
          </w:r>
          <w:r>
            <w:t>第五节 优化创新创业环境</w:t>
          </w:r>
          <w:r>
            <w:tab/>
          </w:r>
          <w:r>
            <w:fldChar w:fldCharType="begin"/>
          </w:r>
          <w:r>
            <w:instrText xml:space="preserve"> PAGEREF _Toc6551 </w:instrText>
          </w:r>
          <w:r>
            <w:fldChar w:fldCharType="separate"/>
          </w:r>
          <w:r>
            <w:t>18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"_Toc14330" </w:instrText>
          </w:r>
          <w:r>
            <w:fldChar w:fldCharType="separate"/>
          </w:r>
          <w:r>
            <w:t>第二章 加快数字乡村建设</w:t>
          </w:r>
          <w:r>
            <w:tab/>
          </w:r>
          <w:r>
            <w:fldChar w:fldCharType="begin"/>
          </w:r>
          <w:r>
            <w:instrText xml:space="preserve"> PAGEREF _Toc14330 </w:instrText>
          </w:r>
          <w:r>
            <w:fldChar w:fldCharType="separate"/>
          </w:r>
          <w:r>
            <w:t>19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"_Toc24704" </w:instrText>
          </w:r>
          <w:r>
            <w:fldChar w:fldCharType="separate"/>
          </w:r>
          <w:r>
            <w:t>第一节 完善乡村</w:t>
          </w:r>
          <w:r>
            <w:rPr>
              <w:rFonts w:hint="eastAsia"/>
            </w:rPr>
            <w:t>新一代</w:t>
          </w:r>
          <w:r>
            <w:t>信息基础设施</w:t>
          </w:r>
          <w:r>
            <w:tab/>
          </w:r>
          <w:r>
            <w:fldChar w:fldCharType="begin"/>
          </w:r>
          <w:r>
            <w:instrText xml:space="preserve"> PAGEREF _Toc24704 </w:instrText>
          </w:r>
          <w:r>
            <w:fldChar w:fldCharType="separate"/>
          </w:r>
          <w:r>
            <w:t>20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"_Toc26511" </w:instrText>
          </w:r>
          <w:r>
            <w:fldChar w:fldCharType="separate"/>
          </w:r>
          <w:r>
            <w:t>第</w:t>
          </w:r>
          <w:r>
            <w:rPr>
              <w:rFonts w:hint="eastAsia"/>
            </w:rPr>
            <w:t>二</w:t>
          </w:r>
          <w:r>
            <w:t xml:space="preserve">节 </w:t>
          </w:r>
          <w:r>
            <w:rPr>
              <w:rFonts w:hint="eastAsia"/>
            </w:rPr>
            <w:t>构建“三农”信息服务体系</w:t>
          </w:r>
          <w:r>
            <w:tab/>
          </w:r>
          <w:r>
            <w:fldChar w:fldCharType="begin"/>
          </w:r>
          <w:r>
            <w:instrText xml:space="preserve"> PAGEREF _Toc26511 </w:instrText>
          </w:r>
          <w:r>
            <w:fldChar w:fldCharType="separate"/>
          </w:r>
          <w:r>
            <w:t>21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"_Toc28010" </w:instrText>
          </w:r>
          <w:r>
            <w:fldChar w:fldCharType="separate"/>
          </w:r>
          <w:r>
            <w:t>第</w:t>
          </w:r>
          <w:r>
            <w:rPr>
              <w:rFonts w:hint="eastAsia"/>
            </w:rPr>
            <w:t>三</w:t>
          </w:r>
          <w:r>
            <w:t>节 建立</w:t>
          </w:r>
          <w:r>
            <w:rPr>
              <w:rFonts w:hint="eastAsia"/>
            </w:rPr>
            <w:t>设施资源整合共享机制</w:t>
          </w:r>
          <w:r>
            <w:tab/>
          </w:r>
          <w:r>
            <w:fldChar w:fldCharType="begin"/>
          </w:r>
          <w:r>
            <w:instrText xml:space="preserve"> PAGEREF _Toc28010 </w:instrText>
          </w:r>
          <w:r>
            <w:fldChar w:fldCharType="separate"/>
          </w:r>
          <w:r>
            <w:t>21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"_Toc29680" </w:instrText>
          </w:r>
          <w:r>
            <w:fldChar w:fldCharType="separate"/>
          </w:r>
          <w:r>
            <w:t>第</w:t>
          </w:r>
          <w:r>
            <w:rPr>
              <w:rFonts w:hint="eastAsia"/>
            </w:rPr>
            <w:t>四</w:t>
          </w:r>
          <w:r>
            <w:t xml:space="preserve">节 </w:t>
          </w:r>
          <w:r>
            <w:rPr>
              <w:rFonts w:hint="eastAsia"/>
            </w:rPr>
            <w:t>构建城乡社会治理体系</w:t>
          </w:r>
          <w:r>
            <w:tab/>
          </w:r>
          <w:r>
            <w:fldChar w:fldCharType="begin"/>
          </w:r>
          <w:r>
            <w:instrText xml:space="preserve"> PAGEREF _Toc29680 </w:instrText>
          </w:r>
          <w:r>
            <w:fldChar w:fldCharType="separate"/>
          </w:r>
          <w:r>
            <w:t>22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"_Toc7308" </w:instrText>
          </w:r>
          <w:r>
            <w:fldChar w:fldCharType="separate"/>
          </w:r>
          <w:r>
            <w:t>第</w:t>
          </w:r>
          <w:r>
            <w:rPr>
              <w:rFonts w:hint="eastAsia"/>
            </w:rPr>
            <w:t>五</w:t>
          </w:r>
          <w:r>
            <w:t xml:space="preserve">节 </w:t>
          </w:r>
          <w:r>
            <w:rPr>
              <w:rFonts w:hint="eastAsia"/>
            </w:rPr>
            <w:t>发展</w:t>
          </w:r>
          <w:r>
            <w:t>乡村数字经济新业态</w:t>
          </w:r>
          <w:r>
            <w:tab/>
          </w:r>
          <w:r>
            <w:fldChar w:fldCharType="begin"/>
          </w:r>
          <w:r>
            <w:instrText xml:space="preserve"> PAGEREF _Toc7308 </w:instrText>
          </w:r>
          <w:r>
            <w:fldChar w:fldCharType="separate"/>
          </w:r>
          <w:r>
            <w:t>23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"_Toc8416" </w:instrText>
          </w:r>
          <w:r>
            <w:fldChar w:fldCharType="separate"/>
          </w:r>
          <w:r>
            <w:t>第</w:t>
          </w:r>
          <w:r>
            <w:rPr>
              <w:rFonts w:hint="eastAsia"/>
            </w:rPr>
            <w:t>六</w:t>
          </w:r>
          <w:r>
            <w:t>节 探索</w:t>
          </w:r>
          <w:r>
            <w:rPr>
              <w:rFonts w:hint="eastAsia"/>
            </w:rPr>
            <w:t>数字乡村可持续发展机制</w:t>
          </w:r>
          <w:r>
            <w:tab/>
          </w:r>
          <w:r>
            <w:fldChar w:fldCharType="begin"/>
          </w:r>
          <w:r>
            <w:instrText xml:space="preserve"> PAGEREF _Toc8416 </w:instrText>
          </w:r>
          <w:r>
            <w:fldChar w:fldCharType="separate"/>
          </w:r>
          <w:r>
            <w:t>24</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"_Toc16730" </w:instrText>
          </w:r>
          <w:r>
            <w:fldChar w:fldCharType="separate"/>
          </w:r>
          <w:r>
            <w:t>第三章 构建现代化经济体系</w:t>
          </w:r>
          <w:r>
            <w:tab/>
          </w:r>
          <w:r>
            <w:fldChar w:fldCharType="begin"/>
          </w:r>
          <w:r>
            <w:instrText xml:space="preserve"> PAGEREF _Toc16730 </w:instrText>
          </w:r>
          <w:r>
            <w:fldChar w:fldCharType="separate"/>
          </w:r>
          <w:r>
            <w:t>26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"_Toc8126" </w:instrText>
          </w:r>
          <w:r>
            <w:fldChar w:fldCharType="separate"/>
          </w:r>
          <w:r>
            <w:t>第一节 大力培育战略性新兴产业</w:t>
          </w:r>
          <w:r>
            <w:tab/>
          </w:r>
          <w:r>
            <w:fldChar w:fldCharType="begin"/>
          </w:r>
          <w:r>
            <w:instrText xml:space="preserve"> PAGEREF _Toc8126 </w:instrText>
          </w:r>
          <w:r>
            <w:fldChar w:fldCharType="separate"/>
          </w:r>
          <w:r>
            <w:t>26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"_Toc11400" </w:instrText>
          </w:r>
          <w:r>
            <w:fldChar w:fldCharType="separate"/>
          </w:r>
          <w:r>
            <w:t>第二节 加快传统产业转型升级</w:t>
          </w:r>
          <w:r>
            <w:tab/>
          </w:r>
          <w:r>
            <w:fldChar w:fldCharType="begin"/>
          </w:r>
          <w:r>
            <w:instrText xml:space="preserve"> PAGEREF _Toc11400 </w:instrText>
          </w:r>
          <w:r>
            <w:fldChar w:fldCharType="separate"/>
          </w:r>
          <w:r>
            <w:t>28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"_Toc6135" </w:instrText>
          </w:r>
          <w:r>
            <w:fldChar w:fldCharType="separate"/>
          </w:r>
          <w:r>
            <w:t>第三节 全面推动现代服务业提质增效</w:t>
          </w:r>
          <w:r>
            <w:tab/>
          </w:r>
          <w:r>
            <w:fldChar w:fldCharType="begin"/>
          </w:r>
          <w:r>
            <w:instrText xml:space="preserve"> PAGEREF _Toc6135 </w:instrText>
          </w:r>
          <w:r>
            <w:fldChar w:fldCharType="separate"/>
          </w:r>
          <w:r>
            <w:t>29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"_Toc17206" </w:instrText>
          </w:r>
          <w:r>
            <w:fldChar w:fldCharType="separate"/>
          </w:r>
          <w:r>
            <w:t>第四节 加快</w:t>
          </w:r>
          <w:r>
            <w:rPr>
              <w:rFonts w:hint="eastAsia"/>
            </w:rPr>
            <w:t>产业</w:t>
          </w:r>
          <w:r>
            <w:t>园区提档升级</w:t>
          </w:r>
          <w:r>
            <w:tab/>
          </w:r>
          <w:r>
            <w:fldChar w:fldCharType="begin"/>
          </w:r>
          <w:r>
            <w:instrText xml:space="preserve"> PAGEREF _Toc17206 </w:instrText>
          </w:r>
          <w:r>
            <w:fldChar w:fldCharType="separate"/>
          </w:r>
          <w:r>
            <w:t>32</w:t>
          </w:r>
          <w:r>
            <w:fldChar w:fldCharType="end"/>
          </w:r>
          <w:r>
            <w:fldChar w:fldCharType="end"/>
          </w:r>
        </w:p>
        <w:p>
          <w:pPr>
            <w:pStyle w:val="16"/>
            <w:tabs>
              <w:tab w:val="right" w:leader="dot" w:pos="8306"/>
              <w:tab w:val="clear" w:pos="8296"/>
            </w:tabs>
            <w:ind w:firstLine="560"/>
          </w:pPr>
          <w:r>
            <w:fldChar w:fldCharType="begin"/>
          </w:r>
          <w:r>
            <w:instrText xml:space="preserve"> HYPERLINK \l "_Toc20485" </w:instrText>
          </w:r>
          <w:r>
            <w:fldChar w:fldCharType="separate"/>
          </w:r>
          <w:r>
            <w:t>第三篇 建设枢纽新华容，打造武鄂同城化发展重要节点</w:t>
          </w:r>
          <w:r>
            <w:tab/>
          </w:r>
          <w:r>
            <w:fldChar w:fldCharType="begin"/>
          </w:r>
          <w:r>
            <w:instrText xml:space="preserve"> PAGEREF _Toc20485 </w:instrText>
          </w:r>
          <w:r>
            <w:fldChar w:fldCharType="separate"/>
          </w:r>
          <w:r>
            <w:t>34</w:t>
          </w:r>
          <w:r>
            <w:fldChar w:fldCharType="end"/>
          </w:r>
          <w:r>
            <w:fldChar w:fldCharType="end"/>
          </w:r>
        </w:p>
        <w:p>
          <w:pPr>
            <w:pStyle w:val="19"/>
            <w:tabs>
              <w:tab w:val="right" w:leader="dot" w:pos="8306"/>
              <w:tab w:val="clear" w:pos="8296"/>
            </w:tabs>
            <w:ind w:left="600" w:firstLine="560"/>
          </w:pPr>
          <w:r>
            <w:fldChar w:fldCharType="begin"/>
          </w:r>
          <w:r>
            <w:instrText xml:space="preserve"> HYPERLINK \l "_Toc14437" </w:instrText>
          </w:r>
          <w:r>
            <w:fldChar w:fldCharType="separate"/>
          </w:r>
          <w:r>
            <w:t>第一章 打造国家多式联运示范区</w:t>
          </w:r>
          <w:r>
            <w:tab/>
          </w:r>
          <w:r>
            <w:fldChar w:fldCharType="begin"/>
          </w:r>
          <w:r>
            <w:instrText xml:space="preserve"> PAGEREF _Toc14437 </w:instrText>
          </w:r>
          <w:r>
            <w:fldChar w:fldCharType="separate"/>
          </w:r>
          <w:r>
            <w:t>34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"_Toc25486" </w:instrText>
          </w:r>
          <w:r>
            <w:fldChar w:fldCharType="separate"/>
          </w:r>
          <w:r>
            <w:t>第一节 完善互联互通交通体系</w:t>
          </w:r>
          <w:r>
            <w:tab/>
          </w:r>
          <w:r>
            <w:fldChar w:fldCharType="begin"/>
          </w:r>
          <w:r>
            <w:instrText xml:space="preserve"> PAGEREF _Toc25486 </w:instrText>
          </w:r>
          <w:r>
            <w:fldChar w:fldCharType="separate"/>
          </w:r>
          <w:r>
            <w:t>34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"_Toc17188" </w:instrText>
          </w:r>
          <w:r>
            <w:fldChar w:fldCharType="separate"/>
          </w:r>
          <w:r>
            <w:t>第二节</w:t>
          </w:r>
          <w:r>
            <w:rPr>
              <w:rFonts w:hint="eastAsia"/>
            </w:rPr>
            <w:t xml:space="preserve"> 建立综合物流枢纽产业体系</w:t>
          </w:r>
          <w:r>
            <w:tab/>
          </w:r>
          <w:r>
            <w:fldChar w:fldCharType="begin"/>
          </w:r>
          <w:r>
            <w:instrText xml:space="preserve"> PAGEREF _Toc17188 </w:instrText>
          </w:r>
          <w:r>
            <w:fldChar w:fldCharType="separate"/>
          </w:r>
          <w:r>
            <w:t>35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"_Toc5986" </w:instrText>
          </w:r>
          <w:r>
            <w:fldChar w:fldCharType="separate"/>
          </w:r>
          <w:r>
            <w:t>第三节</w:t>
          </w:r>
          <w:r>
            <w:rPr>
              <w:rFonts w:hint="eastAsia"/>
            </w:rPr>
            <w:t xml:space="preserve"> 加快构建多式联运新格局</w:t>
          </w:r>
          <w:r>
            <w:tab/>
          </w:r>
          <w:r>
            <w:fldChar w:fldCharType="begin"/>
          </w:r>
          <w:r>
            <w:instrText xml:space="preserve"> PAGEREF _Toc5986 </w:instrText>
          </w:r>
          <w:r>
            <w:fldChar w:fldCharType="separate"/>
          </w:r>
          <w:r>
            <w:t>36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"_Toc16150" </w:instrText>
          </w:r>
          <w:r>
            <w:fldChar w:fldCharType="separate"/>
          </w:r>
          <w:r>
            <w:t>第二章 打造武鄂同城化发展新样板</w:t>
          </w:r>
          <w:r>
            <w:tab/>
          </w:r>
          <w:r>
            <w:fldChar w:fldCharType="begin"/>
          </w:r>
          <w:r>
            <w:instrText xml:space="preserve"> PAGEREF _Toc16150 </w:instrText>
          </w:r>
          <w:r>
            <w:fldChar w:fldCharType="separate"/>
          </w:r>
          <w:r>
            <w:t>37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"_Toc8800" </w:instrText>
          </w:r>
          <w:r>
            <w:fldChar w:fldCharType="separate"/>
          </w:r>
          <w:r>
            <w:rPr>
              <w:rFonts w:hint="eastAsia"/>
            </w:rPr>
            <w:t>第一节 推进</w:t>
          </w:r>
          <w:r>
            <w:t>基础设施</w:t>
          </w:r>
          <w:r>
            <w:rPr>
              <w:rFonts w:hint="eastAsia" w:ascii="仿宋_GB2312" w:hAnsi="仿宋_GB2312" w:eastAsia="仿宋_GB2312" w:cs="仿宋_GB2312"/>
            </w:rPr>
            <w:t>同城同网</w:t>
          </w:r>
          <w:r>
            <w:tab/>
          </w:r>
          <w:r>
            <w:fldChar w:fldCharType="begin"/>
          </w:r>
          <w:r>
            <w:instrText xml:space="preserve"> PAGEREF _Toc8800 </w:instrText>
          </w:r>
          <w:r>
            <w:fldChar w:fldCharType="separate"/>
          </w:r>
          <w:r>
            <w:t>37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"_Toc21059" </w:instrText>
          </w:r>
          <w:r>
            <w:fldChar w:fldCharType="separate"/>
          </w:r>
          <w:r>
            <w:rPr>
              <w:rFonts w:hint="eastAsia"/>
            </w:rPr>
            <w:t>第二节 推进产业深度融合协同发展</w:t>
          </w:r>
          <w:r>
            <w:tab/>
          </w:r>
          <w:r>
            <w:fldChar w:fldCharType="begin"/>
          </w:r>
          <w:r>
            <w:instrText xml:space="preserve"> PAGEREF _Toc21059 </w:instrText>
          </w:r>
          <w:r>
            <w:fldChar w:fldCharType="separate"/>
          </w:r>
          <w:r>
            <w:t>38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"_Toc14987" </w:instrText>
          </w:r>
          <w:r>
            <w:fldChar w:fldCharType="separate"/>
          </w:r>
          <w:r>
            <w:t>第</w:t>
          </w:r>
          <w:r>
            <w:rPr>
              <w:rFonts w:hint="eastAsia"/>
            </w:rPr>
            <w:t>三</w:t>
          </w:r>
          <w:r>
            <w:t xml:space="preserve">节 </w:t>
          </w:r>
          <w:r>
            <w:rPr>
              <w:rFonts w:hint="eastAsia"/>
            </w:rPr>
            <w:t>推动</w:t>
          </w:r>
          <w:r>
            <w:t>生态环境协同联治</w:t>
          </w:r>
          <w:r>
            <w:tab/>
          </w:r>
          <w:r>
            <w:fldChar w:fldCharType="begin"/>
          </w:r>
          <w:r>
            <w:instrText xml:space="preserve"> PAGEREF _Toc14987 </w:instrText>
          </w:r>
          <w:r>
            <w:fldChar w:fldCharType="separate"/>
          </w:r>
          <w:r>
            <w:t>38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"_Toc19023" </w:instrText>
          </w:r>
          <w:r>
            <w:fldChar w:fldCharType="separate"/>
          </w:r>
          <w:r>
            <w:t xml:space="preserve">第四节 </w:t>
          </w:r>
          <w:r>
            <w:rPr>
              <w:rFonts w:hint="eastAsia"/>
            </w:rPr>
            <w:t>实现</w:t>
          </w:r>
          <w:r>
            <w:t>公共服务便民共享</w:t>
          </w:r>
          <w:r>
            <w:tab/>
          </w:r>
          <w:r>
            <w:fldChar w:fldCharType="begin"/>
          </w:r>
          <w:r>
            <w:instrText xml:space="preserve"> PAGEREF _Toc19023 </w:instrText>
          </w:r>
          <w:r>
            <w:fldChar w:fldCharType="separate"/>
          </w:r>
          <w:r>
            <w:t>38</w:t>
          </w:r>
          <w:r>
            <w:fldChar w:fldCharType="end"/>
          </w:r>
          <w:r>
            <w:fldChar w:fldCharType="end"/>
          </w:r>
        </w:p>
        <w:p>
          <w:pPr>
            <w:pStyle w:val="16"/>
            <w:tabs>
              <w:tab w:val="right" w:leader="dot" w:pos="8306"/>
              <w:tab w:val="clear" w:pos="8296"/>
            </w:tabs>
            <w:ind w:firstLine="560"/>
          </w:pPr>
          <w:r>
            <w:fldChar w:fldCharType="begin"/>
          </w:r>
          <w:r>
            <w:instrText xml:space="preserve"> HYPERLINK \l "_Toc28637" </w:instrText>
          </w:r>
          <w:r>
            <w:fldChar w:fldCharType="separate"/>
          </w:r>
          <w:r>
            <w:t>第四篇 建设田园新华容，打造美丽江南特色城镇标杆</w:t>
          </w:r>
          <w:r>
            <w:tab/>
          </w:r>
          <w:r>
            <w:fldChar w:fldCharType="begin"/>
          </w:r>
          <w:r>
            <w:instrText xml:space="preserve"> PAGEREF _Toc28637 </w:instrText>
          </w:r>
          <w:r>
            <w:fldChar w:fldCharType="separate"/>
          </w:r>
          <w:r>
            <w:t>40</w:t>
          </w:r>
          <w:r>
            <w:fldChar w:fldCharType="end"/>
          </w:r>
          <w:r>
            <w:fldChar w:fldCharType="end"/>
          </w:r>
        </w:p>
        <w:p>
          <w:pPr>
            <w:pStyle w:val="19"/>
            <w:tabs>
              <w:tab w:val="right" w:leader="dot" w:pos="8306"/>
              <w:tab w:val="clear" w:pos="8296"/>
            </w:tabs>
            <w:ind w:left="600" w:firstLine="560"/>
          </w:pPr>
          <w:r>
            <w:fldChar w:fldCharType="begin"/>
          </w:r>
          <w:r>
            <w:instrText xml:space="preserve"> HYPERLINK \l "_Toc13454" </w:instrText>
          </w:r>
          <w:r>
            <w:fldChar w:fldCharType="separate"/>
          </w:r>
          <w:r>
            <w:t>第</w:t>
          </w:r>
          <w:r>
            <w:rPr>
              <w:rFonts w:hint="eastAsia"/>
            </w:rPr>
            <w:t>一</w:t>
          </w:r>
          <w:r>
            <w:t>章 打造美丽江南田园城镇新样板</w:t>
          </w:r>
          <w:r>
            <w:tab/>
          </w:r>
          <w:r>
            <w:fldChar w:fldCharType="begin"/>
          </w:r>
          <w:r>
            <w:instrText xml:space="preserve"> PAGEREF _Toc13454 </w:instrText>
          </w:r>
          <w:r>
            <w:fldChar w:fldCharType="separate"/>
          </w:r>
          <w:r>
            <w:t>40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"_Toc27290" </w:instrText>
          </w:r>
          <w:r>
            <w:fldChar w:fldCharType="separate"/>
          </w:r>
          <w:r>
            <w:t>第一节 优化城镇空间布局</w:t>
          </w:r>
          <w:r>
            <w:tab/>
          </w:r>
          <w:r>
            <w:fldChar w:fldCharType="begin"/>
          </w:r>
          <w:r>
            <w:instrText xml:space="preserve"> PAGEREF _Toc27290 </w:instrText>
          </w:r>
          <w:r>
            <w:fldChar w:fldCharType="separate"/>
          </w:r>
          <w:r>
            <w:t>40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"_Toc3981" </w:instrText>
          </w:r>
          <w:r>
            <w:fldChar w:fldCharType="separate"/>
          </w:r>
          <w:r>
            <w:t xml:space="preserve">第二节 </w:t>
          </w:r>
          <w:r>
            <w:rPr>
              <w:rFonts w:hint="eastAsia"/>
            </w:rPr>
            <w:t>加快新型城镇化步伐</w:t>
          </w:r>
          <w:r>
            <w:tab/>
          </w:r>
          <w:r>
            <w:fldChar w:fldCharType="begin"/>
          </w:r>
          <w:r>
            <w:instrText xml:space="preserve"> PAGEREF _Toc3981 </w:instrText>
          </w:r>
          <w:r>
            <w:fldChar w:fldCharType="separate"/>
          </w:r>
          <w:r>
            <w:t>42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"_Toc4387" </w:instrText>
          </w:r>
          <w:r>
            <w:fldChar w:fldCharType="separate"/>
          </w:r>
          <w:r>
            <w:t>第三节 统筹建设特色小镇</w:t>
          </w:r>
          <w:r>
            <w:tab/>
          </w:r>
          <w:r>
            <w:fldChar w:fldCharType="begin"/>
          </w:r>
          <w:r>
            <w:instrText xml:space="preserve"> PAGEREF _Toc4387 </w:instrText>
          </w:r>
          <w:r>
            <w:fldChar w:fldCharType="separate"/>
          </w:r>
          <w:r>
            <w:t>43</w:t>
          </w:r>
          <w:r>
            <w:fldChar w:fldCharType="end"/>
          </w:r>
          <w:r>
            <w:fldChar w:fldCharType="end"/>
          </w:r>
        </w:p>
        <w:p>
          <w:pPr>
            <w:pStyle w:val="19"/>
            <w:tabs>
              <w:tab w:val="right" w:leader="dot" w:pos="8306"/>
              <w:tab w:val="clear" w:pos="8296"/>
            </w:tabs>
            <w:ind w:left="600" w:firstLine="560"/>
          </w:pPr>
          <w:r>
            <w:fldChar w:fldCharType="begin"/>
          </w:r>
          <w:r>
            <w:instrText xml:space="preserve"> HYPERLINK \l "_Toc10756" </w:instrText>
          </w:r>
          <w:r>
            <w:fldChar w:fldCharType="separate"/>
          </w:r>
          <w:r>
            <w:t>第</w:t>
          </w:r>
          <w:r>
            <w:rPr>
              <w:rFonts w:hint="eastAsia"/>
            </w:rPr>
            <w:t>二</w:t>
          </w:r>
          <w:r>
            <w:t>章 全面推进乡村振兴战略</w:t>
          </w:r>
          <w:r>
            <w:tab/>
          </w:r>
          <w:r>
            <w:fldChar w:fldCharType="begin"/>
          </w:r>
          <w:r>
            <w:instrText xml:space="preserve"> PAGEREF _Toc10756 </w:instrText>
          </w:r>
          <w:r>
            <w:fldChar w:fldCharType="separate"/>
          </w:r>
          <w:r>
            <w:t>44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"_Toc31144" </w:instrText>
          </w:r>
          <w:r>
            <w:fldChar w:fldCharType="separate"/>
          </w:r>
          <w:r>
            <w:t>第一节 加快推动现代农业发展</w:t>
          </w:r>
          <w:r>
            <w:tab/>
          </w:r>
          <w:r>
            <w:fldChar w:fldCharType="begin"/>
          </w:r>
          <w:r>
            <w:instrText xml:space="preserve"> PAGEREF _Toc31144 </w:instrText>
          </w:r>
          <w:r>
            <w:fldChar w:fldCharType="separate"/>
          </w:r>
          <w:r>
            <w:t>44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"_Toc8790" </w:instrText>
          </w:r>
          <w:r>
            <w:fldChar w:fldCharType="separate"/>
          </w:r>
          <w:r>
            <w:t>第二节 打造生态宜居美丽田园</w:t>
          </w:r>
          <w:r>
            <w:tab/>
          </w:r>
          <w:r>
            <w:fldChar w:fldCharType="begin"/>
          </w:r>
          <w:r>
            <w:instrText xml:space="preserve"> PAGEREF _Toc8790 </w:instrText>
          </w:r>
          <w:r>
            <w:fldChar w:fldCharType="separate"/>
          </w:r>
          <w:r>
            <w:t>46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"_Toc28202" </w:instrText>
          </w:r>
          <w:r>
            <w:fldChar w:fldCharType="separate"/>
          </w:r>
          <w:r>
            <w:t>第三节 推动农村基础设施建设</w:t>
          </w:r>
          <w:r>
            <w:tab/>
          </w:r>
          <w:r>
            <w:fldChar w:fldCharType="begin"/>
          </w:r>
          <w:r>
            <w:instrText xml:space="preserve"> PAGEREF _Toc28202 </w:instrText>
          </w:r>
          <w:r>
            <w:fldChar w:fldCharType="separate"/>
          </w:r>
          <w:r>
            <w:t>47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"_Toc21254" </w:instrText>
          </w:r>
          <w:r>
            <w:fldChar w:fldCharType="separate"/>
          </w:r>
          <w:r>
            <w:t>第四节 健全城乡融合发展机制</w:t>
          </w:r>
          <w:r>
            <w:tab/>
          </w:r>
          <w:r>
            <w:fldChar w:fldCharType="begin"/>
          </w:r>
          <w:r>
            <w:instrText xml:space="preserve"> PAGEREF _Toc21254 </w:instrText>
          </w:r>
          <w:r>
            <w:fldChar w:fldCharType="separate"/>
          </w:r>
          <w:r>
            <w:t>48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"_Toc15774" </w:instrText>
          </w:r>
          <w:r>
            <w:fldChar w:fldCharType="separate"/>
          </w:r>
          <w:r>
            <w:t xml:space="preserve">第三章 </w:t>
          </w:r>
          <w:r>
            <w:rPr>
              <w:rFonts w:hint="eastAsia"/>
            </w:rPr>
            <w:t>全面提升生态环境治理水平</w:t>
          </w:r>
          <w:r>
            <w:tab/>
          </w:r>
          <w:r>
            <w:fldChar w:fldCharType="begin"/>
          </w:r>
          <w:r>
            <w:instrText xml:space="preserve"> PAGEREF _Toc15774 </w:instrText>
          </w:r>
          <w:r>
            <w:fldChar w:fldCharType="separate"/>
          </w:r>
          <w:r>
            <w:t>50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"_Toc7106" </w:instrText>
          </w:r>
          <w:r>
            <w:fldChar w:fldCharType="separate"/>
          </w:r>
          <w:r>
            <w:t>第一节 构建生态安全格局</w:t>
          </w:r>
          <w:r>
            <w:tab/>
          </w:r>
          <w:r>
            <w:fldChar w:fldCharType="begin"/>
          </w:r>
          <w:r>
            <w:instrText xml:space="preserve"> PAGEREF _Toc7106 </w:instrText>
          </w:r>
          <w:r>
            <w:fldChar w:fldCharType="separate"/>
          </w:r>
          <w:r>
            <w:t>50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"_Toc11070" </w:instrText>
          </w:r>
          <w:r>
            <w:fldChar w:fldCharType="separate"/>
          </w:r>
          <w:r>
            <w:t>第二节 加强</w:t>
          </w:r>
          <w:r>
            <w:rPr>
              <w:rFonts w:hint="eastAsia"/>
            </w:rPr>
            <w:t>生态环境治理</w:t>
          </w:r>
          <w:r>
            <w:tab/>
          </w:r>
          <w:r>
            <w:fldChar w:fldCharType="begin"/>
          </w:r>
          <w:r>
            <w:instrText xml:space="preserve"> PAGEREF _Toc11070 </w:instrText>
          </w:r>
          <w:r>
            <w:fldChar w:fldCharType="separate"/>
          </w:r>
          <w:r>
            <w:t>51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"_Toc13312" </w:instrText>
          </w:r>
          <w:r>
            <w:fldChar w:fldCharType="separate"/>
          </w:r>
          <w:r>
            <w:t>第三节 推动生态文明治理现代化</w:t>
          </w:r>
          <w:r>
            <w:tab/>
          </w:r>
          <w:r>
            <w:fldChar w:fldCharType="begin"/>
          </w:r>
          <w:r>
            <w:instrText xml:space="preserve"> PAGEREF _Toc13312 </w:instrText>
          </w:r>
          <w:r>
            <w:fldChar w:fldCharType="separate"/>
          </w:r>
          <w:r>
            <w:t>53</w:t>
          </w:r>
          <w:r>
            <w:fldChar w:fldCharType="end"/>
          </w:r>
          <w:r>
            <w:fldChar w:fldCharType="end"/>
          </w:r>
        </w:p>
        <w:p>
          <w:pPr>
            <w:pStyle w:val="16"/>
            <w:tabs>
              <w:tab w:val="right" w:leader="dot" w:pos="8306"/>
              <w:tab w:val="clear" w:pos="8296"/>
            </w:tabs>
            <w:ind w:firstLine="560"/>
          </w:pPr>
          <w:r>
            <w:fldChar w:fldCharType="begin"/>
          </w:r>
          <w:r>
            <w:instrText xml:space="preserve"> HYPERLINK \l "_Toc5448" </w:instrText>
          </w:r>
          <w:r>
            <w:fldChar w:fldCharType="separate"/>
          </w:r>
          <w:r>
            <w:t xml:space="preserve">第五篇 </w:t>
          </w:r>
          <w:r>
            <w:rPr>
              <w:rFonts w:hint="eastAsia"/>
            </w:rPr>
            <w:t>建设人文新华容，打造社会主义文化强区</w:t>
          </w:r>
          <w:r>
            <w:tab/>
          </w:r>
          <w:r>
            <w:fldChar w:fldCharType="begin"/>
          </w:r>
          <w:r>
            <w:instrText xml:space="preserve"> PAGEREF _Toc5448 </w:instrText>
          </w:r>
          <w:r>
            <w:fldChar w:fldCharType="separate"/>
          </w:r>
          <w:r>
            <w:t>55</w:t>
          </w:r>
          <w:r>
            <w:fldChar w:fldCharType="end"/>
          </w:r>
          <w:r>
            <w:fldChar w:fldCharType="end"/>
          </w:r>
        </w:p>
        <w:p>
          <w:pPr>
            <w:pStyle w:val="19"/>
            <w:tabs>
              <w:tab w:val="right" w:leader="dot" w:pos="8306"/>
              <w:tab w:val="clear" w:pos="8296"/>
            </w:tabs>
            <w:ind w:left="600" w:firstLine="560"/>
          </w:pPr>
          <w:r>
            <w:fldChar w:fldCharType="begin"/>
          </w:r>
          <w:r>
            <w:instrText xml:space="preserve"> HYPERLINK \l "_Toc23354" </w:instrText>
          </w:r>
          <w:r>
            <w:fldChar w:fldCharType="separate"/>
          </w:r>
          <w:r>
            <w:t xml:space="preserve">第一章 </w:t>
          </w:r>
          <w:r>
            <w:rPr>
              <w:rFonts w:hint="eastAsia"/>
            </w:rPr>
            <w:t>全面建设文化华容</w:t>
          </w:r>
          <w:r>
            <w:tab/>
          </w:r>
          <w:r>
            <w:fldChar w:fldCharType="begin"/>
          </w:r>
          <w:r>
            <w:instrText xml:space="preserve"> PAGEREF _Toc23354 </w:instrText>
          </w:r>
          <w:r>
            <w:fldChar w:fldCharType="separate"/>
          </w:r>
          <w:r>
            <w:t>55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"_Toc30387" </w:instrText>
          </w:r>
          <w:r>
            <w:fldChar w:fldCharType="separate"/>
          </w:r>
          <w:r>
            <w:t>第一节</w:t>
          </w:r>
          <w:r>
            <w:rPr>
              <w:rFonts w:hint="eastAsia"/>
            </w:rPr>
            <w:t xml:space="preserve"> 构筑共有精神家园</w:t>
          </w:r>
          <w:r>
            <w:tab/>
          </w:r>
          <w:r>
            <w:fldChar w:fldCharType="begin"/>
          </w:r>
          <w:r>
            <w:instrText xml:space="preserve"> PAGEREF _Toc30387 </w:instrText>
          </w:r>
          <w:r>
            <w:fldChar w:fldCharType="separate"/>
          </w:r>
          <w:r>
            <w:t>55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"_Toc7243" </w:instrText>
          </w:r>
          <w:r>
            <w:fldChar w:fldCharType="separate"/>
          </w:r>
          <w:r>
            <w:t>第二节</w:t>
          </w:r>
          <w:r>
            <w:rPr>
              <w:rFonts w:hint="eastAsia"/>
            </w:rPr>
            <w:t xml:space="preserve"> 持续实施文化惠民工程</w:t>
          </w:r>
          <w:r>
            <w:tab/>
          </w:r>
          <w:r>
            <w:fldChar w:fldCharType="begin"/>
          </w:r>
          <w:r>
            <w:instrText xml:space="preserve"> PAGEREF _Toc7243 </w:instrText>
          </w:r>
          <w:r>
            <w:fldChar w:fldCharType="separate"/>
          </w:r>
          <w:r>
            <w:t>56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"_Toc17323" </w:instrText>
          </w:r>
          <w:r>
            <w:fldChar w:fldCharType="separate"/>
          </w:r>
          <w:r>
            <w:t>第三节 加强文化遗产保护利用</w:t>
          </w:r>
          <w:r>
            <w:tab/>
          </w:r>
          <w:r>
            <w:fldChar w:fldCharType="begin"/>
          </w:r>
          <w:r>
            <w:instrText xml:space="preserve"> PAGEREF _Toc17323 </w:instrText>
          </w:r>
          <w:r>
            <w:fldChar w:fldCharType="separate"/>
          </w:r>
          <w:r>
            <w:t>56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"_Toc17536" </w:instrText>
          </w:r>
          <w:r>
            <w:fldChar w:fldCharType="separate"/>
          </w:r>
          <w:r>
            <w:t>第二章 完善公共文体服务</w:t>
          </w:r>
          <w:r>
            <w:rPr>
              <w:rFonts w:hint="eastAsia"/>
            </w:rPr>
            <w:t>体系</w:t>
          </w:r>
          <w:r>
            <w:tab/>
          </w:r>
          <w:r>
            <w:fldChar w:fldCharType="begin"/>
          </w:r>
          <w:r>
            <w:instrText xml:space="preserve"> PAGEREF _Toc17536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"_Toc24276" </w:instrText>
          </w:r>
          <w:r>
            <w:fldChar w:fldCharType="separate"/>
          </w:r>
          <w:r>
            <w:t>第一节</w:t>
          </w:r>
          <w:r>
            <w:rPr>
              <w:rFonts w:hint="eastAsia"/>
            </w:rPr>
            <w:t xml:space="preserve"> 优化公共文体服务设施</w:t>
          </w:r>
          <w:r>
            <w:tab/>
          </w:r>
          <w:r>
            <w:fldChar w:fldCharType="begin"/>
          </w:r>
          <w:r>
            <w:instrText xml:space="preserve"> PAGEREF _Toc24276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"_Toc29778" </w:instrText>
          </w:r>
          <w:r>
            <w:fldChar w:fldCharType="separate"/>
          </w:r>
          <w:r>
            <w:t>第二节 加强公共文化产品服务和供给</w:t>
          </w:r>
          <w:r>
            <w:tab/>
          </w:r>
          <w:r>
            <w:fldChar w:fldCharType="begin"/>
          </w:r>
          <w:r>
            <w:instrText xml:space="preserve"> PAGEREF _Toc29778 </w:instrText>
          </w:r>
          <w:r>
            <w:fldChar w:fldCharType="separate"/>
          </w:r>
          <w:r>
            <w:t>57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"_Toc5529" </w:instrText>
          </w:r>
          <w:r>
            <w:fldChar w:fldCharType="separate"/>
          </w:r>
          <w:r>
            <w:t>第三节 健全公共文化服务机制</w:t>
          </w:r>
          <w:r>
            <w:tab/>
          </w:r>
          <w:r>
            <w:fldChar w:fldCharType="begin"/>
          </w:r>
          <w:r>
            <w:instrText xml:space="preserve"> PAGEREF _Toc5529 </w:instrText>
          </w:r>
          <w:r>
            <w:fldChar w:fldCharType="separate"/>
          </w:r>
          <w:r>
            <w:t>58</w:t>
          </w:r>
          <w:r>
            <w:fldChar w:fldCharType="end"/>
          </w:r>
          <w:r>
            <w:fldChar w:fldCharType="end"/>
          </w:r>
        </w:p>
        <w:p>
          <w:pPr>
            <w:pStyle w:val="19"/>
            <w:tabs>
              <w:tab w:val="right" w:leader="dot" w:pos="8306"/>
              <w:tab w:val="clear" w:pos="8296"/>
            </w:tabs>
            <w:ind w:left="600" w:firstLine="560"/>
          </w:pPr>
          <w:r>
            <w:fldChar w:fldCharType="begin"/>
          </w:r>
          <w:r>
            <w:instrText xml:space="preserve"> HYPERLINK \l "_Toc7919" </w:instrText>
          </w:r>
          <w:r>
            <w:fldChar w:fldCharType="separate"/>
          </w:r>
          <w:r>
            <w:t xml:space="preserve">第三章 </w:t>
          </w:r>
          <w:r>
            <w:rPr>
              <w:rFonts w:hint="eastAsia"/>
            </w:rPr>
            <w:t>推动文旅产业融合发展</w:t>
          </w:r>
          <w:r>
            <w:tab/>
          </w:r>
          <w:r>
            <w:fldChar w:fldCharType="begin"/>
          </w:r>
          <w:r>
            <w:instrText xml:space="preserve"> PAGEREF _Toc7919 </w:instrText>
          </w:r>
          <w:r>
            <w:fldChar w:fldCharType="separate"/>
          </w:r>
          <w:r>
            <w:t>58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"_Toc17436" </w:instrText>
          </w:r>
          <w:r>
            <w:fldChar w:fldCharType="separate"/>
          </w:r>
          <w:r>
            <w:t>第一节 打造全域化文旅产品</w:t>
          </w:r>
          <w:r>
            <w:tab/>
          </w:r>
          <w:r>
            <w:fldChar w:fldCharType="begin"/>
          </w:r>
          <w:r>
            <w:instrText xml:space="preserve"> PAGEREF _Toc17436 </w:instrText>
          </w:r>
          <w:r>
            <w:fldChar w:fldCharType="separate"/>
          </w:r>
          <w:r>
            <w:t>58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"_Toc14068" </w:instrText>
          </w:r>
          <w:r>
            <w:fldChar w:fldCharType="separate"/>
          </w:r>
          <w:r>
            <w:t>第二节 完善文旅市场体系</w:t>
          </w:r>
          <w:r>
            <w:tab/>
          </w:r>
          <w:r>
            <w:fldChar w:fldCharType="begin"/>
          </w:r>
          <w:r>
            <w:instrText xml:space="preserve"> PAGEREF _Toc14068 </w:instrText>
          </w:r>
          <w:r>
            <w:fldChar w:fldCharType="separate"/>
          </w:r>
          <w:r>
            <w:t>59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"_Toc1410" </w:instrText>
          </w:r>
          <w:r>
            <w:fldChar w:fldCharType="separate"/>
          </w:r>
          <w:r>
            <w:t>第三节 促进旅游产业深度融合</w:t>
          </w:r>
          <w:r>
            <w:tab/>
          </w:r>
          <w:r>
            <w:fldChar w:fldCharType="begin"/>
          </w:r>
          <w:r>
            <w:instrText xml:space="preserve"> PAGEREF _Toc1410 </w:instrText>
          </w:r>
          <w:r>
            <w:fldChar w:fldCharType="separate"/>
          </w:r>
          <w:r>
            <w:t>59</w:t>
          </w:r>
          <w:r>
            <w:fldChar w:fldCharType="end"/>
          </w:r>
          <w:r>
            <w:fldChar w:fldCharType="end"/>
          </w:r>
        </w:p>
        <w:p>
          <w:pPr>
            <w:pStyle w:val="16"/>
            <w:tabs>
              <w:tab w:val="right" w:leader="dot" w:pos="8306"/>
              <w:tab w:val="clear" w:pos="8296"/>
            </w:tabs>
            <w:ind w:firstLine="560"/>
          </w:pPr>
          <w:r>
            <w:fldChar w:fldCharType="begin"/>
          </w:r>
          <w:r>
            <w:instrText xml:space="preserve"> HYPERLINK \l "_Toc31237" </w:instrText>
          </w:r>
          <w:r>
            <w:fldChar w:fldCharType="separate"/>
          </w:r>
          <w:r>
            <w:t xml:space="preserve">第六篇 </w:t>
          </w:r>
          <w:r>
            <w:rPr>
              <w:rFonts w:hint="eastAsia"/>
            </w:rPr>
            <w:t>建设幸福新华容，打造高品质生活宜居地</w:t>
          </w:r>
          <w:r>
            <w:tab/>
          </w:r>
          <w:r>
            <w:fldChar w:fldCharType="begin"/>
          </w:r>
          <w:r>
            <w:instrText xml:space="preserve"> PAGEREF _Toc31237 </w:instrText>
          </w:r>
          <w:r>
            <w:fldChar w:fldCharType="separate"/>
          </w:r>
          <w:r>
            <w:t>61</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"_Toc15273" </w:instrText>
          </w:r>
          <w:r>
            <w:fldChar w:fldCharType="separate"/>
          </w:r>
          <w:r>
            <w:t>第</w:t>
          </w:r>
          <w:r>
            <w:rPr>
              <w:rFonts w:hint="eastAsia"/>
            </w:rPr>
            <w:t>一</w:t>
          </w:r>
          <w:r>
            <w:t>章</w:t>
          </w:r>
          <w:r>
            <w:rPr>
              <w:rFonts w:hint="eastAsia"/>
            </w:rPr>
            <w:t xml:space="preserve"> 实现更高质量的就业与增收</w:t>
          </w:r>
          <w:r>
            <w:tab/>
          </w:r>
          <w:r>
            <w:fldChar w:fldCharType="begin"/>
          </w:r>
          <w:r>
            <w:instrText xml:space="preserve"> PAGEREF _Toc15273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"_Toc6698" </w:instrText>
          </w:r>
          <w:r>
            <w:fldChar w:fldCharType="separate"/>
          </w:r>
          <w:r>
            <w:t>第一节 充分扩大社会就业</w:t>
          </w:r>
          <w:r>
            <w:tab/>
          </w:r>
          <w:r>
            <w:fldChar w:fldCharType="begin"/>
          </w:r>
          <w:r>
            <w:instrText xml:space="preserve"> PAGEREF _Toc6698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"_Toc20877" </w:instrText>
          </w:r>
          <w:r>
            <w:fldChar w:fldCharType="separate"/>
          </w:r>
          <w:r>
            <w:t>第二节 提升就业公共服务能力</w:t>
          </w:r>
          <w:r>
            <w:tab/>
          </w:r>
          <w:r>
            <w:fldChar w:fldCharType="begin"/>
          </w:r>
          <w:r>
            <w:instrText xml:space="preserve"> PAGEREF _Toc20877 </w:instrText>
          </w:r>
          <w:r>
            <w:fldChar w:fldCharType="separate"/>
          </w:r>
          <w:r>
            <w:t>61</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"_Toc15134" </w:instrText>
          </w:r>
          <w:r>
            <w:fldChar w:fldCharType="separate"/>
          </w:r>
          <w:r>
            <w:t>第三节 加大就业扶持力度</w:t>
          </w:r>
          <w:r>
            <w:tab/>
          </w:r>
          <w:r>
            <w:fldChar w:fldCharType="begin"/>
          </w:r>
          <w:r>
            <w:instrText xml:space="preserve"> PAGEREF _Toc15134 </w:instrText>
          </w:r>
          <w:r>
            <w:fldChar w:fldCharType="separate"/>
          </w:r>
          <w:r>
            <w:t>62</w:t>
          </w:r>
          <w:r>
            <w:fldChar w:fldCharType="end"/>
          </w:r>
          <w:r>
            <w:fldChar w:fldCharType="end"/>
          </w:r>
        </w:p>
        <w:p>
          <w:pPr>
            <w:pStyle w:val="19"/>
            <w:tabs>
              <w:tab w:val="right" w:leader="dot" w:pos="8306"/>
              <w:tab w:val="clear" w:pos="8296"/>
            </w:tabs>
            <w:ind w:left="600" w:firstLine="560"/>
          </w:pPr>
          <w:r>
            <w:fldChar w:fldCharType="begin"/>
          </w:r>
          <w:r>
            <w:instrText xml:space="preserve"> HYPERLINK \l "_Toc30189" </w:instrText>
          </w:r>
          <w:r>
            <w:fldChar w:fldCharType="separate"/>
          </w:r>
          <w:r>
            <w:t>第二章 全面建设高质量教育体系</w:t>
          </w:r>
          <w:r>
            <w:tab/>
          </w:r>
          <w:r>
            <w:fldChar w:fldCharType="begin"/>
          </w:r>
          <w:r>
            <w:instrText xml:space="preserve"> PAGEREF _Toc30189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"_Toc10986" </w:instrText>
          </w:r>
          <w:r>
            <w:fldChar w:fldCharType="separate"/>
          </w:r>
          <w:r>
            <w:t>第</w:t>
          </w:r>
          <w:r>
            <w:rPr>
              <w:rFonts w:hint="eastAsia"/>
            </w:rPr>
            <w:t>一</w:t>
          </w:r>
          <w:r>
            <w:t>节 促进高水平教学质量提升</w:t>
          </w:r>
          <w:r>
            <w:tab/>
          </w:r>
          <w:r>
            <w:fldChar w:fldCharType="begin"/>
          </w:r>
          <w:r>
            <w:instrText xml:space="preserve"> PAGEREF _Toc10986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"_Toc14311" </w:instrText>
          </w:r>
          <w:r>
            <w:fldChar w:fldCharType="separate"/>
          </w:r>
          <w:r>
            <w:t>第</w:t>
          </w:r>
          <w:r>
            <w:rPr>
              <w:rFonts w:hint="eastAsia"/>
            </w:rPr>
            <w:t>二</w:t>
          </w:r>
          <w:r>
            <w:t>节 均衡配置教育资源</w:t>
          </w:r>
          <w:r>
            <w:tab/>
          </w:r>
          <w:r>
            <w:fldChar w:fldCharType="begin"/>
          </w:r>
          <w:r>
            <w:instrText xml:space="preserve"> PAGEREF _Toc14311 </w:instrText>
          </w:r>
          <w:r>
            <w:fldChar w:fldCharType="separate"/>
          </w:r>
          <w:r>
            <w:t>63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"_Toc14466" </w:instrText>
          </w:r>
          <w:r>
            <w:fldChar w:fldCharType="separate"/>
          </w:r>
          <w:r>
            <w:t>第</w:t>
          </w:r>
          <w:r>
            <w:rPr>
              <w:rFonts w:hint="eastAsia"/>
            </w:rPr>
            <w:t>三</w:t>
          </w:r>
          <w:r>
            <w:t>节 提升教育现代化水平</w:t>
          </w:r>
          <w:r>
            <w:tab/>
          </w:r>
          <w:r>
            <w:fldChar w:fldCharType="begin"/>
          </w:r>
          <w:r>
            <w:instrText xml:space="preserve"> PAGEREF _Toc14466 </w:instrText>
          </w:r>
          <w:r>
            <w:fldChar w:fldCharType="separate"/>
          </w:r>
          <w:r>
            <w:t>64</w:t>
          </w:r>
          <w:r>
            <w:fldChar w:fldCharType="end"/>
          </w:r>
          <w:r>
            <w:fldChar w:fldCharType="end"/>
          </w:r>
        </w:p>
        <w:p>
          <w:pPr>
            <w:pStyle w:val="19"/>
            <w:tabs>
              <w:tab w:val="right" w:leader="dot" w:pos="8306"/>
              <w:tab w:val="clear" w:pos="8296"/>
            </w:tabs>
            <w:ind w:left="600" w:firstLine="560"/>
          </w:pPr>
          <w:r>
            <w:fldChar w:fldCharType="begin"/>
          </w:r>
          <w:r>
            <w:instrText xml:space="preserve"> HYPERLINK \l "_Toc32167" </w:instrText>
          </w:r>
          <w:r>
            <w:fldChar w:fldCharType="separate"/>
          </w:r>
          <w:r>
            <w:t>第</w:t>
          </w:r>
          <w:r>
            <w:rPr>
              <w:rFonts w:hint="eastAsia"/>
            </w:rPr>
            <w:t>三</w:t>
          </w:r>
          <w:r>
            <w:t>章</w:t>
          </w:r>
          <w:r>
            <w:rPr>
              <w:rFonts w:hint="eastAsia"/>
            </w:rPr>
            <w:t xml:space="preserve"> 全面推进健康建设</w:t>
          </w:r>
          <w:r>
            <w:tab/>
          </w:r>
          <w:r>
            <w:fldChar w:fldCharType="begin"/>
          </w:r>
          <w:r>
            <w:instrText xml:space="preserve"> PAGEREF _Toc32167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"_Toc24651" </w:instrText>
          </w:r>
          <w:r>
            <w:fldChar w:fldCharType="separate"/>
          </w:r>
          <w:r>
            <w:t>第一节 优化卫生服务体系</w:t>
          </w:r>
          <w:r>
            <w:tab/>
          </w:r>
          <w:r>
            <w:fldChar w:fldCharType="begin"/>
          </w:r>
          <w:r>
            <w:instrText xml:space="preserve"> PAGEREF _Toc24651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"_Toc19803" </w:instrText>
          </w:r>
          <w:r>
            <w:fldChar w:fldCharType="separate"/>
          </w:r>
          <w:r>
            <w:t>第二节 提升医疗服务</w:t>
          </w:r>
          <w:r>
            <w:rPr>
              <w:rFonts w:hint="eastAsia"/>
            </w:rPr>
            <w:t>救治</w:t>
          </w:r>
          <w:r>
            <w:t>水平</w:t>
          </w:r>
          <w:r>
            <w:tab/>
          </w:r>
          <w:r>
            <w:fldChar w:fldCharType="begin"/>
          </w:r>
          <w:r>
            <w:instrText xml:space="preserve"> PAGEREF _Toc19803 </w:instrText>
          </w:r>
          <w:r>
            <w:fldChar w:fldCharType="separate"/>
          </w:r>
          <w:r>
            <w:t>65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"_Toc1442" </w:instrText>
          </w:r>
          <w:r>
            <w:fldChar w:fldCharType="separate"/>
          </w:r>
          <w:r>
            <w:t>第三节 强化公共卫生保障</w:t>
          </w:r>
          <w:r>
            <w:tab/>
          </w:r>
          <w:r>
            <w:fldChar w:fldCharType="begin"/>
          </w:r>
          <w:r>
            <w:instrText xml:space="preserve"> PAGEREF _Toc1442 </w:instrText>
          </w:r>
          <w:r>
            <w:fldChar w:fldCharType="separate"/>
          </w:r>
          <w:r>
            <w:t>66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"_Toc25361" </w:instrText>
          </w:r>
          <w:r>
            <w:fldChar w:fldCharType="separate"/>
          </w:r>
          <w:r>
            <w:t>第四节 推进智慧医疗发展</w:t>
          </w:r>
          <w:r>
            <w:tab/>
          </w:r>
          <w:r>
            <w:fldChar w:fldCharType="begin"/>
          </w:r>
          <w:r>
            <w:instrText xml:space="preserve"> PAGEREF _Toc25361 </w:instrText>
          </w:r>
          <w:r>
            <w:fldChar w:fldCharType="separate"/>
          </w:r>
          <w:r>
            <w:t>66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"_Toc27113" </w:instrText>
          </w:r>
          <w:r>
            <w:fldChar w:fldCharType="separate"/>
          </w:r>
          <w:r>
            <w:t>第四章 健全多层次社会保障体系</w:t>
          </w:r>
          <w:r>
            <w:tab/>
          </w:r>
          <w:r>
            <w:fldChar w:fldCharType="begin"/>
          </w:r>
          <w:r>
            <w:instrText xml:space="preserve"> PAGEREF _Toc27113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"_Toc8740" </w:instrText>
          </w:r>
          <w:r>
            <w:fldChar w:fldCharType="separate"/>
          </w:r>
          <w:r>
            <w:t>第一节 完善基本保障体系</w:t>
          </w:r>
          <w:r>
            <w:tab/>
          </w:r>
          <w:r>
            <w:fldChar w:fldCharType="begin"/>
          </w:r>
          <w:r>
            <w:instrText xml:space="preserve"> PAGEREF _Toc8740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"_Toc21663" </w:instrText>
          </w:r>
          <w:r>
            <w:fldChar w:fldCharType="separate"/>
          </w:r>
          <w:r>
            <w:t>第二节 提高社会救助水平</w:t>
          </w:r>
          <w:r>
            <w:tab/>
          </w:r>
          <w:r>
            <w:fldChar w:fldCharType="begin"/>
          </w:r>
          <w:r>
            <w:instrText xml:space="preserve"> PAGEREF _Toc21663 </w:instrText>
          </w:r>
          <w:r>
            <w:fldChar w:fldCharType="separate"/>
          </w:r>
          <w:r>
            <w:t>67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"_Toc10075" </w:instrText>
          </w:r>
          <w:r>
            <w:fldChar w:fldCharType="separate"/>
          </w:r>
          <w:r>
            <w:t>第三节 切实加强住房保障</w:t>
          </w:r>
          <w:r>
            <w:tab/>
          </w:r>
          <w:r>
            <w:fldChar w:fldCharType="begin"/>
          </w:r>
          <w:r>
            <w:instrText xml:space="preserve"> PAGEREF _Toc10075 </w:instrText>
          </w:r>
          <w:r>
            <w:fldChar w:fldCharType="separate"/>
          </w:r>
          <w:r>
            <w:t>68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"_Toc15755" </w:instrText>
          </w:r>
          <w:r>
            <w:fldChar w:fldCharType="separate"/>
          </w:r>
          <w:r>
            <w:t>第四节</w:t>
          </w:r>
          <w:r>
            <w:rPr>
              <w:rFonts w:hint="eastAsia"/>
            </w:rPr>
            <w:t xml:space="preserve"> 大力发展养老服务业</w:t>
          </w:r>
          <w:r>
            <w:tab/>
          </w:r>
          <w:r>
            <w:fldChar w:fldCharType="begin"/>
          </w:r>
          <w:r>
            <w:instrText xml:space="preserve"> PAGEREF _Toc15755 </w:instrText>
          </w:r>
          <w:r>
            <w:fldChar w:fldCharType="separate"/>
          </w:r>
          <w:r>
            <w:t>69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"_Toc10495" </w:instrText>
          </w:r>
          <w:r>
            <w:fldChar w:fldCharType="separate"/>
          </w:r>
          <w:r>
            <w:rPr>
              <w:rFonts w:hint="eastAsia"/>
            </w:rPr>
            <w:t>第五节 坚实巩固脱贫成果</w:t>
          </w:r>
          <w:r>
            <w:tab/>
          </w:r>
          <w:r>
            <w:fldChar w:fldCharType="begin"/>
          </w:r>
          <w:r>
            <w:instrText xml:space="preserve"> PAGEREF _Toc10495 </w:instrText>
          </w:r>
          <w:r>
            <w:fldChar w:fldCharType="separate"/>
          </w:r>
          <w:r>
            <w:t>70</w:t>
          </w:r>
          <w:r>
            <w:fldChar w:fldCharType="end"/>
          </w:r>
          <w:r>
            <w:fldChar w:fldCharType="end"/>
          </w:r>
        </w:p>
        <w:p>
          <w:pPr>
            <w:pStyle w:val="16"/>
            <w:tabs>
              <w:tab w:val="right" w:leader="dot" w:pos="8306"/>
              <w:tab w:val="clear" w:pos="8296"/>
            </w:tabs>
            <w:ind w:firstLine="560"/>
          </w:pPr>
          <w:r>
            <w:fldChar w:fldCharType="begin"/>
          </w:r>
          <w:r>
            <w:instrText xml:space="preserve"> HYPERLINK \l "_Toc4364" </w:instrText>
          </w:r>
          <w:r>
            <w:fldChar w:fldCharType="separate"/>
          </w:r>
          <w:r>
            <w:t>第七篇 全面深化改革</w:t>
          </w:r>
          <w:r>
            <w:rPr>
              <w:rFonts w:hint="eastAsia"/>
            </w:rPr>
            <w:t>开放</w:t>
          </w:r>
          <w:r>
            <w:t>，</w:t>
          </w:r>
          <w:r>
            <w:rPr>
              <w:rFonts w:hint="eastAsia"/>
            </w:rPr>
            <w:t>激发高质量发展新动能</w:t>
          </w:r>
          <w:r>
            <w:tab/>
          </w:r>
          <w:r>
            <w:fldChar w:fldCharType="begin"/>
          </w:r>
          <w:r>
            <w:instrText xml:space="preserve"> PAGEREF _Toc4364 </w:instrText>
          </w:r>
          <w:r>
            <w:fldChar w:fldCharType="separate"/>
          </w:r>
          <w:r>
            <w:t>72</w:t>
          </w:r>
          <w:r>
            <w:fldChar w:fldCharType="end"/>
          </w:r>
          <w:r>
            <w:fldChar w:fldCharType="end"/>
          </w:r>
        </w:p>
        <w:p>
          <w:pPr>
            <w:pStyle w:val="19"/>
            <w:tabs>
              <w:tab w:val="right" w:leader="dot" w:pos="8306"/>
              <w:tab w:val="clear" w:pos="8296"/>
            </w:tabs>
            <w:ind w:left="600" w:firstLine="560"/>
          </w:pPr>
          <w:r>
            <w:fldChar w:fldCharType="begin"/>
          </w:r>
          <w:r>
            <w:instrText xml:space="preserve"> HYPERLINK \l "_Toc31833" </w:instrText>
          </w:r>
          <w:r>
            <w:fldChar w:fldCharType="separate"/>
          </w:r>
          <w:r>
            <w:t>第一章</w:t>
          </w:r>
          <w:r>
            <w:rPr>
              <w:rFonts w:hint="eastAsia"/>
            </w:rPr>
            <w:t xml:space="preserve"> 打造一流营商环境</w:t>
          </w:r>
          <w:r>
            <w:tab/>
          </w:r>
          <w:r>
            <w:fldChar w:fldCharType="begin"/>
          </w:r>
          <w:r>
            <w:instrText xml:space="preserve"> PAGEREF _Toc31833 </w:instrText>
          </w:r>
          <w:r>
            <w:fldChar w:fldCharType="separate"/>
          </w:r>
          <w:r>
            <w:t>72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"_Toc10243" </w:instrText>
          </w:r>
          <w:r>
            <w:fldChar w:fldCharType="separate"/>
          </w:r>
          <w:r>
            <w:t xml:space="preserve">第一节 </w:t>
          </w:r>
          <w:r>
            <w:rPr>
              <w:rFonts w:hint="eastAsia"/>
            </w:rPr>
            <w:t>构建便民</w:t>
          </w:r>
          <w:r>
            <w:t>高效政务</w:t>
          </w:r>
          <w:r>
            <w:rPr>
              <w:rFonts w:hint="eastAsia"/>
            </w:rPr>
            <w:t>服务</w:t>
          </w:r>
          <w:r>
            <w:t>环境</w:t>
          </w:r>
          <w:r>
            <w:tab/>
          </w:r>
          <w:r>
            <w:fldChar w:fldCharType="begin"/>
          </w:r>
          <w:r>
            <w:instrText xml:space="preserve"> PAGEREF _Toc10243 </w:instrText>
          </w:r>
          <w:r>
            <w:fldChar w:fldCharType="separate"/>
          </w:r>
          <w:r>
            <w:t>72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"_Toc5252" </w:instrText>
          </w:r>
          <w:r>
            <w:fldChar w:fldCharType="separate"/>
          </w:r>
          <w:r>
            <w:rPr>
              <w:rFonts w:hint="eastAsia"/>
            </w:rPr>
            <w:t>第二节 营造公平竞争市场环境</w:t>
          </w:r>
          <w:r>
            <w:tab/>
          </w:r>
          <w:r>
            <w:fldChar w:fldCharType="begin"/>
          </w:r>
          <w:r>
            <w:instrText xml:space="preserve"> PAGEREF _Toc5252 </w:instrText>
          </w:r>
          <w:r>
            <w:fldChar w:fldCharType="separate"/>
          </w:r>
          <w:r>
            <w:t>73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"_Toc6133" </w:instrText>
          </w:r>
          <w:r>
            <w:fldChar w:fldCharType="separate"/>
          </w:r>
          <w:r>
            <w:rPr>
              <w:rFonts w:hint="eastAsia"/>
            </w:rPr>
            <w:t>第三节 健全公正优质法治环境</w:t>
          </w:r>
          <w:r>
            <w:tab/>
          </w:r>
          <w:r>
            <w:fldChar w:fldCharType="begin"/>
          </w:r>
          <w:r>
            <w:instrText xml:space="preserve"> PAGEREF _Toc6133 </w:instrText>
          </w:r>
          <w:r>
            <w:fldChar w:fldCharType="separate"/>
          </w:r>
          <w:r>
            <w:t>73</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"_Toc11385" </w:instrText>
          </w:r>
          <w:r>
            <w:fldChar w:fldCharType="separate"/>
          </w:r>
          <w:r>
            <w:t>第四节</w:t>
          </w:r>
          <w:r>
            <w:rPr>
              <w:rFonts w:hint="eastAsia"/>
            </w:rPr>
            <w:t xml:space="preserve"> 提升对外开放平台能级</w:t>
          </w:r>
          <w:r>
            <w:tab/>
          </w:r>
          <w:r>
            <w:fldChar w:fldCharType="begin"/>
          </w:r>
          <w:r>
            <w:instrText xml:space="preserve"> PAGEREF _Toc11385 </w:instrText>
          </w:r>
          <w:r>
            <w:fldChar w:fldCharType="separate"/>
          </w:r>
          <w:r>
            <w:t>74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"_Toc25942" </w:instrText>
          </w:r>
          <w:r>
            <w:fldChar w:fldCharType="separate"/>
          </w:r>
          <w:r>
            <w:rPr>
              <w:rFonts w:hint="eastAsia"/>
            </w:rPr>
            <w:t>第五</w:t>
          </w:r>
          <w:r>
            <w:t>节</w:t>
          </w:r>
          <w:r>
            <w:rPr>
              <w:rFonts w:hint="eastAsia"/>
            </w:rPr>
            <w:t xml:space="preserve"> 完善</w:t>
          </w:r>
          <w:r>
            <w:t>社会</w:t>
          </w:r>
          <w:r>
            <w:rPr>
              <w:rFonts w:hint="eastAsia"/>
            </w:rPr>
            <w:t>信用</w:t>
          </w:r>
          <w:r>
            <w:t>体系</w:t>
          </w:r>
          <w:r>
            <w:tab/>
          </w:r>
          <w:r>
            <w:fldChar w:fldCharType="begin"/>
          </w:r>
          <w:r>
            <w:instrText xml:space="preserve"> PAGEREF _Toc25942 </w:instrText>
          </w:r>
          <w:r>
            <w:fldChar w:fldCharType="separate"/>
          </w:r>
          <w:r>
            <w:t>74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"_Toc7861" </w:instrText>
          </w:r>
          <w:r>
            <w:fldChar w:fldCharType="separate"/>
          </w:r>
          <w:r>
            <w:t>第二章 深化</w:t>
          </w:r>
          <w:r>
            <w:rPr>
              <w:rFonts w:hint="eastAsia"/>
            </w:rPr>
            <w:t>要素</w:t>
          </w:r>
          <w:r>
            <w:t>市场化改革</w:t>
          </w:r>
          <w:r>
            <w:tab/>
          </w:r>
          <w:r>
            <w:fldChar w:fldCharType="begin"/>
          </w:r>
          <w:r>
            <w:instrText xml:space="preserve"> PAGEREF _Toc7861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"_Toc12576" </w:instrText>
          </w:r>
          <w:r>
            <w:fldChar w:fldCharType="separate"/>
          </w:r>
          <w:r>
            <w:t>第一节 深化要素市场化配置</w:t>
          </w:r>
          <w:r>
            <w:tab/>
          </w:r>
          <w:r>
            <w:fldChar w:fldCharType="begin"/>
          </w:r>
          <w:r>
            <w:instrText xml:space="preserve"> PAGEREF _Toc12576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"_Toc16119" </w:instrText>
          </w:r>
          <w:r>
            <w:fldChar w:fldCharType="separate"/>
          </w:r>
          <w:r>
            <w:t>第二节</w:t>
          </w:r>
          <w:r>
            <w:rPr>
              <w:rFonts w:hint="eastAsia"/>
            </w:rPr>
            <w:t xml:space="preserve"> </w:t>
          </w:r>
          <w:r>
            <w:t>分类推进</w:t>
          </w:r>
          <w:r>
            <w:rPr>
              <w:rFonts w:hint="eastAsia"/>
            </w:rPr>
            <w:t>要素市场化</w:t>
          </w:r>
          <w:r>
            <w:t>改革</w:t>
          </w:r>
          <w:r>
            <w:tab/>
          </w:r>
          <w:r>
            <w:fldChar w:fldCharType="begin"/>
          </w:r>
          <w:r>
            <w:instrText xml:space="preserve"> PAGEREF _Toc16119 </w:instrText>
          </w:r>
          <w:r>
            <w:fldChar w:fldCharType="separate"/>
          </w:r>
          <w:r>
            <w:t>75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"_Toc1053" </w:instrText>
          </w:r>
          <w:r>
            <w:fldChar w:fldCharType="separate"/>
          </w:r>
          <w:r>
            <w:t>第三节 健全要素市场化</w:t>
          </w:r>
          <w:r>
            <w:rPr>
              <w:rFonts w:hint="eastAsia"/>
            </w:rPr>
            <w:t>体系</w:t>
          </w:r>
          <w:r>
            <w:tab/>
          </w:r>
          <w:r>
            <w:fldChar w:fldCharType="begin"/>
          </w:r>
          <w:r>
            <w:instrText xml:space="preserve"> PAGEREF _Toc1053 </w:instrText>
          </w:r>
          <w:r>
            <w:fldChar w:fldCharType="separate"/>
          </w:r>
          <w:r>
            <w:t>76</w:t>
          </w:r>
          <w:r>
            <w:fldChar w:fldCharType="end"/>
          </w:r>
          <w:r>
            <w:fldChar w:fldCharType="end"/>
          </w:r>
        </w:p>
        <w:p>
          <w:pPr>
            <w:pStyle w:val="19"/>
            <w:tabs>
              <w:tab w:val="right" w:leader="dot" w:pos="8306"/>
              <w:tab w:val="clear" w:pos="8296"/>
            </w:tabs>
            <w:ind w:left="600" w:firstLine="560"/>
          </w:pPr>
          <w:r>
            <w:fldChar w:fldCharType="begin"/>
          </w:r>
          <w:r>
            <w:instrText xml:space="preserve"> HYPERLINK \l "_Toc28376" </w:instrText>
          </w:r>
          <w:r>
            <w:fldChar w:fldCharType="separate"/>
          </w:r>
          <w:r>
            <w:rPr>
              <w:rFonts w:hint="eastAsia"/>
            </w:rPr>
            <w:t>第三章 完善现代地方财税金融体制</w:t>
          </w:r>
          <w:r>
            <w:tab/>
          </w:r>
          <w:r>
            <w:fldChar w:fldCharType="begin"/>
          </w:r>
          <w:r>
            <w:instrText xml:space="preserve"> PAGEREF _Toc28376 </w:instrText>
          </w:r>
          <w:r>
            <w:fldChar w:fldCharType="separate"/>
          </w:r>
          <w:r>
            <w:t>76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"_Toc11666" </w:instrText>
          </w:r>
          <w:r>
            <w:fldChar w:fldCharType="separate"/>
          </w:r>
          <w:r>
            <w:rPr>
              <w:rFonts w:hint="eastAsia"/>
            </w:rPr>
            <w:t>第一节 加快</w:t>
          </w:r>
          <w:r>
            <w:t>财税体制改革</w:t>
          </w:r>
          <w:r>
            <w:tab/>
          </w:r>
          <w:r>
            <w:fldChar w:fldCharType="begin"/>
          </w:r>
          <w:r>
            <w:instrText xml:space="preserve"> PAGEREF _Toc11666 </w:instrText>
          </w:r>
          <w:r>
            <w:fldChar w:fldCharType="separate"/>
          </w:r>
          <w:r>
            <w:t>76</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"_Toc11348" </w:instrText>
          </w:r>
          <w:r>
            <w:fldChar w:fldCharType="separate"/>
          </w:r>
          <w:r>
            <w:rPr>
              <w:rFonts w:hint="eastAsia"/>
            </w:rPr>
            <w:t>第二节 深化</w:t>
          </w:r>
          <w:r>
            <w:t>金融体制</w:t>
          </w:r>
          <w:r>
            <w:rPr>
              <w:rFonts w:hint="eastAsia"/>
            </w:rPr>
            <w:t>改革</w:t>
          </w:r>
          <w:r>
            <w:tab/>
          </w:r>
          <w:r>
            <w:fldChar w:fldCharType="begin"/>
          </w:r>
          <w:r>
            <w:instrText xml:space="preserve"> PAGEREF _Toc11348 </w:instrText>
          </w:r>
          <w:r>
            <w:fldChar w:fldCharType="separate"/>
          </w:r>
          <w:r>
            <w:t>77</w:t>
          </w:r>
          <w:r>
            <w:fldChar w:fldCharType="end"/>
          </w:r>
          <w:r>
            <w:fldChar w:fldCharType="end"/>
          </w:r>
        </w:p>
        <w:p>
          <w:pPr>
            <w:pStyle w:val="16"/>
            <w:tabs>
              <w:tab w:val="right" w:leader="dot" w:pos="8306"/>
              <w:tab w:val="clear" w:pos="8296"/>
            </w:tabs>
            <w:ind w:firstLine="560"/>
          </w:pPr>
          <w:r>
            <w:fldChar w:fldCharType="begin"/>
          </w:r>
          <w:r>
            <w:instrText xml:space="preserve"> HYPERLINK \l "_Toc6187" </w:instrText>
          </w:r>
          <w:r>
            <w:fldChar w:fldCharType="separate"/>
          </w:r>
          <w:r>
            <w:t xml:space="preserve">第八篇 </w:t>
          </w:r>
          <w:r>
            <w:rPr>
              <w:rFonts w:hint="eastAsia"/>
            </w:rPr>
            <w:t>全面统筹发展与安全，维护社会平安稳定</w:t>
          </w:r>
          <w:r>
            <w:tab/>
          </w:r>
          <w:r>
            <w:fldChar w:fldCharType="begin"/>
          </w:r>
          <w:r>
            <w:instrText xml:space="preserve"> PAGEREF _Toc6187 </w:instrText>
          </w:r>
          <w:r>
            <w:fldChar w:fldCharType="separate"/>
          </w:r>
          <w:r>
            <w:t>78</w:t>
          </w:r>
          <w:r>
            <w:fldChar w:fldCharType="end"/>
          </w:r>
          <w:r>
            <w:fldChar w:fldCharType="end"/>
          </w:r>
        </w:p>
        <w:p>
          <w:pPr>
            <w:pStyle w:val="19"/>
            <w:tabs>
              <w:tab w:val="right" w:leader="dot" w:pos="8306"/>
              <w:tab w:val="clear" w:pos="8296"/>
            </w:tabs>
            <w:ind w:left="600" w:firstLine="560"/>
          </w:pPr>
          <w:r>
            <w:fldChar w:fldCharType="begin"/>
          </w:r>
          <w:r>
            <w:instrText xml:space="preserve"> HYPERLINK \l "_Toc4482" </w:instrText>
          </w:r>
          <w:r>
            <w:fldChar w:fldCharType="separate"/>
          </w:r>
          <w:r>
            <w:rPr>
              <w:rFonts w:hint="eastAsia"/>
            </w:rPr>
            <w:t>第一章 健全公共安全体系</w:t>
          </w:r>
          <w:r>
            <w:tab/>
          </w:r>
          <w:r>
            <w:fldChar w:fldCharType="begin"/>
          </w:r>
          <w:r>
            <w:instrText xml:space="preserve"> PAGEREF _Toc4482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"_Toc20309" </w:instrText>
          </w:r>
          <w:r>
            <w:fldChar w:fldCharType="separate"/>
          </w:r>
          <w:r>
            <w:rPr>
              <w:rFonts w:hint="eastAsia"/>
            </w:rPr>
            <w:t>第一节 维护国家政治安全</w:t>
          </w:r>
          <w:r>
            <w:tab/>
          </w:r>
          <w:r>
            <w:fldChar w:fldCharType="begin"/>
          </w:r>
          <w:r>
            <w:instrText xml:space="preserve"> PAGEREF _Toc20309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"_Toc14084" </w:instrText>
          </w:r>
          <w:r>
            <w:fldChar w:fldCharType="separate"/>
          </w:r>
          <w:r>
            <w:rPr>
              <w:rFonts w:hint="eastAsia"/>
            </w:rPr>
            <w:t>第二节 防范化解金融风险</w:t>
          </w:r>
          <w:r>
            <w:tab/>
          </w:r>
          <w:r>
            <w:fldChar w:fldCharType="begin"/>
          </w:r>
          <w:r>
            <w:instrText xml:space="preserve"> PAGEREF _Toc14084 </w:instrText>
          </w:r>
          <w:r>
            <w:fldChar w:fldCharType="separate"/>
          </w:r>
          <w:r>
            <w:t>78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"_Toc112" </w:instrText>
          </w:r>
          <w:r>
            <w:fldChar w:fldCharType="separate"/>
          </w:r>
          <w:r>
            <w:t>第</w:t>
          </w:r>
          <w:r>
            <w:rPr>
              <w:rFonts w:hint="eastAsia"/>
            </w:rPr>
            <w:t>三</w:t>
          </w:r>
          <w:r>
            <w:t>节</w:t>
          </w:r>
          <w:r>
            <w:rPr>
              <w:rFonts w:hint="eastAsia"/>
            </w:rPr>
            <w:t xml:space="preserve"> 加强社会治安综合治理</w:t>
          </w:r>
          <w:r>
            <w:tab/>
          </w:r>
          <w:r>
            <w:fldChar w:fldCharType="begin"/>
          </w:r>
          <w:r>
            <w:instrText xml:space="preserve"> PAGEREF _Toc112 </w:instrText>
          </w:r>
          <w:r>
            <w:fldChar w:fldCharType="separate"/>
          </w:r>
          <w:r>
            <w:t>79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"_Toc14069" </w:instrText>
          </w:r>
          <w:r>
            <w:fldChar w:fldCharType="separate"/>
          </w:r>
          <w:r>
            <w:rPr>
              <w:rFonts w:hint="eastAsia"/>
            </w:rPr>
            <w:t>第四节 强化安全生产能力建设</w:t>
          </w:r>
          <w:r>
            <w:tab/>
          </w:r>
          <w:r>
            <w:fldChar w:fldCharType="begin"/>
          </w:r>
          <w:r>
            <w:instrText xml:space="preserve"> PAGEREF _Toc14069 </w:instrText>
          </w:r>
          <w:r>
            <w:fldChar w:fldCharType="separate"/>
          </w:r>
          <w:r>
            <w:t>79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"_Toc24185" </w:instrText>
          </w:r>
          <w:r>
            <w:fldChar w:fldCharType="separate"/>
          </w:r>
          <w:r>
            <w:rPr>
              <w:rFonts w:hint="eastAsia"/>
            </w:rPr>
            <w:t>第五节 维护新型领域安全</w:t>
          </w:r>
          <w:r>
            <w:tab/>
          </w:r>
          <w:r>
            <w:fldChar w:fldCharType="begin"/>
          </w:r>
          <w:r>
            <w:instrText xml:space="preserve"> PAGEREF _Toc24185 </w:instrText>
          </w:r>
          <w:r>
            <w:fldChar w:fldCharType="separate"/>
          </w:r>
          <w:r>
            <w:t>80</w:t>
          </w:r>
          <w:r>
            <w:fldChar w:fldCharType="end"/>
          </w:r>
          <w:r>
            <w:fldChar w:fldCharType="end"/>
          </w:r>
        </w:p>
        <w:p>
          <w:pPr>
            <w:pStyle w:val="19"/>
            <w:tabs>
              <w:tab w:val="right" w:leader="dot" w:pos="8306"/>
              <w:tab w:val="clear" w:pos="8296"/>
            </w:tabs>
            <w:ind w:left="600" w:firstLine="560"/>
          </w:pPr>
          <w:r>
            <w:fldChar w:fldCharType="begin"/>
          </w:r>
          <w:r>
            <w:instrText xml:space="preserve"> HYPERLINK \l "_Toc15463" </w:instrText>
          </w:r>
          <w:r>
            <w:fldChar w:fldCharType="separate"/>
          </w:r>
          <w:r>
            <w:rPr>
              <w:rFonts w:hint="eastAsia"/>
            </w:rPr>
            <w:t>第二章 加强创新社会治理</w:t>
          </w:r>
          <w:r>
            <w:tab/>
          </w:r>
          <w:r>
            <w:fldChar w:fldCharType="begin"/>
          </w:r>
          <w:r>
            <w:instrText xml:space="preserve"> PAGEREF _Toc15463 </w:instrText>
          </w:r>
          <w:r>
            <w:fldChar w:fldCharType="separate"/>
          </w:r>
          <w:r>
            <w:t>80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"_Toc17437" </w:instrText>
          </w:r>
          <w:r>
            <w:fldChar w:fldCharType="separate"/>
          </w:r>
          <w:r>
            <w:rPr>
              <w:rFonts w:hint="eastAsia"/>
            </w:rPr>
            <w:t>第一节 创新社会治理体系</w:t>
          </w:r>
          <w:r>
            <w:tab/>
          </w:r>
          <w:r>
            <w:fldChar w:fldCharType="begin"/>
          </w:r>
          <w:r>
            <w:instrText xml:space="preserve"> PAGEREF _Toc17437 </w:instrText>
          </w:r>
          <w:r>
            <w:fldChar w:fldCharType="separate"/>
          </w:r>
          <w:r>
            <w:t>80</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"_Toc11179" </w:instrText>
          </w:r>
          <w:r>
            <w:fldChar w:fldCharType="separate"/>
          </w:r>
          <w:r>
            <w:rPr>
              <w:rFonts w:hint="eastAsia"/>
            </w:rPr>
            <w:t>第二节 健全社会治理方式</w:t>
          </w:r>
          <w:r>
            <w:tab/>
          </w:r>
          <w:r>
            <w:fldChar w:fldCharType="begin"/>
          </w:r>
          <w:r>
            <w:instrText xml:space="preserve"> PAGEREF _Toc11179 </w:instrText>
          </w:r>
          <w:r>
            <w:fldChar w:fldCharType="separate"/>
          </w:r>
          <w:r>
            <w:t>81</w:t>
          </w:r>
          <w:r>
            <w:fldChar w:fldCharType="end"/>
          </w:r>
          <w:r>
            <w:fldChar w:fldCharType="end"/>
          </w:r>
        </w:p>
        <w:p>
          <w:pPr>
            <w:pStyle w:val="19"/>
            <w:tabs>
              <w:tab w:val="right" w:leader="dot" w:pos="8306"/>
              <w:tab w:val="clear" w:pos="8296"/>
            </w:tabs>
            <w:ind w:left="600" w:firstLine="560"/>
          </w:pPr>
          <w:r>
            <w:fldChar w:fldCharType="begin"/>
          </w:r>
          <w:r>
            <w:instrText xml:space="preserve"> HYPERLINK \l "_Toc3929" </w:instrText>
          </w:r>
          <w:r>
            <w:fldChar w:fldCharType="separate"/>
          </w:r>
          <w:r>
            <w:rPr>
              <w:rFonts w:hint="eastAsia"/>
            </w:rPr>
            <w:t>第三章 加强应急管理体系和能力建设</w:t>
          </w:r>
          <w:r>
            <w:tab/>
          </w:r>
          <w:r>
            <w:fldChar w:fldCharType="begin"/>
          </w:r>
          <w:r>
            <w:instrText xml:space="preserve"> PAGEREF _Toc3929 </w:instrText>
          </w:r>
          <w:r>
            <w:fldChar w:fldCharType="separate"/>
          </w:r>
          <w:r>
            <w:t>82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"_Toc4602" </w:instrText>
          </w:r>
          <w:r>
            <w:fldChar w:fldCharType="separate"/>
          </w:r>
          <w:r>
            <w:t>第</w:t>
          </w:r>
          <w:r>
            <w:rPr>
              <w:rFonts w:hint="eastAsia"/>
            </w:rPr>
            <w:t>一</w:t>
          </w:r>
          <w:r>
            <w:t xml:space="preserve">节 </w:t>
          </w:r>
          <w:r>
            <w:rPr>
              <w:rFonts w:hint="eastAsia"/>
            </w:rPr>
            <w:t>完善应急管理体系</w:t>
          </w:r>
          <w:r>
            <w:tab/>
          </w:r>
          <w:r>
            <w:fldChar w:fldCharType="begin"/>
          </w:r>
          <w:r>
            <w:instrText xml:space="preserve"> PAGEREF _Toc4602 </w:instrText>
          </w:r>
          <w:r>
            <w:fldChar w:fldCharType="separate"/>
          </w:r>
          <w:r>
            <w:t>82</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"_Toc19209" </w:instrText>
          </w:r>
          <w:r>
            <w:fldChar w:fldCharType="separate"/>
          </w:r>
          <w:r>
            <w:rPr>
              <w:rFonts w:hint="eastAsia"/>
            </w:rPr>
            <w:t>第二节 增强应急管理能力</w:t>
          </w:r>
          <w:r>
            <w:tab/>
          </w:r>
          <w:r>
            <w:fldChar w:fldCharType="begin"/>
          </w:r>
          <w:r>
            <w:instrText xml:space="preserve"> PAGEREF _Toc19209 </w:instrText>
          </w:r>
          <w:r>
            <w:fldChar w:fldCharType="separate"/>
          </w:r>
          <w:r>
            <w:t>82</w:t>
          </w:r>
          <w:r>
            <w:fldChar w:fldCharType="end"/>
          </w:r>
          <w:r>
            <w:fldChar w:fldCharType="end"/>
          </w:r>
        </w:p>
        <w:p>
          <w:pPr>
            <w:pStyle w:val="16"/>
            <w:tabs>
              <w:tab w:val="right" w:leader="dot" w:pos="8306"/>
              <w:tab w:val="clear" w:pos="8296"/>
            </w:tabs>
            <w:ind w:firstLine="560"/>
          </w:pPr>
          <w:r>
            <w:fldChar w:fldCharType="begin"/>
          </w:r>
          <w:r>
            <w:instrText xml:space="preserve"> HYPERLINK \l "_Toc16179" </w:instrText>
          </w:r>
          <w:r>
            <w:fldChar w:fldCharType="separate"/>
          </w:r>
          <w:r>
            <w:t>第</w:t>
          </w:r>
          <w:r>
            <w:rPr>
              <w:rFonts w:hint="eastAsia"/>
            </w:rPr>
            <w:t>九</w:t>
          </w:r>
          <w:r>
            <w:t xml:space="preserve">篇 </w:t>
          </w:r>
          <w:r>
            <w:rPr>
              <w:rFonts w:hint="eastAsia"/>
            </w:rPr>
            <w:t>坚持党的全面领导，奋力实现“十四五”规划和二〇三五年远景目标</w:t>
          </w:r>
          <w:r>
            <w:tab/>
          </w:r>
          <w:r>
            <w:fldChar w:fldCharType="begin"/>
          </w:r>
          <w:r>
            <w:instrText xml:space="preserve"> PAGEREF _Toc16179 </w:instrText>
          </w:r>
          <w:r>
            <w:fldChar w:fldCharType="separate"/>
          </w:r>
          <w:r>
            <w:t>84</w:t>
          </w:r>
          <w:r>
            <w:fldChar w:fldCharType="end"/>
          </w:r>
          <w:r>
            <w:fldChar w:fldCharType="end"/>
          </w:r>
        </w:p>
        <w:p>
          <w:pPr>
            <w:pStyle w:val="19"/>
            <w:tabs>
              <w:tab w:val="right" w:leader="dot" w:pos="8306"/>
              <w:tab w:val="clear" w:pos="8296"/>
            </w:tabs>
            <w:ind w:left="600" w:firstLine="560"/>
          </w:pPr>
          <w:r>
            <w:fldChar w:fldCharType="begin"/>
          </w:r>
          <w:r>
            <w:instrText xml:space="preserve"> HYPERLINK \l "_Toc7712" </w:instrText>
          </w:r>
          <w:r>
            <w:fldChar w:fldCharType="separate"/>
          </w:r>
          <w:r>
            <w:t>第一章</w:t>
          </w:r>
          <w:r>
            <w:rPr>
              <w:rFonts w:hint="eastAsia"/>
            </w:rPr>
            <w:t xml:space="preserve"> 充分发挥党的领导核心作用</w:t>
          </w:r>
          <w:r>
            <w:tab/>
          </w:r>
          <w:r>
            <w:fldChar w:fldCharType="begin"/>
          </w:r>
          <w:r>
            <w:instrText xml:space="preserve"> PAGEREF _Toc7712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"_Toc17103" </w:instrText>
          </w:r>
          <w:r>
            <w:fldChar w:fldCharType="separate"/>
          </w:r>
          <w:r>
            <w:t xml:space="preserve">第一节 </w:t>
          </w:r>
          <w:r>
            <w:rPr>
              <w:rFonts w:hint="eastAsia"/>
            </w:rPr>
            <w:t>坚持党的集中统一领导</w:t>
          </w:r>
          <w:r>
            <w:tab/>
          </w:r>
          <w:r>
            <w:fldChar w:fldCharType="begin"/>
          </w:r>
          <w:r>
            <w:instrText xml:space="preserve"> PAGEREF _Toc17103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"_Toc30036" </w:instrText>
          </w:r>
          <w:r>
            <w:fldChar w:fldCharType="separate"/>
          </w:r>
          <w:r>
            <w:t>第二节 加强</w:t>
          </w:r>
          <w:r>
            <w:rPr>
              <w:rFonts w:hint="eastAsia"/>
            </w:rPr>
            <w:t>基层党组织</w:t>
          </w:r>
          <w:r>
            <w:t>建设</w:t>
          </w:r>
          <w:r>
            <w:tab/>
          </w:r>
          <w:r>
            <w:fldChar w:fldCharType="begin"/>
          </w:r>
          <w:r>
            <w:instrText xml:space="preserve"> PAGEREF _Toc30036 </w:instrText>
          </w:r>
          <w:r>
            <w:fldChar w:fldCharType="separate"/>
          </w:r>
          <w:r>
            <w:t>84</w:t>
          </w:r>
          <w:r>
            <w:fldChar w:fldCharType="end"/>
          </w:r>
          <w:r>
            <w:fldChar w:fldCharType="end"/>
          </w:r>
        </w:p>
        <w:p>
          <w:pPr>
            <w:pStyle w:val="10"/>
            <w:tabs>
              <w:tab w:val="right" w:leader="dot" w:pos="8306"/>
              <w:tab w:val="clear" w:pos="8296"/>
            </w:tabs>
            <w:ind w:left="1200" w:firstLine="560"/>
          </w:pPr>
          <w:r>
            <w:fldChar w:fldCharType="begin"/>
          </w:r>
          <w:r>
            <w:instrText xml:space="preserve"> HYPERLINK \l "_Toc3388" </w:instrText>
          </w:r>
          <w:r>
            <w:fldChar w:fldCharType="separate"/>
          </w:r>
          <w:r>
            <w:t xml:space="preserve">第三节 </w:t>
          </w:r>
          <w:r>
            <w:rPr>
              <w:rFonts w:hint="eastAsia"/>
            </w:rPr>
            <w:t>锻造高素质专业化人才队伍</w:t>
          </w:r>
          <w:r>
            <w:tab/>
          </w:r>
          <w:r>
            <w:fldChar w:fldCharType="begin"/>
          </w:r>
          <w:r>
            <w:instrText xml:space="preserve"> PAGEREF _Toc3388 </w:instrText>
          </w:r>
          <w:r>
            <w:fldChar w:fldCharType="separate"/>
          </w:r>
          <w:r>
            <w:t>85</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"_Toc17291" </w:instrText>
          </w:r>
          <w:r>
            <w:fldChar w:fldCharType="separate"/>
          </w:r>
          <w:r>
            <w:t>第</w:t>
          </w:r>
          <w:r>
            <w:rPr>
              <w:rFonts w:hint="eastAsia"/>
            </w:rPr>
            <w:t>四</w:t>
          </w:r>
          <w:r>
            <w:t>节</w:t>
          </w:r>
          <w:r>
            <w:rPr>
              <w:rFonts w:hint="eastAsia"/>
            </w:rPr>
            <w:t xml:space="preserve"> 坚持青年优先发展</w:t>
          </w:r>
          <w:r>
            <w:tab/>
          </w:r>
          <w:r>
            <w:fldChar w:fldCharType="begin"/>
          </w:r>
          <w:r>
            <w:instrText xml:space="preserve"> PAGEREF _Toc17291 </w:instrText>
          </w:r>
          <w:r>
            <w:fldChar w:fldCharType="separate"/>
          </w:r>
          <w:r>
            <w:t>86</w:t>
          </w:r>
          <w:r>
            <w:fldChar w:fldCharType="end"/>
          </w:r>
          <w:r>
            <w:fldChar w:fldCharType="end"/>
          </w:r>
        </w:p>
        <w:p>
          <w:pPr>
            <w:pStyle w:val="19"/>
            <w:tabs>
              <w:tab w:val="right" w:leader="dot" w:pos="8306"/>
              <w:tab w:val="clear" w:pos="8296"/>
            </w:tabs>
            <w:ind w:left="600" w:firstLine="560"/>
          </w:pPr>
          <w:r>
            <w:fldChar w:fldCharType="begin"/>
          </w:r>
          <w:r>
            <w:instrText xml:space="preserve"> HYPERLINK \l "_Toc16698" </w:instrText>
          </w:r>
          <w:r>
            <w:fldChar w:fldCharType="separate"/>
          </w:r>
          <w:r>
            <w:rPr>
              <w:rFonts w:hint="eastAsia"/>
            </w:rPr>
            <w:t>第二章 加强民主法治建设</w:t>
          </w:r>
          <w:r>
            <w:tab/>
          </w:r>
          <w:r>
            <w:fldChar w:fldCharType="begin"/>
          </w:r>
          <w:r>
            <w:instrText xml:space="preserve"> PAGEREF _Toc16698 </w:instrText>
          </w:r>
          <w:r>
            <w:fldChar w:fldCharType="separate"/>
          </w:r>
          <w:r>
            <w:t>87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"_Toc22090" </w:instrText>
          </w:r>
          <w:r>
            <w:fldChar w:fldCharType="separate"/>
          </w:r>
          <w:r>
            <w:t>第</w:t>
          </w:r>
          <w:r>
            <w:rPr>
              <w:rFonts w:hint="eastAsia"/>
            </w:rPr>
            <w:t>一</w:t>
          </w:r>
          <w:r>
            <w:t>节</w:t>
          </w:r>
          <w:r>
            <w:rPr>
              <w:rFonts w:hint="eastAsia"/>
            </w:rPr>
            <w:t xml:space="preserve"> </w:t>
          </w:r>
          <w:r>
            <w:t>完善民主协商</w:t>
          </w:r>
          <w:r>
            <w:rPr>
              <w:rFonts w:hint="eastAsia"/>
            </w:rPr>
            <w:t>制度</w:t>
          </w:r>
          <w:r>
            <w:tab/>
          </w:r>
          <w:r>
            <w:fldChar w:fldCharType="begin"/>
          </w:r>
          <w:r>
            <w:instrText xml:space="preserve"> PAGEREF _Toc22090 </w:instrText>
          </w:r>
          <w:r>
            <w:fldChar w:fldCharType="separate"/>
          </w:r>
          <w:r>
            <w:t>87</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"_Toc23792" </w:instrText>
          </w:r>
          <w:r>
            <w:fldChar w:fldCharType="separate"/>
          </w:r>
          <w:r>
            <w:rPr>
              <w:rFonts w:hint="eastAsia"/>
            </w:rPr>
            <w:t>第二节 推进法治华容建设</w:t>
          </w:r>
          <w:r>
            <w:tab/>
          </w:r>
          <w:r>
            <w:fldChar w:fldCharType="begin"/>
          </w:r>
          <w:r>
            <w:instrText xml:space="preserve"> PAGEREF _Toc23792 </w:instrText>
          </w:r>
          <w:r>
            <w:fldChar w:fldCharType="separate"/>
          </w:r>
          <w:r>
            <w:t>87</w:t>
          </w:r>
          <w:r>
            <w:fldChar w:fldCharType="end"/>
          </w:r>
          <w:r>
            <w:fldChar w:fldCharType="end"/>
          </w:r>
        </w:p>
        <w:p>
          <w:pPr>
            <w:pStyle w:val="19"/>
            <w:tabs>
              <w:tab w:val="right" w:leader="dot" w:pos="8306"/>
              <w:tab w:val="clear" w:pos="8296"/>
            </w:tabs>
            <w:ind w:left="600" w:firstLine="560"/>
          </w:pPr>
          <w:r>
            <w:fldChar w:fldCharType="begin"/>
          </w:r>
          <w:r>
            <w:instrText xml:space="preserve"> HYPERLINK \l "_Toc26352" </w:instrText>
          </w:r>
          <w:r>
            <w:fldChar w:fldCharType="separate"/>
          </w:r>
          <w:r>
            <w:t>第</w:t>
          </w:r>
          <w:r>
            <w:rPr>
              <w:rFonts w:hint="eastAsia"/>
            </w:rPr>
            <w:t>三</w:t>
          </w:r>
          <w:r>
            <w:t>章 健全规划实施机制</w:t>
          </w:r>
          <w:r>
            <w:tab/>
          </w:r>
          <w:r>
            <w:fldChar w:fldCharType="begin"/>
          </w:r>
          <w:r>
            <w:instrText xml:space="preserve"> PAGEREF _Toc26352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"_Toc24782" </w:instrText>
          </w:r>
          <w:r>
            <w:fldChar w:fldCharType="separate"/>
          </w:r>
          <w:r>
            <w:t>第一节 强化多规合一</w:t>
          </w:r>
          <w:r>
            <w:tab/>
          </w:r>
          <w:r>
            <w:fldChar w:fldCharType="begin"/>
          </w:r>
          <w:r>
            <w:instrText xml:space="preserve"> PAGEREF _Toc24782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"_Toc5770" </w:instrText>
          </w:r>
          <w:r>
            <w:fldChar w:fldCharType="separate"/>
          </w:r>
          <w:r>
            <w:t>第二节 落实责任主体</w:t>
          </w:r>
          <w:r>
            <w:tab/>
          </w:r>
          <w:r>
            <w:fldChar w:fldCharType="begin"/>
          </w:r>
          <w:r>
            <w:instrText xml:space="preserve"> PAGEREF _Toc5770 </w:instrText>
          </w:r>
          <w:r>
            <w:fldChar w:fldCharType="separate"/>
          </w:r>
          <w:r>
            <w:t>88</w:t>
          </w:r>
          <w:r>
            <w:fldChar w:fldCharType="end"/>
          </w:r>
          <w:r>
            <w:fldChar w:fldCharType="end"/>
          </w:r>
        </w:p>
        <w:p>
          <w:pPr>
            <w:pStyle w:val="10"/>
            <w:tabs>
              <w:tab w:val="right" w:leader="dot" w:pos="8306"/>
              <w:tab w:val="clear" w:pos="8296"/>
            </w:tabs>
            <w:ind w:left="1200" w:firstLine="560"/>
          </w:pPr>
          <w:r>
            <w:fldChar w:fldCharType="begin"/>
          </w:r>
          <w:r>
            <w:instrText xml:space="preserve"> HYPERLINK \l "_Toc2691" </w:instrText>
          </w:r>
          <w:r>
            <w:fldChar w:fldCharType="separate"/>
          </w:r>
          <w:r>
            <w:t>第三节 强化规划考核</w:t>
          </w:r>
          <w:r>
            <w:tab/>
          </w:r>
          <w:r>
            <w:fldChar w:fldCharType="begin"/>
          </w:r>
          <w:r>
            <w:instrText xml:space="preserve"> PAGEREF _Toc2691 </w:instrText>
          </w:r>
          <w:r>
            <w:fldChar w:fldCharType="separate"/>
          </w:r>
          <w:r>
            <w:t>88</w:t>
          </w:r>
          <w:r>
            <w:fldChar w:fldCharType="end"/>
          </w:r>
          <w:r>
            <w:fldChar w:fldCharType="end"/>
          </w:r>
        </w:p>
        <w:p>
          <w:pPr>
            <w:pStyle w:val="19"/>
            <w:tabs>
              <w:tab w:val="right" w:leader="dot" w:pos="8306"/>
              <w:tab w:val="clear" w:pos="8296"/>
            </w:tabs>
            <w:ind w:left="600" w:firstLine="560"/>
          </w:pPr>
          <w:r>
            <w:fldChar w:fldCharType="begin"/>
          </w:r>
          <w:r>
            <w:instrText xml:space="preserve"> HYPERLINK \l "_Toc12671" </w:instrText>
          </w:r>
          <w:r>
            <w:fldChar w:fldCharType="separate"/>
          </w:r>
          <w:r>
            <w:t>第</w:t>
          </w:r>
          <w:r>
            <w:rPr>
              <w:rFonts w:hint="eastAsia"/>
            </w:rPr>
            <w:t>四</w:t>
          </w:r>
          <w:r>
            <w:t>章 加强实施监督</w:t>
          </w:r>
          <w:r>
            <w:tab/>
          </w:r>
          <w:r>
            <w:fldChar w:fldCharType="begin"/>
          </w:r>
          <w:r>
            <w:instrText xml:space="preserve"> PAGEREF _Toc12671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"_Toc11399" </w:instrText>
          </w:r>
          <w:r>
            <w:fldChar w:fldCharType="separate"/>
          </w:r>
          <w:r>
            <w:t>第一节 健全规划监督机制</w:t>
          </w:r>
          <w:r>
            <w:tab/>
          </w:r>
          <w:r>
            <w:fldChar w:fldCharType="begin"/>
          </w:r>
          <w:r>
            <w:instrText xml:space="preserve"> PAGEREF _Toc11399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"_Toc16743" </w:instrText>
          </w:r>
          <w:r>
            <w:fldChar w:fldCharType="separate"/>
          </w:r>
          <w:r>
            <w:t>第二节 加强规划监测评估</w:t>
          </w:r>
          <w:r>
            <w:tab/>
          </w:r>
          <w:r>
            <w:fldChar w:fldCharType="begin"/>
          </w:r>
          <w:r>
            <w:instrText xml:space="preserve"> PAGEREF _Toc16743 </w:instrText>
          </w:r>
          <w:r>
            <w:fldChar w:fldCharType="separate"/>
          </w:r>
          <w:r>
            <w:t>89</w:t>
          </w:r>
          <w:r>
            <w:fldChar w:fldCharType="end"/>
          </w:r>
          <w:r>
            <w:fldChar w:fldCharType="end"/>
          </w:r>
        </w:p>
        <w:p>
          <w:pPr>
            <w:pStyle w:val="10"/>
            <w:tabs>
              <w:tab w:val="right" w:leader="dot" w:pos="8306"/>
              <w:tab w:val="clear" w:pos="8296"/>
            </w:tabs>
            <w:ind w:left="1200" w:firstLine="560"/>
          </w:pPr>
          <w:r>
            <w:fldChar w:fldCharType="begin"/>
          </w:r>
          <w:r>
            <w:instrText xml:space="preserve"> HYPERLINK \l "_Toc12043" </w:instrText>
          </w:r>
          <w:r>
            <w:fldChar w:fldCharType="separate"/>
          </w:r>
          <w:r>
            <w:t>第三节 实行综合评价考核</w:t>
          </w:r>
          <w:r>
            <w:tab/>
          </w:r>
          <w:r>
            <w:fldChar w:fldCharType="begin"/>
          </w:r>
          <w:r>
            <w:instrText xml:space="preserve"> PAGEREF _Toc12043 </w:instrText>
          </w:r>
          <w:r>
            <w:fldChar w:fldCharType="separate"/>
          </w:r>
          <w:r>
            <w:t>90</w:t>
          </w:r>
          <w:r>
            <w:fldChar w:fldCharType="end"/>
          </w:r>
          <w:r>
            <w:fldChar w:fldCharType="end"/>
          </w:r>
        </w:p>
        <w:p>
          <w:pPr>
            <w:pStyle w:val="10"/>
            <w:tabs>
              <w:tab w:val="right" w:leader="dot" w:pos="8306"/>
              <w:tab w:val="clear" w:pos="8296"/>
            </w:tabs>
            <w:ind w:left="1200" w:firstLine="560"/>
          </w:pPr>
          <w:r>
            <w:rPr>
              <w:rFonts w:cs="Times New Roman"/>
            </w:rPr>
            <w:fldChar w:fldCharType="end"/>
          </w:r>
        </w:p>
      </w:sdtContent>
    </w:sdt>
    <w:p>
      <w:pPr>
        <w:widowControl/>
        <w:spacing w:line="240" w:lineRule="auto"/>
        <w:ind w:firstLine="0" w:firstLineChars="0"/>
        <w:rPr>
          <w:rFonts w:ascii="方正小标宋简体" w:hAnsi="方正小标宋简体" w:eastAsia="方正小标宋简体" w:cs="方正小标宋简体"/>
          <w:sz w:val="36"/>
          <w:szCs w:val="36"/>
        </w:rPr>
        <w:sectPr>
          <w:headerReference r:id="rId12" w:type="first"/>
          <w:footerReference r:id="rId14" w:type="first"/>
          <w:headerReference r:id="rId11" w:type="default"/>
          <w:footerReference r:id="rId13" w:type="default"/>
          <w:type w:val="continuous"/>
          <w:pgSz w:w="11906" w:h="16838"/>
          <w:pgMar w:top="1440" w:right="1800" w:bottom="1440" w:left="1800" w:header="851" w:footer="907" w:gutter="0"/>
          <w:pgNumType w:fmt="upperRoman" w:start="1"/>
          <w:cols w:space="425" w:num="1"/>
          <w:docGrid w:type="lines" w:linePitch="408" w:charSpace="0"/>
        </w:sectPr>
      </w:pPr>
    </w:p>
    <w:p>
      <w:pPr>
        <w:widowControl/>
        <w:spacing w:line="240" w:lineRule="auto"/>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华容区国民经济和社会发展第十四个五年规划纲要</w:t>
      </w:r>
    </w:p>
    <w:p>
      <w:pPr>
        <w:pStyle w:val="2"/>
        <w:ind w:left="600" w:firstLine="600"/>
      </w:pPr>
    </w:p>
    <w:p>
      <w:pPr>
        <w:ind w:firstLine="600"/>
      </w:pPr>
      <w:r>
        <w:t>本规</w:t>
      </w:r>
      <w:r>
        <w:rPr>
          <w:rFonts w:ascii="仿宋" w:hAnsi="仿宋"/>
        </w:rPr>
        <w:t>划纲要是“十四五”期间华容区由</w:t>
      </w:r>
      <w:r>
        <w:t>全面建成小康社会向基本实现社会主义现代化迈进的行动指南，是编制和实施华容区国民经济和社会发展各类专项规划、年度计划以及制定相关政策的重要依据。</w:t>
      </w:r>
    </w:p>
    <w:p>
      <w:pPr>
        <w:pStyle w:val="4"/>
        <w:spacing w:before="408" w:after="408"/>
        <w:ind w:firstLine="640"/>
      </w:pPr>
      <w:bookmarkStart w:id="1" w:name="_Toc59376353"/>
      <w:bookmarkStart w:id="2" w:name="_Toc26085"/>
      <w:r>
        <w:t xml:space="preserve">第一篇 </w:t>
      </w:r>
      <w:r>
        <w:rPr>
          <w:rFonts w:hint="eastAsia"/>
        </w:rPr>
        <w:t>全面建成小康社会，</w:t>
      </w:r>
      <w:r>
        <w:t>开启社会主义现代化建设新征程</w:t>
      </w:r>
      <w:bookmarkEnd w:id="1"/>
      <w:bookmarkEnd w:id="2"/>
    </w:p>
    <w:p>
      <w:pPr>
        <w:pStyle w:val="5"/>
        <w:ind w:firstLine="643"/>
      </w:pPr>
      <w:bookmarkStart w:id="3" w:name="_Toc19664"/>
      <w:bookmarkStart w:id="4" w:name="_Toc59376354"/>
      <w:r>
        <w:rPr>
          <w:rStyle w:val="29"/>
          <w:b/>
          <w:bCs/>
        </w:rPr>
        <w:t>第一章 发展基础</w:t>
      </w:r>
      <w:r>
        <w:t>与环境</w:t>
      </w:r>
      <w:bookmarkEnd w:id="3"/>
      <w:bookmarkEnd w:id="4"/>
    </w:p>
    <w:p>
      <w:pPr>
        <w:pStyle w:val="6"/>
        <w:ind w:firstLine="602"/>
      </w:pPr>
      <w:bookmarkStart w:id="5" w:name="_Toc25535"/>
      <w:bookmarkStart w:id="6" w:name="_Toc59376355"/>
      <w:r>
        <w:t>第一节 发展基础</w:t>
      </w:r>
      <w:bookmarkEnd w:id="5"/>
      <w:bookmarkEnd w:id="6"/>
    </w:p>
    <w:p>
      <w:pPr>
        <w:ind w:firstLine="600"/>
      </w:pPr>
      <w:r>
        <w:rPr>
          <w:rFonts w:hint="eastAsia"/>
        </w:rPr>
        <w:t>“十三五”时期是华容综合实力增强、治理效能提高、文明程度提升的重要时期。面对内外环境的复杂变化和风险挑战，特别是新冠肺炎疫情严重冲击，区委团结带领全区人民深入贯彻习近平新时代中国特色社会主义思想，坚决贯彻落实党中央决策部署和省委、市委工作要求，牢牢把握鄂州市“三城一化”建设的机遇，攻坚克难、奋勇拼搏，经济保持平稳健康发展，城乡统筹发展、产业转型升级、生态环境治理、社会民生改善等方面取得了显著成绩，为华容站在新的历史起点上，开创转型发展新局面奠定了坚实基础。</w:t>
      </w:r>
    </w:p>
    <w:p>
      <w:pPr>
        <w:ind w:firstLine="602"/>
        <w:rPr>
          <w:rFonts w:ascii="仿宋" w:hAnsi="仿宋"/>
        </w:rPr>
      </w:pPr>
      <w:r>
        <w:rPr>
          <w:b/>
        </w:rPr>
        <w:t>综合实力稳步提升。</w:t>
      </w:r>
      <w:r>
        <w:t>经济总量稳步提升，地区生产总值从2015年的93.3亿元增加到2019年的142.39亿元，财政总收入从2015年的6.35亿元增加到2019年的10.25亿元，</w:t>
      </w:r>
      <w:r>
        <w:rPr>
          <w:rFonts w:hint="eastAsia"/>
        </w:rPr>
        <w:t>两次</w:t>
      </w:r>
      <w:r>
        <w:t>获得</w:t>
      </w:r>
      <w:r>
        <w:rPr>
          <w:rFonts w:hint="eastAsia"/>
        </w:rPr>
        <w:t>“全省县域经济</w:t>
      </w:r>
      <w:r>
        <w:t>进位显著单位</w:t>
      </w:r>
      <w:r>
        <w:rPr>
          <w:rFonts w:hint="eastAsia"/>
        </w:rPr>
        <w:t>”</w:t>
      </w:r>
      <w:r>
        <w:t>。产业结构持续优化, 服务业增加值占GDP比重由2015年的13.7%增加到2019年的32.8%；高新技术产业快速成长，源清生物等9家企业通过省</w:t>
      </w:r>
      <w:r>
        <w:rPr>
          <w:rFonts w:ascii="仿宋" w:hAnsi="仿宋"/>
        </w:rPr>
        <w:t>级“院士专家工作站”认定，杏福公司成功申报湖北省特色产业科普基地项目，枫树线业公司入选“全省第二批支柱产业细分领域隐形冠军科技小巨人企业”，</w:t>
      </w:r>
      <w:r>
        <w:t>全区高新技术企业达到1</w:t>
      </w:r>
      <w:r>
        <w:rPr>
          <w:rFonts w:hint="eastAsia"/>
        </w:rPr>
        <w:t>8</w:t>
      </w:r>
      <w:r>
        <w:t>家，</w:t>
      </w:r>
      <w:r>
        <w:rPr>
          <w:rFonts w:ascii="仿宋" w:hAnsi="仿宋"/>
        </w:rPr>
        <w:t>荣获“全省科技创新贡献突出县（市、区）”称</w:t>
      </w:r>
      <w:r>
        <w:t>号；文旅产业高质量发展，恒大童世界项目、台创园文创街项目落户。杏福生态园</w:t>
      </w:r>
      <w:r>
        <w:rPr>
          <w:rFonts w:ascii="仿宋" w:hAnsi="仿宋"/>
        </w:rPr>
        <w:t>成为“省级休闲农业示范点”。成功举办蒲团荷花节、石竹赏花节；金融服务业繁荣稳定，</w:t>
      </w:r>
      <w:r>
        <w:t>政府债务风险等级为绿色</w:t>
      </w:r>
      <w:r>
        <w:rPr>
          <w:rFonts w:hint="eastAsia"/>
        </w:rPr>
        <w:t>，</w:t>
      </w:r>
      <w:r>
        <w:rPr>
          <w:rFonts w:ascii="仿宋" w:hAnsi="仿宋"/>
        </w:rPr>
        <w:t>荣获全省“最佳金融信用县（市、区）”</w:t>
      </w:r>
      <w:r>
        <w:rPr>
          <w:rFonts w:hint="eastAsia" w:ascii="仿宋" w:hAnsi="仿宋"/>
        </w:rPr>
        <w:t>。</w:t>
      </w:r>
      <w:r>
        <w:t>区域发展更趋紧密，连接武汉</w:t>
      </w:r>
      <w:r>
        <w:rPr>
          <w:rFonts w:hint="eastAsia"/>
        </w:rPr>
        <w:t>城市圈</w:t>
      </w:r>
      <w:r>
        <w:t>的</w:t>
      </w:r>
      <w:r>
        <w:rPr>
          <w:rFonts w:hint="eastAsia"/>
        </w:rPr>
        <w:t>鄂咸高速、武阳高速、</w:t>
      </w:r>
      <w:r>
        <w:t>新港高速</w:t>
      </w:r>
      <w:r>
        <w:rPr>
          <w:rFonts w:hint="eastAsia"/>
        </w:rPr>
        <w:t>及</w:t>
      </w:r>
      <w:r>
        <w:t>双柳</w:t>
      </w:r>
      <w:r>
        <w:rPr>
          <w:rFonts w:hint="eastAsia"/>
        </w:rPr>
        <w:t>长江</w:t>
      </w:r>
      <w:r>
        <w:t>大桥开建，武汉地铁 11 号线、30号线以及未来3路线向华容延伸。</w:t>
      </w:r>
    </w:p>
    <w:p>
      <w:pPr>
        <w:ind w:firstLine="602"/>
      </w:pPr>
      <w:r>
        <w:rPr>
          <w:b/>
        </w:rPr>
        <w:t>重大项目取得新进展。</w:t>
      </w:r>
      <w:r>
        <w:t>五年来，全区共实施亿元以上重大项目80个，签约项目82个，项目总投资约962亿元。推动红莲湖大数据云计算产业园开工建设，恒大文化旅游综合体项目稳步推进，光谷科技创新大走廊东延步伐加快，枫树纺织科技园等一批重大产业项目建设快速推进。依托港口优势，三江港</w:t>
      </w:r>
      <w:r>
        <w:rPr>
          <w:rFonts w:hint="eastAsia"/>
        </w:rPr>
        <w:t>综合码头一期、</w:t>
      </w:r>
      <w:r>
        <w:t>现代物流园等项目稳步推进</w:t>
      </w:r>
      <w:r>
        <w:rPr>
          <w:rFonts w:hint="eastAsia"/>
        </w:rPr>
        <w:t>，三江港成功获批第三批全国多式联运示范工程</w:t>
      </w:r>
      <w:r>
        <w:t>。农业产业化水平不断提高，华容省级农产品加工园、台湾农民创业实验园等项目建设稳步推进。</w:t>
      </w:r>
    </w:p>
    <w:p>
      <w:pPr>
        <w:ind w:firstLine="602"/>
        <w:rPr>
          <w:rFonts w:ascii="仿宋" w:hAnsi="仿宋"/>
        </w:rPr>
      </w:pPr>
      <w:r>
        <w:rPr>
          <w:rFonts w:hint="eastAsia"/>
          <w:b/>
        </w:rPr>
        <w:t>城镇面貌显著提升</w:t>
      </w:r>
      <w:r>
        <w:rPr>
          <w:b/>
        </w:rPr>
        <w:t>。</w:t>
      </w:r>
      <w:r>
        <w:t>统筹城乡发展成效明显，城乡面貌进一步改善，人民群众生活条件大幅改善。交通网络体系日益完善，金明大道、文昌大道、</w:t>
      </w:r>
      <w:r>
        <w:rPr>
          <w:rFonts w:hint="eastAsia"/>
        </w:rPr>
        <w:t>华蒲大道、</w:t>
      </w:r>
      <w:r>
        <w:t>振华路、兴华路等骨干路网建成通车，城区</w:t>
      </w:r>
      <w:r>
        <w:rPr>
          <w:rFonts w:ascii="仿宋" w:hAnsi="仿宋"/>
        </w:rPr>
        <w:t>“五纵五横”骨架</w:t>
      </w:r>
      <w:r>
        <w:t>基本形成。城市便捷度不断提高，主城区微型公交开通运营。城市环境卫生不断改善，文明城市创建成果突出，老城区雨污分流改造等市政工程顺利实施，老旧小区改造成效显著。城市功能进一步完备，华容园一期开园，区公共图书馆建成开放</w:t>
      </w:r>
      <w:r>
        <w:rPr>
          <w:rFonts w:ascii="仿宋" w:hAnsi="仿宋"/>
        </w:rPr>
        <w:t>，区市民文化中心</w:t>
      </w:r>
      <w:r>
        <w:rPr>
          <w:rFonts w:hint="eastAsia" w:ascii="仿宋" w:hAnsi="仿宋"/>
        </w:rPr>
        <w:t>加快</w:t>
      </w:r>
      <w:r>
        <w:rPr>
          <w:rFonts w:ascii="仿宋" w:hAnsi="仿宋"/>
        </w:rPr>
        <w:t>建设，“华容非遗馆”</w:t>
      </w:r>
      <w:r>
        <w:rPr>
          <w:rFonts w:hint="eastAsia" w:ascii="仿宋" w:hAnsi="仿宋"/>
        </w:rPr>
        <w:t>获评</w:t>
      </w:r>
      <w:r>
        <w:rPr>
          <w:rFonts w:ascii="仿宋" w:hAnsi="仿宋"/>
        </w:rPr>
        <w:t>“全省最美非遗馆”。红莲湖、三江港等区域产城一体化建设步伐加快。</w:t>
      </w:r>
    </w:p>
    <w:p>
      <w:pPr>
        <w:ind w:firstLine="602"/>
      </w:pPr>
      <w:r>
        <w:rPr>
          <w:rFonts w:hint="eastAsia"/>
          <w:b/>
        </w:rPr>
        <w:t>农业农村显著发展。</w:t>
      </w:r>
      <w:r>
        <w:t>乡村振兴扎实推进，</w:t>
      </w:r>
      <w:r>
        <w:rPr>
          <w:rFonts w:hint="eastAsia"/>
        </w:rPr>
        <w:t>农业数字化、机械化水平不断提高，入选</w:t>
      </w:r>
      <w:r>
        <w:t>首批国家数字乡村试点地区</w:t>
      </w:r>
      <w:r>
        <w:rPr>
          <w:rFonts w:hint="eastAsia"/>
        </w:rPr>
        <w:t>，获得</w:t>
      </w:r>
      <w:bookmarkStart w:id="7" w:name="_Hlk58761595"/>
      <w:r>
        <w:rPr>
          <w:rFonts w:hint="eastAsia"/>
        </w:rPr>
        <w:t>“</w:t>
      </w:r>
      <w:r>
        <w:t>全国主要农作物生产全程机械化示范县（市、区）</w:t>
      </w:r>
      <w:bookmarkEnd w:id="7"/>
      <w:r>
        <w:rPr>
          <w:rFonts w:hint="eastAsia"/>
        </w:rPr>
        <w:t>”称号。</w:t>
      </w:r>
      <w:r>
        <w:t>农业产业化步伐不断加快，</w:t>
      </w:r>
      <w:r>
        <w:rPr>
          <w:rFonts w:hint="eastAsia"/>
        </w:rPr>
        <w:t>段店镇</w:t>
      </w:r>
      <w:r>
        <w:t>入选全省农村产业融合发展试点示范镇</w:t>
      </w:r>
      <w:r>
        <w:rPr>
          <w:rFonts w:hint="eastAsia"/>
        </w:rPr>
        <w:t>。</w:t>
      </w:r>
      <w:r>
        <w:t>美丽乡村建设进展顺利，段店镇获</w:t>
      </w:r>
      <w:r>
        <w:rPr>
          <w:rFonts w:ascii="仿宋" w:hAnsi="仿宋"/>
        </w:rPr>
        <w:t>省级“四好农村路”示</w:t>
      </w:r>
      <w:r>
        <w:t>范镇，建成蒲团荷花小镇、段店林果特色小镇2个特色乡镇，百席村、武圣村评为国家森林乡村，武圣村获评全国民主法治示范村、第二批全国乡村旅游重点村、省级旅游名村。</w:t>
      </w:r>
    </w:p>
    <w:p>
      <w:pPr>
        <w:ind w:firstLine="602"/>
      </w:pPr>
      <w:r>
        <w:rPr>
          <w:rFonts w:ascii="仿宋" w:hAnsi="仿宋"/>
          <w:b/>
        </w:rPr>
        <w:t>生态</w:t>
      </w:r>
      <w:r>
        <w:rPr>
          <w:rFonts w:hint="eastAsia" w:ascii="仿宋" w:hAnsi="仿宋"/>
          <w:b/>
        </w:rPr>
        <w:t>环境显著改善</w:t>
      </w:r>
      <w:r>
        <w:rPr>
          <w:rFonts w:ascii="仿宋" w:hAnsi="仿宋"/>
          <w:b/>
        </w:rPr>
        <w:t>。</w:t>
      </w:r>
      <w:r>
        <w:rPr>
          <w:rFonts w:ascii="仿宋" w:hAnsi="仿宋"/>
        </w:rPr>
        <w:t>长江大保护十大标志性战役取得阶段性成效，重拳整治“散乱污”企业</w:t>
      </w:r>
      <w:r>
        <w:t>，整治非法码头，实施了栈咀港、南迹湖港、虹桥港、车湾老港、拾湖港、汀桥港、余湖港、铁咀港、薛家沟9个项目综合治理工程，完成河道清淤疏浚与清障累计157.353公里，水体质量明显改善。污染防治攻坚战阶段性目标顺利实现，城市空气质量优良天数比例达到69%，PM2.5下降37.3%，集中式饮用水源地水质达标率100%，生态环境质量显著改善，华容镇、段店镇和蒲团乡荣获国家级和省级生态镇。</w:t>
      </w:r>
    </w:p>
    <w:p>
      <w:pPr>
        <w:ind w:firstLine="602"/>
        <w:rPr>
          <w:rFonts w:ascii="仿宋" w:hAnsi="仿宋"/>
        </w:rPr>
      </w:pPr>
      <w:r>
        <w:rPr>
          <w:b/>
        </w:rPr>
        <w:t>社会民生取得新成就。</w:t>
      </w:r>
      <w:r>
        <w:t>深入推进精准脱贫，全面落实产业、健康、教育、就业等系列扶贫政策，</w:t>
      </w:r>
      <w:r>
        <w:rPr>
          <w:rFonts w:hint="eastAsia"/>
        </w:rPr>
        <w:t>脱贫攻坚战取得实效，“两不愁三保障”突出问题全部解决，建档立卡贫困人口全部脱贫，15个贫困村全部出列</w:t>
      </w:r>
      <w:r>
        <w:t>。城乡居民人均可支配收入分别达到34541元和19313元。城镇失业率为2.9%，保持低位运行。教育现代化水平明显提升，</w:t>
      </w:r>
      <w:r>
        <w:rPr>
          <w:rFonts w:hint="eastAsia"/>
        </w:rPr>
        <w:t>华容</w:t>
      </w:r>
      <w:r>
        <w:t>实验小学被评为全国教育系统先进集体，</w:t>
      </w:r>
      <w:r>
        <w:rPr>
          <w:rFonts w:hint="eastAsia"/>
        </w:rPr>
        <w:t>学前</w:t>
      </w:r>
      <w:r>
        <w:t>和</w:t>
      </w:r>
      <w:r>
        <w:rPr>
          <w:rFonts w:hint="eastAsia"/>
        </w:rPr>
        <w:t>高中</w:t>
      </w:r>
      <w:r>
        <w:t>教育取得明显进步，</w:t>
      </w:r>
      <w:r>
        <w:rPr>
          <w:rFonts w:hint="eastAsia"/>
        </w:rPr>
        <w:t>义务教育</w:t>
      </w:r>
      <w:r>
        <w:t>实现</w:t>
      </w:r>
      <w:r>
        <w:rPr>
          <w:rFonts w:hint="eastAsia"/>
        </w:rPr>
        <w:t>优质</w:t>
      </w:r>
      <w:r>
        <w:t>均衡发展</w:t>
      </w:r>
      <w:r>
        <w:rPr>
          <w:rFonts w:hint="eastAsia"/>
        </w:rPr>
        <w:t>，</w:t>
      </w:r>
      <w:r>
        <w:t>劳动年龄人口受教育年限明显增加。华容医疗卫生建设取得新突破，全民医疗保障制度改革持续推进，建立统一的城乡居民基本医疗保险制度，全区城乡居民社会养老保险参保人数46957人，实现应保尽保、应享尽享。</w:t>
      </w:r>
      <w:r>
        <w:rPr>
          <w:rFonts w:ascii="仿宋" w:hAnsi="仿宋"/>
        </w:rPr>
        <w:t>社会保障标准不断提升，全面落实学前教育到高等教育全覆盖的各项学生资助政策、“四位一体”报销政策以及住房保障政策。平安华容建设再创佳绩，</w:t>
      </w:r>
      <w:r>
        <w:rPr>
          <w:rFonts w:hint="eastAsia" w:ascii="仿宋" w:hAnsi="仿宋"/>
        </w:rPr>
        <w:t>获得全省“七五”普法中期先进区称号，</w:t>
      </w:r>
      <w:r>
        <w:rPr>
          <w:rFonts w:ascii="仿宋" w:hAnsi="仿宋"/>
        </w:rPr>
        <w:t>深入开展扫黑除恶专项斗争，社会不安定因素明显减少，安全生产形势保持稳定，人民生活质量大幅提高，</w:t>
      </w:r>
      <w:r>
        <w:rPr>
          <w:rFonts w:hint="eastAsia" w:ascii="仿宋" w:hAnsi="仿宋"/>
        </w:rPr>
        <w:t>群众</w:t>
      </w:r>
      <w:r>
        <w:rPr>
          <w:rFonts w:ascii="仿宋" w:hAnsi="仿宋"/>
        </w:rPr>
        <w:t>获得感、幸福感、安全感</w:t>
      </w:r>
      <w:r>
        <w:rPr>
          <w:rFonts w:hint="eastAsia" w:ascii="仿宋" w:hAnsi="仿宋"/>
        </w:rPr>
        <w:t>明显</w:t>
      </w:r>
      <w:r>
        <w:rPr>
          <w:rFonts w:ascii="仿宋" w:hAnsi="仿宋"/>
        </w:rPr>
        <w:t>增强。</w:t>
      </w:r>
    </w:p>
    <w:p>
      <w:pPr>
        <w:pStyle w:val="6"/>
        <w:ind w:firstLine="602"/>
      </w:pPr>
      <w:bookmarkStart w:id="8" w:name="_Toc2961"/>
      <w:bookmarkStart w:id="9" w:name="_Toc59376356"/>
      <w:r>
        <w:t>第二节 发展环境</w:t>
      </w:r>
      <w:bookmarkEnd w:id="8"/>
      <w:bookmarkEnd w:id="9"/>
    </w:p>
    <w:p>
      <w:pPr>
        <w:ind w:firstLine="600"/>
      </w:pPr>
      <w:r>
        <w:t>（一）形势与机遇</w:t>
      </w:r>
    </w:p>
    <w:p>
      <w:pPr>
        <w:ind w:firstLine="600"/>
      </w:pPr>
      <w:bookmarkStart w:id="10" w:name="_Hlk56083383"/>
      <w:r>
        <w:rPr>
          <w:rFonts w:ascii="仿宋" w:hAnsi="仿宋"/>
        </w:rPr>
        <w:t>“十四五规划”的</w:t>
      </w:r>
      <w:r>
        <w:t>五年（2021—2025年），是华容区发展变革的五年，也是即将取得突破的五年，华容区的社会经济改革发展面临难得的历史机遇。</w:t>
      </w:r>
    </w:p>
    <w:p>
      <w:pPr>
        <w:ind w:firstLine="602"/>
      </w:pPr>
      <w:r>
        <w:rPr>
          <w:rFonts w:ascii="仿宋" w:hAnsi="仿宋"/>
          <w:b/>
        </w:rPr>
        <w:t>“三城一化”机</w:t>
      </w:r>
      <w:r>
        <w:rPr>
          <w:b/>
        </w:rPr>
        <w:t>遇。</w:t>
      </w:r>
      <w:r>
        <w:t>2019年1月3日，鄂州市委七届七次全体会议暨全市经济工作会议提出加快航空城、生态城、科学城建设，加快武鄂协同发展，促进两地资源共享、合作共赢，争创国家城乡融合发展示范区。华容区作为光谷科技创新大走廊主轴城区、武鄂同城一体化的桥头堡，</w:t>
      </w:r>
      <w:r>
        <w:rPr>
          <w:rFonts w:hint="eastAsia"/>
        </w:rPr>
        <w:t>为经济社会转型升级高质量发展带来</w:t>
      </w:r>
      <w:r>
        <w:t>巨大契机。</w:t>
      </w:r>
    </w:p>
    <w:p>
      <w:pPr>
        <w:ind w:firstLine="602"/>
        <w:rPr>
          <w:rFonts w:ascii="仿宋" w:hAnsi="仿宋"/>
        </w:rPr>
      </w:pPr>
      <w:r>
        <w:rPr>
          <w:b/>
        </w:rPr>
        <w:t>疫情后的政策机遇。</w:t>
      </w:r>
      <w:r>
        <w:t>2020年4月29日，习近平总书记主持召开的中央政治局常务委员会会议上确定了支持湖北省经济社会发展一揽子政策，从财政税收、金融信贷、投资外资等方面明确了具体措施，以帮助湖北加快恢复生产生活正常秩序，解决湖北企业所面临的问题，保障湖北人民民生，为华容区的经济发展带来了前所未有的机遇。</w:t>
      </w:r>
    </w:p>
    <w:p>
      <w:pPr>
        <w:ind w:firstLine="602"/>
      </w:pPr>
      <w:r>
        <w:rPr>
          <w:rFonts w:hint="eastAsia" w:ascii="仿宋" w:hAnsi="仿宋" w:cs="仿宋"/>
          <w:b/>
        </w:rPr>
        <w:t>“一主引领、两翼驱动、全域协同”区域发展</w:t>
      </w:r>
      <w:r>
        <w:rPr>
          <w:b/>
        </w:rPr>
        <w:t>布局的机遇。</w:t>
      </w:r>
      <w:r>
        <w:rPr>
          <w:rFonts w:hint="eastAsia"/>
        </w:rPr>
        <w:t>湖北省着力构建“一主引领、两翼驱动、全域协同”的区域发展布局</w:t>
      </w:r>
      <w:r>
        <w:t>，</w:t>
      </w:r>
      <w:r>
        <w:rPr>
          <w:rFonts w:hint="eastAsia"/>
        </w:rPr>
        <w:t>将</w:t>
      </w:r>
      <w:r>
        <w:t>有力推动全省区域和产业发展进入更加全面协调可持续的新阶段，全省经济社会高质量发展</w:t>
      </w:r>
      <w:r>
        <w:rPr>
          <w:rFonts w:hint="eastAsia"/>
        </w:rPr>
        <w:t>将</w:t>
      </w:r>
      <w:r>
        <w:t>进入快车道。华容区</w:t>
      </w:r>
      <w:r>
        <w:rPr>
          <w:rFonts w:hint="eastAsia" w:ascii="仿宋" w:hAnsi="仿宋" w:cs="仿宋"/>
        </w:rPr>
        <w:t>位于“两带交汇、三区之首”</w:t>
      </w:r>
      <w:r>
        <w:t>，属于鄂东转型升级示范区，对接武汉</w:t>
      </w:r>
      <w:r>
        <w:rPr>
          <w:rFonts w:hint="eastAsia" w:ascii="仿宋" w:hAnsi="仿宋" w:cs="仿宋"/>
        </w:rPr>
        <w:t>光谷“光芯屏端网”万亿战略产业集群，依托湖北联投</w:t>
      </w:r>
      <w:r>
        <w:rPr>
          <w:rFonts w:ascii="仿宋" w:hAnsi="仿宋" w:cs="仿宋"/>
        </w:rPr>
        <w:t>、</w:t>
      </w:r>
      <w:r>
        <w:t>枫树线业、富晶电子、彤诺电子等企业，大力发展大数据、信息技术、智能制造等高新产业优势明显，华容区融入区域协调发展的外部条件不断优化，经济社会发展迎来重大机遇</w:t>
      </w:r>
      <w:r>
        <w:rPr>
          <w:rFonts w:hint="eastAsia"/>
        </w:rPr>
        <w:t>。</w:t>
      </w:r>
    </w:p>
    <w:bookmarkEnd w:id="10"/>
    <w:p>
      <w:pPr>
        <w:ind w:firstLine="602"/>
      </w:pPr>
      <w:bookmarkStart w:id="11" w:name="_Hlk56083734"/>
      <w:bookmarkStart w:id="12" w:name="_Hlk56083784"/>
      <w:r>
        <w:rPr>
          <w:b/>
        </w:rPr>
        <w:t>新一轮产业革命助推产业结构优化升级。</w:t>
      </w:r>
      <w:bookmarkEnd w:id="11"/>
      <w:bookmarkStart w:id="13" w:name="_Hlk56083768"/>
      <w:r>
        <w:t>未来五年，人工智能、物联网、云数据技术、高端芯片、新能源技术、生物技术等新兴技术将会蓬勃发展，</w:t>
      </w:r>
      <w:bookmarkEnd w:id="13"/>
      <w:bookmarkStart w:id="14" w:name="_Hlk56083779"/>
      <w:r>
        <w:t>随着新技术、新产业的发展，</w:t>
      </w:r>
      <w:bookmarkEnd w:id="14"/>
      <w:r>
        <w:t>不同产业之间边界渐趋模糊，新兴产业的空间巨大广阔</w:t>
      </w:r>
      <w:r>
        <w:rPr>
          <w:rFonts w:ascii="仿宋" w:hAnsi="仿宋"/>
        </w:rPr>
        <w:t>。</w:t>
      </w:r>
      <w:r>
        <w:rPr>
          <w:rFonts w:hint="eastAsia" w:ascii="仿宋" w:hAnsi="仿宋"/>
        </w:rPr>
        <w:t>“十四五”期间是华容区转变发展方式、优化经济结构、转换增长动力的攻关期，依托光谷科技创新大走廊东拓，华容区入选国家数字乡村试点，有利于华容区大力发展数字产业、增强经济发展新动能、推动产业转型升级高质量发展</w:t>
      </w:r>
      <w:r>
        <w:t>。</w:t>
      </w:r>
    </w:p>
    <w:p>
      <w:pPr>
        <w:ind w:firstLine="602"/>
      </w:pPr>
      <w:r>
        <w:rPr>
          <w:rFonts w:hint="eastAsia"/>
          <w:b/>
        </w:rPr>
        <w:t>长江经济带发展战略深入推进。</w:t>
      </w:r>
      <w:r>
        <w:rPr>
          <w:rFonts w:hint="eastAsia"/>
        </w:rPr>
        <w:t>长江经济带发展战略是党中央作出的重大决策，强调共抓大保护、不搞大开发，切实把修复长江生态环境摆在压倒性位置，探索一条生态优先、绿色发展新路子，这为华容区探索江南河湖保护新模式，高标准推动乡村振兴与绿色发展，更好利用生态空间、发展高端产业，建设人与自然和谐共生的江南生态美丽田园城镇提供了极佳机遇。</w:t>
      </w:r>
    </w:p>
    <w:bookmarkEnd w:id="12"/>
    <w:p>
      <w:pPr>
        <w:ind w:firstLine="600"/>
      </w:pPr>
      <w:bookmarkStart w:id="15" w:name="_Hlk56083832"/>
      <w:r>
        <w:t>（二）困难与挑战</w:t>
      </w:r>
    </w:p>
    <w:bookmarkEnd w:id="15"/>
    <w:p>
      <w:pPr>
        <w:ind w:firstLine="602"/>
      </w:pPr>
      <w:bookmarkStart w:id="16" w:name="_Hlk56083866"/>
      <w:r>
        <w:rPr>
          <w:b/>
        </w:rPr>
        <w:t>产业结构偏重，转型升级压力大。</w:t>
      </w:r>
      <w:r>
        <w:t>产业层级结构不优，经济总量偏小，重大产业项目支撑不足，第三产业比重偏小等问题尚未根本改变。冶金建材行业仍然是主体，批发零售、交通运输、餐饮等传统服务业占第三产业的比重仍然较高。部分招商签约项目受限于用地指标、土地规划、征地拆迁等因素落地困难。受疫情影响，部分工业企业资金链压力较大，工业产值增长动能不足。</w:t>
      </w:r>
    </w:p>
    <w:p>
      <w:pPr>
        <w:ind w:firstLine="602"/>
      </w:pPr>
      <w:r>
        <w:rPr>
          <w:b/>
        </w:rPr>
        <w:t>自主创新能力不强，专业技术人才缺乏。</w:t>
      </w:r>
      <w:r>
        <w:t>全区现有96家规模以上工业企业仅有17家拥有自己的专利技术，仅有10家企业与高等院校合作建立了研发团队（技术室），企业科技管理水平偏低，产业关键技术缺乏，新兴产业企业较少。高层次创新人才不足，机械制造、光电、建材等传统支柱产业的高级专业人才偏少，复合型人才更是稀少，不利于传统产业的技术创新和转型。而且，基层专业技术人员比较缺乏，整体力量不强，承接上级部署任务的支撑力不足。</w:t>
      </w:r>
    </w:p>
    <w:p>
      <w:pPr>
        <w:ind w:firstLine="602"/>
      </w:pPr>
      <w:r>
        <w:rPr>
          <w:b/>
        </w:rPr>
        <w:t>新型城镇化发展品质不高，公共事业存在不少短板。</w:t>
      </w:r>
      <w:r>
        <w:t>近年来，城镇基础设施、公共服务设施建设中土地房屋征收难度逐年增加，且资金筹措渠道单一，瓶颈制约突出，制约了城镇建设发展。区容区貌有待优化，园林绿化等城镇品质有待提升。美丽乡村建设存在村庄规划与土地、生态等相关规划融合不够，加之村集体经济薄弱，单靠政府投入有限，市场力量撬动不够。同时，疫情暴露出的公共卫生应急管理体系、城镇治理体系、基层社会治理体系等短板亟待补齐，迫切需要建立完善共建共治共享的社会治理体系。</w:t>
      </w:r>
    </w:p>
    <w:p>
      <w:pPr>
        <w:ind w:firstLine="602"/>
      </w:pPr>
      <w:r>
        <w:rPr>
          <w:b/>
        </w:rPr>
        <w:t>农业现代化程度不够，质量和效益欠佳。</w:t>
      </w:r>
      <w:r>
        <w:t>种养殖加工业的初级加工产品仍然占据着主导地位，产业链短、附加值低、同质化严重，缺少有影响力的品牌，竞争力不强，农民增产却难增收。人均</w:t>
      </w:r>
      <w:r>
        <w:rPr>
          <w:rFonts w:ascii="仿宋" w:hAnsi="仿宋"/>
        </w:rPr>
        <w:t>耕地少，“有地无人种、有人无地种”现象依然存在。种植养殖投入与产出不对等，农业弱势地位没有根本性改变。政策性投入还不足，民间资本、社会资本吸收难、引进难、融</w:t>
      </w:r>
      <w:r>
        <w:t>资难。</w:t>
      </w:r>
    </w:p>
    <w:p>
      <w:pPr>
        <w:ind w:firstLine="602"/>
      </w:pPr>
      <w:r>
        <w:rPr>
          <w:b/>
        </w:rPr>
        <w:t>生态环保压力紧迫，污染治理任务艰巨。</w:t>
      </w:r>
      <w:r>
        <w:t>建材行业居多，空气质量改善压力较大。完整、系统的污水智慧管网尚未建立，存在水环境污染隐患。农村生活垃圾产生成分日趋复杂，生活垃圾无害化处理设施建设总体水平不高。</w:t>
      </w:r>
    </w:p>
    <w:p>
      <w:pPr>
        <w:ind w:firstLine="600"/>
      </w:pPr>
      <w:r>
        <w:t>综合判断</w:t>
      </w:r>
      <w:r>
        <w:rPr>
          <w:rFonts w:ascii="仿宋" w:hAnsi="仿宋"/>
        </w:rPr>
        <w:t>，“十四五”期间，</w:t>
      </w:r>
      <w:r>
        <w:t>华容区将处于发展方式转变、产业转型升级、地区间协调发展的重要战略机遇时期，虽然面临着诸多挑战和困难，但是总体上机遇大于挑战和困</w:t>
      </w:r>
      <w:r>
        <w:rPr>
          <w:rFonts w:ascii="仿宋" w:hAnsi="仿宋"/>
        </w:rPr>
        <w:t>难。谋划“十四五”发展，必须深刻把握新时代战略机遇期的新内涵，树立机遇意识，运用好国内外形势变化带来的积极因素，充分发挥华容区特色和优势，大力实施创新发展、转型发展、特色发</w:t>
      </w:r>
      <w:r>
        <w:t>展、绿色发展等战略，统筹推进经济建设、政治建设、文化建设、社会建设、生态文明建设，为华容区现代化建设奠定坚实可靠的基础，为华容区可持续发展提供坚强有力的保障，推动华容区社会经济发展再上新台阶</w:t>
      </w:r>
      <w:bookmarkEnd w:id="16"/>
      <w:r>
        <w:rPr>
          <w:rFonts w:hint="eastAsia"/>
        </w:rPr>
        <w:t>。</w:t>
      </w:r>
    </w:p>
    <w:p>
      <w:pPr>
        <w:pStyle w:val="5"/>
        <w:ind w:firstLine="643"/>
      </w:pPr>
      <w:bookmarkStart w:id="17" w:name="_Toc59376357"/>
      <w:bookmarkStart w:id="18" w:name="_Toc7981"/>
      <w:bookmarkStart w:id="19" w:name="_Toc59376363"/>
      <w:r>
        <w:t>第二章 指导思想与发展目标</w:t>
      </w:r>
      <w:bookmarkEnd w:id="17"/>
      <w:bookmarkEnd w:id="18"/>
    </w:p>
    <w:p>
      <w:pPr>
        <w:pStyle w:val="6"/>
        <w:ind w:firstLine="602"/>
      </w:pPr>
      <w:bookmarkStart w:id="20" w:name="_Toc59376358"/>
      <w:bookmarkStart w:id="21" w:name="_Toc4179"/>
      <w:r>
        <w:t>第一节 指导思想</w:t>
      </w:r>
      <w:bookmarkEnd w:id="20"/>
      <w:bookmarkEnd w:id="21"/>
    </w:p>
    <w:p>
      <w:pPr>
        <w:ind w:firstLine="600"/>
        <w:rPr>
          <w:rFonts w:ascii="仿宋" w:hAnsi="仿宋"/>
        </w:rPr>
      </w:pPr>
      <w:r>
        <w:rPr>
          <w:rFonts w:hint="eastAsia"/>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w:t>
      </w:r>
      <w:r>
        <w:rPr>
          <w:rFonts w:ascii="仿宋" w:hAnsi="仿宋"/>
        </w:rPr>
        <w:t>“五位一体”总体布局，协调推进“四个全面”战略布局，</w:t>
      </w:r>
      <w:r>
        <w:rPr>
          <w:rFonts w:hint="eastAsia" w:ascii="仿宋" w:hAnsi="仿宋"/>
        </w:rPr>
        <w:t>坚持新发展理念</w:t>
      </w:r>
      <w:r>
        <w:rPr>
          <w:rFonts w:ascii="仿宋" w:hAnsi="仿宋"/>
        </w:rPr>
        <w:t>，坚持稳中求进工作总基调，以推动高质量发展为</w:t>
      </w:r>
      <w:r>
        <w:rPr>
          <w:rFonts w:hint="eastAsia" w:ascii="仿宋" w:hAnsi="仿宋"/>
        </w:rPr>
        <w:t>主题</w:t>
      </w:r>
      <w:r>
        <w:rPr>
          <w:rFonts w:ascii="仿宋" w:hAnsi="仿宋"/>
        </w:rPr>
        <w:t>，</w:t>
      </w:r>
      <w:r>
        <w:rPr>
          <w:rFonts w:hint="eastAsia" w:ascii="仿宋" w:hAnsi="仿宋"/>
        </w:rPr>
        <w:t>以深化供给侧结构性改革为主线，以构建产业生态圈、创新生态链为主攻点，以改革开放创新为根本动力，以满足人民日益增长的美好生活需要为根本目的，</w:t>
      </w:r>
      <w:r>
        <w:rPr>
          <w:rFonts w:hint="eastAsia"/>
        </w:rPr>
        <w:t>统筹发展和安</w:t>
      </w:r>
      <w:r>
        <w:rPr>
          <w:rFonts w:hint="eastAsia" w:ascii="仿宋" w:hAnsi="仿宋"/>
        </w:rPr>
        <w:t>全，深度融入新发展格局，深度融入大武汉，加快建设现代化滨江临港产业生态新城，奋力打造国家多式联运示范区、长江数智文旅示范区、江南农业现代化示范区，争当全市“三城一化”建设和城乡融合高质量发展排头兵，争创全省社会主义现代化先行区，为湖北“建成支点、走在前列、谱写新篇”作贡献、当先锋。</w:t>
      </w:r>
    </w:p>
    <w:p>
      <w:pPr>
        <w:pStyle w:val="6"/>
        <w:ind w:firstLine="602"/>
      </w:pPr>
      <w:bookmarkStart w:id="22" w:name="_Toc59376359"/>
      <w:bookmarkStart w:id="23" w:name="_Toc4449"/>
      <w:r>
        <w:rPr>
          <w:rFonts w:hint="eastAsia"/>
        </w:rPr>
        <w:t>第二节 基本原则</w:t>
      </w:r>
      <w:bookmarkEnd w:id="22"/>
      <w:bookmarkEnd w:id="23"/>
    </w:p>
    <w:p>
      <w:pPr>
        <w:ind w:firstLine="602"/>
      </w:pPr>
      <w:r>
        <w:rPr>
          <w:rFonts w:hint="eastAsia" w:cs="仿宋"/>
          <w:b/>
          <w:bCs/>
        </w:rPr>
        <w:t>——坚持党的全面领导。</w:t>
      </w:r>
      <w:r>
        <w:rPr>
          <w:rFonts w:hint="eastAsia"/>
        </w:rPr>
        <w:t>落实党把方向、谋大局、定政策、促改革的要求，完善党委领导经济工作体制机制，提高贯彻新发展理念、构建新发展格局能力和水平，确保党中央决策部署、省委和市委工作要求不折不扣贯彻落实。</w:t>
      </w:r>
    </w:p>
    <w:p>
      <w:pPr>
        <w:ind w:firstLine="602"/>
      </w:pPr>
      <w:r>
        <w:rPr>
          <w:rFonts w:hint="eastAsia" w:cs="仿宋"/>
          <w:b/>
          <w:bCs/>
        </w:rPr>
        <w:t>——坚持以人民为中心。</w:t>
      </w:r>
      <w:r>
        <w:rPr>
          <w:rFonts w:hint="eastAsia"/>
        </w:rPr>
        <w:t>坚持人民至上，始终做到发展为了人民、发展依靠人民、发展成果由人民共享，补齐民生短板，促进社会公平，不断实现人民对美好生活的向往，朝着共同富裕方向稳步迈进。</w:t>
      </w:r>
    </w:p>
    <w:p>
      <w:pPr>
        <w:ind w:firstLine="602"/>
      </w:pPr>
      <w:r>
        <w:rPr>
          <w:rFonts w:hint="eastAsia" w:cs="仿宋"/>
          <w:b/>
          <w:bCs/>
        </w:rPr>
        <w:t>——坚持新发展理念。</w:t>
      </w:r>
      <w:r>
        <w:rPr>
          <w:rFonts w:hint="eastAsia"/>
        </w:rPr>
        <w:t>把新发展理念贯穿发展全过程和各领域，转变发展方式，努力实现更高质量、更有效率、更加公平、更可持续、更为安全的发展。</w:t>
      </w:r>
    </w:p>
    <w:p>
      <w:pPr>
        <w:ind w:firstLine="602"/>
      </w:pPr>
      <w:r>
        <w:rPr>
          <w:rFonts w:hint="eastAsia" w:cs="仿宋"/>
          <w:b/>
          <w:bCs/>
        </w:rPr>
        <w:t>——坚持深化改革开放。</w:t>
      </w:r>
      <w:r>
        <w:rPr>
          <w:rFonts w:hint="eastAsia"/>
        </w:rPr>
        <w:t>坚持不懈以深化改革激发新发展活力，推动更深层次改革，以更大的勇气、更有力的举措破除制约城乡融合高质量发展的体制机制障碍，持续增强发展动力。</w:t>
      </w:r>
    </w:p>
    <w:p>
      <w:pPr>
        <w:ind w:firstLine="602"/>
      </w:pPr>
      <w:r>
        <w:rPr>
          <w:rFonts w:hint="eastAsia" w:cs="仿宋"/>
          <w:b/>
          <w:bCs/>
        </w:rPr>
        <w:t>——坚持系统观念。</w:t>
      </w:r>
      <w:r>
        <w:rPr>
          <w:rFonts w:hint="eastAsia"/>
        </w:rPr>
        <w:t>加强前瞻性思考、全局性谋划、战略型布局、整体性推进，运用辩证思维统筹处理城乡融合、动能转换、转型升级、绿色发展等关系，着力固根基、扬优势、补短板、强弱项，注重防范化解重大风险挑战，实现发展质量、结构、规模、进度、效益、安全相统一。</w:t>
      </w:r>
    </w:p>
    <w:p>
      <w:pPr>
        <w:pStyle w:val="6"/>
        <w:ind w:firstLine="602"/>
      </w:pPr>
      <w:bookmarkStart w:id="24" w:name="_Toc18285"/>
      <w:r>
        <w:rPr>
          <w:rFonts w:hint="eastAsia"/>
        </w:rPr>
        <w:t>第三节 产业空间布局</w:t>
      </w:r>
      <w:bookmarkEnd w:id="24"/>
    </w:p>
    <w:p>
      <w:pPr>
        <w:ind w:firstLine="600"/>
        <w:rPr>
          <w:rFonts w:ascii="仿宋" w:hAnsi="仿宋" w:cs="Times New Roman"/>
        </w:rPr>
      </w:pPr>
      <w:r>
        <w:rPr>
          <w:rFonts w:hint="eastAsia"/>
        </w:rPr>
        <w:t>坚持“东进、西接、北控、南拓、中优”空间发展布局，构建科技创新空间、高品质生活空间和</w:t>
      </w:r>
      <w:r>
        <w:t>生态空间</w:t>
      </w:r>
      <w:r>
        <w:rPr>
          <w:rFonts w:hint="eastAsia"/>
          <w:color w:val="000000" w:themeColor="text1"/>
          <w14:textFill>
            <w14:solidFill>
              <w14:schemeClr w14:val="tx1"/>
            </w14:solidFill>
          </w14:textFill>
        </w:rPr>
        <w:t>，沿红莲湖片区高新大道、未来三路打造创新带，沿红莲大道打造文旅融合高品质生活带，沿三江港片区临江大道、吴楚大道打造现代制造业和现代服务业融合发展带，沿长江华容北部区域打造美丽宜居生态带。</w:t>
      </w:r>
      <w:r>
        <w:rPr>
          <w:rFonts w:hint="eastAsia"/>
        </w:rPr>
        <w:t>按照建设精致精美“特色小镇”要求，依托各乡镇产业特色、文化内涵和生态资源优势，明确城镇功能定位，建设华容宜居宜业主城区、庙岭数智文旅特色镇、临江多式联运特色镇、段店农旅融合特色镇、蒲团现代农业特色镇，构建五个乡镇“五朵金花”竞相开放、区域协调发展格局。华容主城区重点完善公共服务配套及市政基础设施，建设规模适宜商业综合体，加快智慧社区建设，提高城镇管理精细化水平，大幅提升城镇品质；庙岭重点发展数字经济、文旅融合板块，打造科技文旅融合创新示范；临江围绕三江港“港产城”一体化发展，建设滨江临港产业生态示范镇；段店积极建设北部生态功能区，发展农文旅创意产业和</w:t>
      </w:r>
      <w:r>
        <w:t>医用软管产业</w:t>
      </w:r>
      <w:r>
        <w:rPr>
          <w:rFonts w:hint="eastAsia"/>
        </w:rPr>
        <w:t>，打造国家级田园综合体和乡村振兴示范镇；蒲团加快建设省级农产品加工园和</w:t>
      </w:r>
      <w:r>
        <w:t>航空职教园</w:t>
      </w:r>
      <w:r>
        <w:rPr>
          <w:rFonts w:hint="eastAsia"/>
        </w:rPr>
        <w:t>，发展绿色农产品精深加工，打造“荷花特色小镇”，推动农业产业化高质量发展。</w:t>
      </w:r>
    </w:p>
    <w:p>
      <w:pPr>
        <w:pStyle w:val="6"/>
        <w:ind w:firstLine="602"/>
      </w:pPr>
      <w:bookmarkStart w:id="25" w:name="_Toc59376360"/>
      <w:bookmarkStart w:id="26" w:name="_Toc5525"/>
      <w:r>
        <w:t>第</w:t>
      </w:r>
      <w:r>
        <w:rPr>
          <w:rFonts w:hint="eastAsia"/>
        </w:rPr>
        <w:t>四</w:t>
      </w:r>
      <w:r>
        <w:t>节 基本目标</w:t>
      </w:r>
      <w:bookmarkEnd w:id="25"/>
      <w:bookmarkEnd w:id="26"/>
    </w:p>
    <w:p>
      <w:pPr>
        <w:ind w:firstLine="600"/>
      </w:pPr>
      <w:r>
        <w:rPr>
          <w:rFonts w:hint="eastAsia"/>
        </w:rPr>
        <w:t>贯彻</w:t>
      </w:r>
      <w:r>
        <w:t>党的十九大</w:t>
      </w:r>
      <w:r>
        <w:rPr>
          <w:rFonts w:hint="eastAsia"/>
        </w:rPr>
        <w:t>关于</w:t>
      </w:r>
      <w:r>
        <w:t>分两步走全面建成社会主义现代化强国的总体部署，</w:t>
      </w:r>
      <w:r>
        <w:rPr>
          <w:rFonts w:hint="eastAsia"/>
        </w:rPr>
        <w:t>落实</w:t>
      </w:r>
      <w:r>
        <w:t>市委关于</w:t>
      </w:r>
      <w:r>
        <w:rPr>
          <w:rFonts w:hint="eastAsia"/>
        </w:rPr>
        <w:t>全面建设</w:t>
      </w:r>
      <w:r>
        <w:t>社会主义现代化强市</w:t>
      </w:r>
      <w:r>
        <w:rPr>
          <w:rFonts w:hint="eastAsia"/>
        </w:rPr>
        <w:t>的</w:t>
      </w:r>
      <w:r>
        <w:t>阶段性安排</w:t>
      </w:r>
      <w:r>
        <w:rPr>
          <w:rFonts w:hint="eastAsia"/>
        </w:rPr>
        <w:t>，</w:t>
      </w:r>
      <w:r>
        <w:t>到二</w:t>
      </w:r>
      <w:r>
        <w:rPr>
          <w:rFonts w:hint="eastAsia" w:ascii="宋体" w:hAnsi="宋体" w:eastAsia="宋体"/>
        </w:rPr>
        <w:t>〇</w:t>
      </w:r>
      <w:r>
        <w:t>三五年</w:t>
      </w:r>
      <w:r>
        <w:rPr>
          <w:rFonts w:hint="eastAsia"/>
        </w:rPr>
        <w:t>，全区基本实现社会主义现代化，经济实力、科技实力、综合实力迈上新台阶，人均生产总值达到发达经济体水平，现代化经济体系基本形成，全面建成现代化滨江临港产业生态新城，新型城镇化、工业化、信息化、农业现代化处于全省县市区前列，县域经济跻身全省同类十强，进入创新型强区行列。武鄂同城化发展桥头堡作用充分发挥，多式联运枢纽功能全面释放，重要市场节点支撑有力，中部开放前沿地位突出，更深层次、更广领域、更高水平融入大武汉。整体智治体系科学完善，基层治理体系和治理能力现代化基本实现，文明华容、平安华容、清廉华容达到更高水平，法治华容、法治政府、法治社会基本建成。对高素质人才的吸引力全面增强，居民素质和社会文明程度显著提升。公共文化服务水平大幅提升，现代公共服务体系基本建成。生态文明理念更加深入人心，绿色生产生活方式广泛形成，江南美丽田园城镇魅力充分彰显、</w:t>
      </w:r>
      <w:r>
        <w:t>亮点突出</w:t>
      </w:r>
      <w:r>
        <w:rPr>
          <w:rFonts w:hint="eastAsia"/>
        </w:rPr>
        <w:t>。城乡一体化发展全省领先，中等收入群体显著扩大，人民生活更加美好，人的全面发展、全区人民共同富裕取得更为显著的实质性进展。党的领导高效执行体系全面形成，全面从严治党持续深入推进，政治生态更加山清水秀。</w:t>
      </w:r>
    </w:p>
    <w:p>
      <w:pPr>
        <w:ind w:firstLine="600"/>
      </w:pPr>
      <w:r>
        <w:rPr>
          <w:rFonts w:hint="eastAsia"/>
        </w:rPr>
        <w:t>锚定二〇三五年远景</w:t>
      </w:r>
      <w:r>
        <w:t>目标，</w:t>
      </w:r>
      <w:r>
        <w:rPr>
          <w:rFonts w:hint="eastAsia"/>
        </w:rPr>
        <w:t>综合考虑我区发展基础和发展条件，坚持目标导向和问题导向相结合，坚持传承接续和开拓创新相统一，紧紧围绕“多彩华容，荣华与共”发展导向，以加快建设“五个新华容”为重要支撑，全力“做强增长极，融入大武汉”，奋力打造“一城三区”。具体目标是：</w:t>
      </w:r>
    </w:p>
    <w:p>
      <w:pPr>
        <w:ind w:firstLine="602"/>
      </w:pPr>
      <w:r>
        <w:rPr>
          <w:rFonts w:hint="eastAsia"/>
          <w:b/>
          <w:bCs/>
        </w:rPr>
        <w:t>——综合实力</w:t>
      </w:r>
      <w:r>
        <w:rPr>
          <w:b/>
          <w:bCs/>
        </w:rPr>
        <w:t>迈上新台阶。</w:t>
      </w:r>
      <w:r>
        <w:rPr>
          <w:rFonts w:hint="eastAsia"/>
        </w:rPr>
        <w:t>发展质量和效益显著提高，各方面综合实力显著增强，地区生产总值年均增速高于全市平均水平，人均生产总值位居全市前列，力争县域经济位居全省同类前十强，地区生产总值和地方财政收入力争翻一番，力争成为区域高质量发展新标杆。产业链现代化水平大幅提升，现代服务业突破性发展。人口净流入进程加快，要素集聚能力加强。城镇和功能区发展能级和品质迈向新台阶，宜居宜业环境更加优越。</w:t>
      </w:r>
    </w:p>
    <w:p>
      <w:pPr>
        <w:ind w:firstLine="602"/>
      </w:pPr>
      <w:r>
        <w:rPr>
          <w:rFonts w:hint="eastAsia"/>
          <w:b/>
          <w:bCs/>
        </w:rPr>
        <w:t>——数智华容释放新动能。</w:t>
      </w:r>
      <w:r>
        <w:rPr>
          <w:rFonts w:hint="eastAsia"/>
        </w:rPr>
        <w:t>科技创新核心地位更加突出，重大创新平台建设取得进展，创新制度体系更加完备，创新创业环境更加优化，市场创新活力显著增强，主要创新指标显著提高，力争进入全省创新型城镇和人才强区行列。产业布局更加科学，传统优势产业更优更强，战略性新兴产业蓬勃发展，服务业提质增效，百亿级产业、项目、平台和企业不断形成。数字经济新业态持续涌现，数字赋能水平不断提高，国家数字乡村试点取得重大进展，数字经济引领的产业科技创新生态圈基本形成，特色鲜明的创新型新城初步建成，助力全市科学城建设。</w:t>
      </w:r>
    </w:p>
    <w:p>
      <w:pPr>
        <w:ind w:firstLine="602"/>
      </w:pPr>
      <w:r>
        <w:rPr>
          <w:rFonts w:hint="eastAsia"/>
          <w:b/>
          <w:bCs/>
        </w:rPr>
        <w:t>——枢纽华容取得新进展。</w:t>
      </w:r>
      <w:r>
        <w:rPr>
          <w:rFonts w:hint="eastAsia"/>
        </w:rPr>
        <w:t>现代综合交通运输体系更加完善，国家多式联运示范工程全面建成，成为中部大通道大枢纽基地、武汉长江航运中心枢纽节点、“港产城”一体化绿色示范基地，对外开放格局基本形成，为全市建成国际综合物流枢纽、重要市场节点、中部开放前沿提供有力支撑。武鄂同城化发展桥头堡作用有效发挥，深度融入大武汉，助力武鄂同城化进入更高层次，在推动武鄂同城发展规划、科技创新、产业布局、生态环保、政策协调等深度合作方面取得更多实质性进展。</w:t>
      </w:r>
    </w:p>
    <w:p>
      <w:pPr>
        <w:ind w:firstLine="602"/>
        <w:rPr>
          <w:b/>
          <w:bCs/>
        </w:rPr>
      </w:pPr>
      <w:r>
        <w:rPr>
          <w:rFonts w:hint="eastAsia"/>
          <w:b/>
          <w:bCs/>
        </w:rPr>
        <w:t>——田园华容绘就新画卷。</w:t>
      </w:r>
      <w:r>
        <w:rPr>
          <w:rFonts w:hint="eastAsia"/>
          <w:bCs/>
        </w:rPr>
        <w:t>以人为核心的新型城镇化提质推进，中心城镇首位度和集聚辐射力大幅增强。</w:t>
      </w:r>
      <w:r>
        <w:rPr>
          <w:bCs/>
        </w:rPr>
        <w:t>乡村振兴</w:t>
      </w:r>
      <w:r>
        <w:rPr>
          <w:rFonts w:hint="eastAsia"/>
          <w:bCs/>
        </w:rPr>
        <w:t>全面推进</w:t>
      </w:r>
      <w:r>
        <w:rPr>
          <w:bCs/>
        </w:rPr>
        <w:t>。</w:t>
      </w:r>
      <w:r>
        <w:rPr>
          <w:rFonts w:hint="eastAsia"/>
        </w:rPr>
        <w:t>生态环境状况持续改善，美丽城镇、美丽乡村、美丽河湖等建设一线串珠，碧水蓝天的生态空间加快构筑，大气、水、土壤污染等突出问题得到有效治理，空气质量优良天数、生活垃圾分类处理率等指标位居全市前列，基本消除重污染天气，基本消除城镇黑臭水体，建成“无废城市”。绿色发展方式和生活方式加快形成，资源集约利用水平大幅提升，坚持生态与经济深度融合，生态价值工程深入推进，长江大保护取得显著成效，成为全省生态文明建设示范区。</w:t>
      </w:r>
    </w:p>
    <w:p>
      <w:pPr>
        <w:ind w:firstLine="602"/>
      </w:pPr>
      <w:r>
        <w:rPr>
          <w:rFonts w:hint="eastAsia"/>
          <w:b/>
          <w:bCs/>
        </w:rPr>
        <w:t>——人文华容绽放新魅力。</w:t>
      </w:r>
      <w:r>
        <w:rPr>
          <w:rFonts w:hint="eastAsia"/>
        </w:rPr>
        <w:t>社会主义核心价值观更加深入人心，长江文化、红色文化、首义文化得到大力弘扬，文化古城、红色名城专属城市名片充分彰显，文化事业和文化产业加快发展，公共文化服务体系更加健全，人民精神文明生活日益丰富，文化认同、奋斗动力显著增强，思想道德素质、科学文化素质和身心素质明显提高，诚信守法、向上向善的社会氛围愈加浓厚，文化软实力不断增强。文旅融合发展，成为省内及武汉城市圈一流旅游目的地。</w:t>
      </w:r>
    </w:p>
    <w:p>
      <w:pPr>
        <w:ind w:firstLine="602"/>
      </w:pPr>
      <w:r>
        <w:rPr>
          <w:rFonts w:hint="eastAsia"/>
          <w:b/>
          <w:bCs/>
        </w:rPr>
        <w:t>——幸福华容达到新水平。</w:t>
      </w:r>
      <w:r>
        <w:rPr>
          <w:rFonts w:hint="eastAsia"/>
        </w:rPr>
        <w:t>武鄂同城化体验不断提升，居民收入与经济发展保持同步，城乡居民收入差距持续缩小，实现更加充分更高质量的就业，覆盖城乡高水平公共服务体系更趋完善，高质量教育体系</w:t>
      </w:r>
      <w:r>
        <w:t>基本建成</w:t>
      </w:r>
      <w:r>
        <w:rPr>
          <w:rFonts w:hint="eastAsia"/>
        </w:rPr>
        <w:t>，社会保障体系更加健全，建成疾控体系改革和公共卫生体系建设的“华容样板”，生活服务设施更加完善，脱贫攻坚成果巩固拓展，乡村振兴全面推进，人民日益增长的美好生活需要不断得到满足，成为全省最具幸福感的区域之一。</w:t>
      </w:r>
    </w:p>
    <w:p>
      <w:pPr>
        <w:ind w:firstLine="602"/>
        <w:rPr>
          <w:color w:val="000000"/>
        </w:rPr>
      </w:pPr>
      <w:r>
        <w:rPr>
          <w:rFonts w:hint="eastAsia"/>
          <w:b/>
          <w:bCs/>
        </w:rPr>
        <w:t>——区域治理实现新成就。</w:t>
      </w:r>
      <w:r>
        <w:rPr>
          <w:rFonts w:hint="eastAsia"/>
          <w:color w:val="000000"/>
        </w:rPr>
        <w:t>区域治理体系和治理能力现代化不断推进，基本建成以人为本</w:t>
      </w:r>
      <w:r>
        <w:rPr>
          <w:color w:val="000000"/>
        </w:rPr>
        <w:t>、</w:t>
      </w:r>
      <w:r>
        <w:rPr>
          <w:rFonts w:hint="eastAsia"/>
          <w:color w:val="000000"/>
        </w:rPr>
        <w:t>法治为基、整体智治、高效协同的现代政府。“法治华容</w:t>
      </w:r>
      <w:r>
        <w:rPr>
          <w:rFonts w:hint="eastAsia"/>
        </w:rPr>
        <w:t>”“平安华容”建设取得显著成效，各领域法治化水平明显提高，突发事件应急处置能力和防灾减灾能力显著增强，跻身全省县域平安建设第一梯队。党建引领的共建共治共享的社会治理格局基本形成，社会持续保持和谐稳定的良好局面。</w:t>
      </w:r>
    </w:p>
    <w:p>
      <w:pPr>
        <w:pStyle w:val="6"/>
        <w:ind w:firstLine="602"/>
      </w:pPr>
      <w:bookmarkStart w:id="27" w:name="_Toc59376362"/>
      <w:bookmarkStart w:id="28" w:name="_Toc18020"/>
      <w:r>
        <w:t>第</w:t>
      </w:r>
      <w:r>
        <w:rPr>
          <w:rFonts w:hint="eastAsia"/>
        </w:rPr>
        <w:t>五</w:t>
      </w:r>
      <w:r>
        <w:t>节 主要指标</w:t>
      </w:r>
      <w:bookmarkEnd w:id="27"/>
      <w:bookmarkEnd w:id="28"/>
    </w:p>
    <w:p>
      <w:pPr>
        <w:ind w:firstLine="600"/>
      </w:pPr>
      <w:r>
        <w:t>按照区委、区政府关于贯彻落实党的十九大精神和习近平总书记视察湖北的系列重要讲话精神，全面落实中央、省、市经济社会发展战略部署</w:t>
      </w:r>
      <w:r>
        <w:rPr>
          <w:color w:val="000000"/>
        </w:rPr>
        <w:t>，锚定2</w:t>
      </w:r>
      <w:r>
        <w:t>035年基本实现社会主义现代化的战略目标，精准量化华容区</w:t>
      </w:r>
      <w:r>
        <w:rPr>
          <w:rFonts w:ascii="仿宋" w:hAnsi="仿宋"/>
        </w:rPr>
        <w:t>“十四五”的</w:t>
      </w:r>
      <w:r>
        <w:t>奋斗目标。对接国家重大战略，围绕高质量发展要求，贯彻新发展理念，体现以人民为中心发展思想，匹配华容区发展新的阶段性特征，坚持底线思维，设置</w:t>
      </w:r>
      <w:r>
        <w:rPr>
          <w:rFonts w:hint="eastAsia"/>
        </w:rPr>
        <w:t>经济发展</w:t>
      </w:r>
      <w:r>
        <w:t>、</w:t>
      </w:r>
      <w:r>
        <w:rPr>
          <w:rFonts w:hint="eastAsia"/>
        </w:rPr>
        <w:t>创新能力</w:t>
      </w:r>
      <w:r>
        <w:t>、民生福祉、生态环境、安全保障</w:t>
      </w:r>
      <w:r>
        <w:rPr>
          <w:rFonts w:hint="eastAsia"/>
        </w:rPr>
        <w:t>五</w:t>
      </w:r>
      <w:r>
        <w:t>大类指标</w:t>
      </w:r>
      <w:r>
        <w:rPr>
          <w:rFonts w:hint="eastAsia"/>
        </w:rPr>
        <w:t>（见下表</w:t>
      </w:r>
      <w:r>
        <w:t>）：</w:t>
      </w:r>
    </w:p>
    <w:p>
      <w:pPr>
        <w:pStyle w:val="2"/>
        <w:ind w:left="600" w:firstLine="600"/>
      </w:pPr>
      <w:r>
        <w:br w:type="page"/>
      </w:r>
    </w:p>
    <w:p>
      <w:pPr>
        <w:ind w:firstLine="0" w:firstLineChars="0"/>
        <w:jc w:val="center"/>
        <w:rPr>
          <w:b/>
        </w:rPr>
      </w:pPr>
      <w:r>
        <w:rPr>
          <w:rFonts w:hint="eastAsia" w:ascii="仿宋" w:hAnsi="仿宋" w:cs="仿宋"/>
          <w:b/>
        </w:rPr>
        <w:t>“十四五”</w:t>
      </w:r>
      <w:r>
        <w:rPr>
          <w:rFonts w:hint="eastAsia"/>
          <w:b/>
        </w:rPr>
        <w:t>时期</w:t>
      </w:r>
      <w:r>
        <w:rPr>
          <w:b/>
        </w:rPr>
        <w:t>华容区经济社会发展主要指标</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3827"/>
        <w:gridCol w:w="1089"/>
        <w:gridCol w:w="1101"/>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类型</w:t>
            </w:r>
          </w:p>
        </w:tc>
        <w:tc>
          <w:tcPr>
            <w:tcW w:w="709"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序号</w:t>
            </w:r>
          </w:p>
        </w:tc>
        <w:tc>
          <w:tcPr>
            <w:tcW w:w="3827"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指标名称</w:t>
            </w:r>
          </w:p>
        </w:tc>
        <w:tc>
          <w:tcPr>
            <w:tcW w:w="1089"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2025年</w:t>
            </w:r>
          </w:p>
        </w:tc>
        <w:tc>
          <w:tcPr>
            <w:tcW w:w="1101"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平均增速</w:t>
            </w:r>
          </w:p>
          <w:p>
            <w:pPr>
              <w:widowControl/>
              <w:spacing w:line="300" w:lineRule="exact"/>
              <w:ind w:firstLine="0" w:firstLineChars="0"/>
              <w:jc w:val="center"/>
              <w:rPr>
                <w:rFonts w:eastAsia="黑体" w:cs="Times New Roman"/>
                <w:color w:val="000000"/>
                <w:kern w:val="0"/>
                <w:sz w:val="21"/>
                <w:szCs w:val="21"/>
              </w:rPr>
            </w:pPr>
            <w:r>
              <w:rPr>
                <w:rFonts w:hint="eastAsia" w:eastAsia="黑体" w:cs="Times New Roman"/>
                <w:color w:val="000000"/>
                <w:kern w:val="0"/>
                <w:sz w:val="21"/>
                <w:szCs w:val="21"/>
              </w:rPr>
              <w:t>[累计]</w:t>
            </w:r>
          </w:p>
        </w:tc>
        <w:tc>
          <w:tcPr>
            <w:tcW w:w="866" w:type="dxa"/>
            <w:shd w:val="clear" w:color="auto" w:fill="auto"/>
            <w:vAlign w:val="center"/>
          </w:tcPr>
          <w:p>
            <w:pPr>
              <w:widowControl/>
              <w:spacing w:line="300" w:lineRule="exact"/>
              <w:ind w:firstLine="0" w:firstLineChars="0"/>
              <w:jc w:val="center"/>
              <w:rPr>
                <w:rFonts w:eastAsia="黑体" w:cs="Times New Roman"/>
                <w:color w:val="000000"/>
                <w:kern w:val="0"/>
                <w:sz w:val="21"/>
                <w:szCs w:val="21"/>
              </w:rPr>
            </w:pPr>
            <w:r>
              <w:rPr>
                <w:rFonts w:eastAsia="黑体" w:cs="Times New Roman"/>
                <w:color w:val="000000"/>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经济发展</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GDP增长率（%)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7</w:t>
            </w:r>
            <w:r>
              <w:rPr>
                <w:rFonts w:hint="eastAsia" w:cs="宋体"/>
                <w:kern w:val="0"/>
                <w:sz w:val="21"/>
                <w:szCs w:val="21"/>
              </w:rPr>
              <w:t>左右</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2</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全员劳动生产率（万元）</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cs="Times New Roman"/>
                <w:kern w:val="0"/>
                <w:sz w:val="21"/>
                <w:szCs w:val="21"/>
              </w:rPr>
              <w:t>&gt;7</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3</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常住人口城镇化率（%）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65</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创新能力</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4</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研发经费投入强度（%）</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2</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cs="Times New Roman"/>
                <w:kern w:val="0"/>
                <w:sz w:val="21"/>
                <w:szCs w:val="21"/>
              </w:rPr>
              <w:t>&gt;10</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5</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每万人口高价值发明专利拥有量（件）</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6</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数字经济核心产业增加值占GDP比重（%）</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民生福祉</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7</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居民人均可支配收入增长率</w:t>
            </w:r>
            <w:r>
              <w:rPr>
                <w:rFonts w:hint="eastAsia" w:cs="Times New Roman"/>
                <w:color w:val="000000"/>
                <w:kern w:val="0"/>
                <w:sz w:val="21"/>
                <w:szCs w:val="21"/>
              </w:rPr>
              <w:t>（%）</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宋体"/>
                <w:kern w:val="0"/>
                <w:sz w:val="21"/>
                <w:szCs w:val="21"/>
              </w:rPr>
              <w:t>高于经济增长速度</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8</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城镇调查失业率（%）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&lt;5</w:t>
            </w:r>
            <w:r>
              <w:rPr>
                <w:rFonts w:cs="Times New Roman"/>
                <w:color w:val="000000"/>
                <w:kern w:val="0"/>
                <w:sz w:val="21"/>
                <w:szCs w:val="21"/>
              </w:rPr>
              <w:t xml:space="preserve"> </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9</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人均预期寿命（岁）</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79</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10</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劳动年龄人口平均受教育年限（年）</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w:t>
            </w:r>
            <w:r>
              <w:rPr>
                <w:rFonts w:hint="eastAsia" w:cs="Times New Roman"/>
                <w:color w:val="000000"/>
                <w:kern w:val="0"/>
                <w:sz w:val="21"/>
                <w:szCs w:val="21"/>
              </w:rPr>
              <w:t>3.2</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&gt;9</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11</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基本养老保险参保率（%）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93.6</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12</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每千人拥有执业（助理）医师数（人）</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1.3</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13</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每千人口拥有0-3岁婴幼儿托位数（个）</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3.6</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生态环境</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14</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单位GDP能耗降低率（%）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15</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单位GDP二氧化碳排放降低（%）</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16</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地表水达到或好于</w:t>
            </w:r>
            <w:r>
              <w:rPr>
                <w:rFonts w:hint="eastAsia" w:cs="宋体"/>
                <w:color w:val="000000"/>
                <w:kern w:val="0"/>
                <w:sz w:val="21"/>
                <w:szCs w:val="21"/>
              </w:rPr>
              <w:t>Ⅲ</w:t>
            </w:r>
            <w:r>
              <w:rPr>
                <w:rFonts w:cs="Times New Roman"/>
                <w:color w:val="000000"/>
                <w:kern w:val="0"/>
                <w:sz w:val="21"/>
                <w:szCs w:val="21"/>
              </w:rPr>
              <w:t>类水体比例（%）</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17</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城市空气质量优良天数比例（%）</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hint="eastAsia" w:cs="Times New Roman"/>
                <w:color w:val="000000"/>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continue"/>
            <w:vAlign w:val="center"/>
          </w:tcPr>
          <w:p>
            <w:pPr>
              <w:widowControl/>
              <w:spacing w:line="300" w:lineRule="exact"/>
              <w:ind w:firstLine="0" w:firstLineChars="0"/>
              <w:jc w:val="left"/>
              <w:rPr>
                <w:rFonts w:cs="Times New Roman"/>
                <w:color w:val="000000"/>
                <w:kern w:val="0"/>
                <w:sz w:val="21"/>
                <w:szCs w:val="21"/>
              </w:rPr>
            </w:pP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18</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森林覆盖率（%）</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4"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安全保障</w:t>
            </w:r>
          </w:p>
        </w:tc>
        <w:tc>
          <w:tcPr>
            <w:tcW w:w="70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19</w:t>
            </w:r>
          </w:p>
        </w:tc>
        <w:tc>
          <w:tcPr>
            <w:tcW w:w="3827"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粮食综合生产能力（亿斤）</w:t>
            </w:r>
          </w:p>
        </w:tc>
        <w:tc>
          <w:tcPr>
            <w:tcW w:w="1089" w:type="dxa"/>
            <w:shd w:val="clear" w:color="auto" w:fill="auto"/>
            <w:vAlign w:val="center"/>
          </w:tcPr>
          <w:p>
            <w:pPr>
              <w:widowControl/>
              <w:spacing w:line="300" w:lineRule="exact"/>
              <w:ind w:firstLine="0" w:firstLineChars="0"/>
              <w:jc w:val="center"/>
              <w:rPr>
                <w:rFonts w:cs="Times New Roman"/>
                <w:color w:val="000000"/>
                <w:kern w:val="0"/>
                <w:sz w:val="21"/>
                <w:szCs w:val="21"/>
              </w:rPr>
            </w:pPr>
            <w:r>
              <w:rPr>
                <w:rFonts w:cs="Times New Roman"/>
                <w:color w:val="000000"/>
                <w:kern w:val="0"/>
                <w:sz w:val="21"/>
                <w:szCs w:val="21"/>
              </w:rPr>
              <w:t>市定目标</w:t>
            </w:r>
          </w:p>
        </w:tc>
        <w:tc>
          <w:tcPr>
            <w:tcW w:w="1101" w:type="dxa"/>
            <w:shd w:val="clear" w:color="auto" w:fill="auto"/>
            <w:vAlign w:val="center"/>
          </w:tcPr>
          <w:p>
            <w:pPr>
              <w:widowControl/>
              <w:spacing w:line="300" w:lineRule="exact"/>
              <w:ind w:firstLine="0" w:firstLineChars="0"/>
              <w:jc w:val="center"/>
              <w:rPr>
                <w:rFonts w:cs="Times New Roman"/>
                <w:kern w:val="0"/>
                <w:sz w:val="21"/>
                <w:szCs w:val="21"/>
              </w:rPr>
            </w:pPr>
            <w:r>
              <w:rPr>
                <w:rFonts w:hint="eastAsia" w:cs="Times New Roman"/>
                <w:kern w:val="0"/>
                <w:sz w:val="21"/>
                <w:szCs w:val="21"/>
              </w:rPr>
              <w:t>—</w:t>
            </w:r>
          </w:p>
        </w:tc>
        <w:tc>
          <w:tcPr>
            <w:tcW w:w="866" w:type="dxa"/>
            <w:shd w:val="clear" w:color="auto" w:fill="auto"/>
            <w:vAlign w:val="center"/>
          </w:tcPr>
          <w:p>
            <w:pPr>
              <w:widowControl/>
              <w:spacing w:line="300" w:lineRule="exact"/>
              <w:ind w:firstLine="0" w:firstLineChars="0"/>
              <w:jc w:val="left"/>
              <w:rPr>
                <w:rFonts w:cs="Times New Roman"/>
                <w:color w:val="000000"/>
                <w:kern w:val="0"/>
                <w:sz w:val="21"/>
                <w:szCs w:val="21"/>
              </w:rPr>
            </w:pPr>
            <w:r>
              <w:rPr>
                <w:rFonts w:cs="Times New Roman"/>
                <w:color w:val="000000"/>
                <w:kern w:val="0"/>
                <w:sz w:val="21"/>
                <w:szCs w:val="21"/>
              </w:rPr>
              <w:t>约束性</w:t>
            </w:r>
          </w:p>
        </w:tc>
      </w:tr>
    </w:tbl>
    <w:p>
      <w:pPr>
        <w:ind w:firstLine="600"/>
      </w:pPr>
    </w:p>
    <w:p>
      <w:pPr>
        <w:widowControl/>
        <w:spacing w:line="240" w:lineRule="auto"/>
        <w:ind w:firstLine="0" w:firstLineChars="0"/>
        <w:jc w:val="left"/>
        <w:rPr>
          <w:rFonts w:eastAsia="黑体"/>
          <w:b/>
          <w:bCs/>
          <w:kern w:val="44"/>
          <w:sz w:val="36"/>
          <w:szCs w:val="44"/>
        </w:rPr>
      </w:pPr>
      <w:r>
        <w:rPr>
          <w:rFonts w:eastAsia="黑体"/>
          <w:b/>
          <w:bCs/>
          <w:kern w:val="44"/>
          <w:sz w:val="36"/>
          <w:szCs w:val="44"/>
        </w:rPr>
        <w:br w:type="page"/>
      </w:r>
    </w:p>
    <w:p>
      <w:pPr>
        <w:pStyle w:val="4"/>
        <w:spacing w:before="408" w:after="408"/>
        <w:ind w:firstLine="640"/>
      </w:pPr>
      <w:bookmarkStart w:id="29" w:name="_Toc23952"/>
      <w:r>
        <w:t>第二篇 建设数</w:t>
      </w:r>
      <w:r>
        <w:rPr>
          <w:rFonts w:hint="eastAsia"/>
        </w:rPr>
        <w:t>智</w:t>
      </w:r>
      <w:r>
        <w:t>新华容，打造湖北数字产业引领区</w:t>
      </w:r>
      <w:bookmarkEnd w:id="19"/>
      <w:bookmarkEnd w:id="29"/>
    </w:p>
    <w:p>
      <w:pPr>
        <w:ind w:firstLine="600"/>
      </w:pPr>
      <w:r>
        <w:rPr>
          <w:rFonts w:hint="eastAsia"/>
        </w:rPr>
        <w:t>坚持把创新放在发展的核心地位，聚焦实体经济，深入实施创新驱动发展战略，主动承接光谷科学岛和未来科技城，发挥数字化引领、撬动、赋能作用，加强高能级创新平台建设，加快构建现代产业体系，加大人才引育力度，加速创新资源汇聚，建成具有区域影响力的先进制造业基地，全力打造区域科创高地。</w:t>
      </w:r>
    </w:p>
    <w:p>
      <w:pPr>
        <w:pStyle w:val="5"/>
        <w:ind w:firstLine="643"/>
      </w:pPr>
      <w:bookmarkStart w:id="30" w:name="_Toc26867"/>
      <w:bookmarkStart w:id="31" w:name="_Toc59376364"/>
      <w:r>
        <w:t>第一章 坚持创新驱动发展</w:t>
      </w:r>
      <w:bookmarkEnd w:id="30"/>
      <w:bookmarkEnd w:id="31"/>
    </w:p>
    <w:p>
      <w:pPr>
        <w:ind w:firstLine="600"/>
      </w:pPr>
      <w:r>
        <w:t>实施创新驱动战略</w:t>
      </w:r>
      <w:r>
        <w:rPr>
          <w:rFonts w:hint="eastAsia"/>
        </w:rPr>
        <w:t>，</w:t>
      </w:r>
      <w:r>
        <w:t>着力形成更具开放竞争优势的人才政策制度体系, 加快战略性新兴产业培育，大力发展新一代信息技术产业，做大做强数字经济，努力将华容区打造成为湖北数字产业引领区。</w:t>
      </w:r>
    </w:p>
    <w:p>
      <w:pPr>
        <w:pStyle w:val="6"/>
        <w:ind w:firstLine="602"/>
      </w:pPr>
      <w:bookmarkStart w:id="32" w:name="_Toc11008"/>
      <w:bookmarkStart w:id="33" w:name="_Toc59376365"/>
      <w:r>
        <w:t>第一节 建设高水</w:t>
      </w:r>
      <w:r>
        <w:rPr>
          <w:rFonts w:hint="eastAsia" w:ascii="仿宋" w:hAnsi="仿宋" w:cs="仿宋"/>
        </w:rPr>
        <w:t>平“双创”平</w:t>
      </w:r>
      <w:r>
        <w:t>台</w:t>
      </w:r>
      <w:bookmarkEnd w:id="32"/>
      <w:bookmarkEnd w:id="33"/>
    </w:p>
    <w:p>
      <w:pPr>
        <w:ind w:firstLine="600"/>
      </w:pPr>
      <w:r>
        <w:rPr>
          <w:rFonts w:hint="eastAsia"/>
        </w:rPr>
        <w:t>聚焦华容区重点产业发展，围绕湖北枫树纺织科技园、湖北华宇昌泰科技园、三和管桩装配式建筑产业</w:t>
      </w:r>
      <w:r>
        <w:t>园</w:t>
      </w:r>
      <w:r>
        <w:rPr>
          <w:rFonts w:hint="eastAsia"/>
        </w:rPr>
        <w:t>等产业园区，以及华中智谷等重点区域，统筹规划，深入推进众创空间综合体建设。围绕华容区产业发展，加快推进湖北通用航空科技创新中心、东湖高新华中数字产业创新基地的建设，开展创新创业活动。推进双创平台与特色小镇融合发展，打造具有地域特色和主题业态的文创产业众创空间。盘活闲置资源，利用区域闲置楼宇、老旧住宅和厂房等场地改建创客空间。</w:t>
      </w:r>
      <w:bookmarkStart w:id="34" w:name="_Toc59376366"/>
    </w:p>
    <w:p>
      <w:pPr>
        <w:pStyle w:val="6"/>
        <w:ind w:firstLine="602"/>
      </w:pPr>
      <w:bookmarkStart w:id="35" w:name="_Toc29545"/>
      <w:r>
        <w:t>第二节 推动创新成果转化</w:t>
      </w:r>
      <w:bookmarkEnd w:id="34"/>
      <w:bookmarkEnd w:id="35"/>
    </w:p>
    <w:p>
      <w:pPr>
        <w:ind w:firstLine="600"/>
      </w:pPr>
      <w:r>
        <w:rPr>
          <w:rFonts w:hint="eastAsia"/>
        </w:rPr>
        <w:t>对接国家需求，聚焦我省重点支柱产业高端领域、关键环节，积极争取国家和省重大科技成果在华容转换，推动产业迈向高端和整体发展，扎实推进“科技成果大转化工程”，加强与武汉高校科研院所对接，构建科技成果转移转化协同推进体系。大力发展技术转移机构，鼓励支持省内外高校院所、企事业单位在华容建立技术转移中心、专业技术服务机构，实施重大科技成果转化项目。承接</w:t>
      </w:r>
      <w:r>
        <w:rPr>
          <w:rFonts w:hint="eastAsia" w:ascii="仿宋" w:hAnsi="仿宋" w:cs="仿宋"/>
        </w:rPr>
        <w:t>“新基建”“光芯屏端网”</w:t>
      </w:r>
      <w:r>
        <w:rPr>
          <w:rFonts w:hint="eastAsia"/>
        </w:rPr>
        <w:t>发展需求，实施数字经济跃升工程，选择数字产业方向的大数据、云计算为主导发展产业，选择集成电路方向的芯片设计、半导体新材料研发和通信电子方向的光通信、5G通讯为重点发展产业，推进数字产业化和产业数字化，促进数字经济与实体经济深度融合。着力构建市场导向、企业主体、产学研资中介相结合的科技成果转化体系，实现企业、高校院所、中介服务机构、投资机构等各方的协作联动，加速提升科技成果转化体系的运行效率。</w:t>
      </w:r>
    </w:p>
    <w:p>
      <w:pPr>
        <w:pStyle w:val="6"/>
        <w:ind w:firstLine="602"/>
      </w:pPr>
      <w:bookmarkStart w:id="36" w:name="_Toc31980"/>
      <w:bookmarkStart w:id="37" w:name="_Toc59376367"/>
      <w:r>
        <w:t>第三节 强化企业创新主体</w:t>
      </w:r>
      <w:r>
        <w:rPr>
          <w:rFonts w:hint="eastAsia"/>
        </w:rPr>
        <w:t>地位</w:t>
      </w:r>
      <w:bookmarkEnd w:id="36"/>
      <w:bookmarkEnd w:id="37"/>
    </w:p>
    <w:p>
      <w:pPr>
        <w:ind w:firstLine="600"/>
      </w:pPr>
      <w:r>
        <w:rPr>
          <w:rFonts w:hint="eastAsia"/>
        </w:rPr>
        <w:t>深入实施“创新型企业培育工程”和“科技型中小企业成长路线图计划”，立足重点发展的数字产业领域，培育创新型企业，形成一批具有较强市场影响力和竞争力的区域品牌企业。积极围绕“产业链”打造“创新链”，支持企业牵头整合高校、科研机构和上下游企业创新资源，组建院士专家工作站、工程技术研究中心、校企共建研发中心等科技研发平台，推动企业与工研院合作，加快建设高水平产业创新联合体，为数字产业发展提供支撑。实施“百企百亿技改”工程，推进“企业上云”工程，引进国内外新技术、新装备，加快传统产业高端化、智能化、绿色化改造。鼓励中小企业向“专精特新”发展，培育“单项冠军”“隐形冠军”“小巨人”“独角兽”企业。</w:t>
      </w:r>
    </w:p>
    <w:p>
      <w:pPr>
        <w:pStyle w:val="6"/>
        <w:ind w:firstLine="602"/>
      </w:pPr>
      <w:bookmarkStart w:id="38" w:name="_Toc59376368"/>
      <w:bookmarkStart w:id="39" w:name="_Toc19675"/>
      <w:r>
        <w:t>第四节 构筑</w:t>
      </w:r>
      <w:bookmarkEnd w:id="38"/>
      <w:r>
        <w:rPr>
          <w:rFonts w:hint="eastAsia"/>
        </w:rPr>
        <w:t>创新人才洼地</w:t>
      </w:r>
      <w:bookmarkEnd w:id="39"/>
    </w:p>
    <w:p>
      <w:pPr>
        <w:ind w:firstLine="600"/>
      </w:pPr>
      <w:r>
        <w:rPr>
          <w:rFonts w:hint="eastAsia"/>
        </w:rPr>
        <w:t>聚力实施招才引智工程，全面落实“新鄂州人”计划、“菁英汇鄂州”计划、企业“千名引硕工程”“333”高层次创新创业人才计划、“121”人才池计划、“学科带头人计划”和“杰出人才培养计划”等专项人才引进计划，打造特色产业工程协同创新中心、院士之家、院士专家工作站、博士后科研工作站等引才聚才平台，大力引进数字经济、枢纽经济、新兴产业及未来产业等领域“高精尖缺”人才和创新团队。聚焦数字产业，采取与高校联合培训，到大企业、发达地区挂职锻炼等方式，加快建设与产业转型升级、企业发展需求、社会发展方向相适应的人才梯队。深入实施“揭榜挂帅”等更加开放的用人机制，充分激发科技人才创新活力。制定和营造有利于留住人才的政策、措施和环境，大力推进“人才客厅”和“人才社区”建设，切实解决住房、子女教育、医疗保障、配偶就业等实际问题，完善人才评价激励机制和服务保障体系，探索完善科技人员岗位工资制、项目工资制、主要科技人员年薪制以及股权、期权奖励等形式多样的奖励机制，全力打造青年创业创新新城。</w:t>
      </w:r>
    </w:p>
    <w:p>
      <w:pPr>
        <w:pStyle w:val="6"/>
        <w:ind w:firstLine="602"/>
      </w:pPr>
      <w:bookmarkStart w:id="40" w:name="_Toc59376369"/>
      <w:bookmarkStart w:id="41" w:name="_Toc6551"/>
      <w:r>
        <w:t>第五节 优化创新创业环境</w:t>
      </w:r>
      <w:bookmarkEnd w:id="40"/>
      <w:bookmarkEnd w:id="41"/>
    </w:p>
    <w:p>
      <w:pPr>
        <w:ind w:firstLine="600"/>
      </w:pPr>
      <w:r>
        <w:rPr>
          <w:rFonts w:hint="eastAsia"/>
        </w:rPr>
        <w:t>积极发展金融创新服务，健全多元化、全方位、可持续的金融支撑体系，不断完善以企业为主体、政府财政引导、银信部门支持、社会各界参与的多层次的科技投入体系，不断加大科技投入力度，到2025年，科技三项费用占地方财政总支出的比重不低于1%，建立健全信贷服务体系，为高新技术成果转化、产业化提供优质高效的信贷服务。加快推进区域创新创业公共设施建设，提高基础设施现代化、网络化水平。加快知识产权侵权案件的审理速度，探索开展对科技型中小企业的法律援助制度。大力实施“科教兴区”战略，以“科技活动周”“全国科普日”为载体，积极开展经常性、富有特色的科普活动，大力弘扬科学精神，不断提高全区人民科学素质。</w:t>
      </w:r>
    </w:p>
    <w:tbl>
      <w:tblPr>
        <w:tblStyle w:val="4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color w:val="000000" w:themeColor="text1"/>
                <w:kern w:val="0"/>
                <w:sz w:val="18"/>
                <w:szCs w:val="18"/>
                <w14:textFill>
                  <w14:solidFill>
                    <w14:schemeClr w14:val="tx1"/>
                  </w14:solidFill>
                </w14:textFill>
              </w:rPr>
            </w:pPr>
            <w:r>
              <w:rPr>
                <w:rFonts w:cs="Times New Roman"/>
                <w:b/>
                <w:color w:val="000000"/>
                <w:kern w:val="0"/>
                <w:sz w:val="24"/>
                <w:szCs w:val="24"/>
              </w:rPr>
              <w:t>专栏2-1 科技创新重点项目工程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2"/>
              <w:rPr>
                <w:rFonts w:cs="Times New Roman" w:eastAsiaTheme="minorEastAsia"/>
                <w:sz w:val="21"/>
                <w:szCs w:val="21"/>
              </w:rPr>
            </w:pPr>
            <w:r>
              <w:rPr>
                <w:rFonts w:cs="Times New Roman"/>
                <w:b/>
                <w:sz w:val="24"/>
                <w:szCs w:val="24"/>
              </w:rPr>
              <w:t>创新创业平台：</w:t>
            </w:r>
            <w:r>
              <w:rPr>
                <w:rFonts w:cs="Times New Roman"/>
                <w:sz w:val="24"/>
                <w:szCs w:val="24"/>
              </w:rPr>
              <w:t>围绕科技园区、特色小镇、科教园区的建设，充分利用闲置资源，打造一批众创空间综合体。重点推进华中智谷、湖北通用航空科技创新中心、</w:t>
            </w:r>
            <w:r>
              <w:rPr>
                <w:rFonts w:hint="eastAsia" w:cs="Times New Roman"/>
                <w:sz w:val="24"/>
                <w:szCs w:val="24"/>
              </w:rPr>
              <w:t>东湖高新华中数字产业创新基地</w:t>
            </w:r>
            <w:r>
              <w:rPr>
                <w:rFonts w:cs="Times New Roman"/>
                <w:sz w:val="24"/>
                <w:szCs w:val="24"/>
              </w:rPr>
              <w:t>等项目的建设</w:t>
            </w:r>
            <w:r>
              <w:rPr>
                <w:rFonts w:cs="Times New Roman" w:eastAsiaTheme="minorEastAsia"/>
                <w:sz w:val="21"/>
                <w:szCs w:val="21"/>
              </w:rPr>
              <w:t>。</w:t>
            </w:r>
          </w:p>
          <w:p>
            <w:pPr>
              <w:spacing w:line="240" w:lineRule="auto"/>
              <w:ind w:firstLine="482"/>
              <w:rPr>
                <w:rFonts w:cs="Times New Roman" w:eastAsiaTheme="minorEastAsia"/>
                <w:sz w:val="21"/>
                <w:szCs w:val="21"/>
              </w:rPr>
            </w:pPr>
            <w:r>
              <w:rPr>
                <w:rFonts w:cs="Times New Roman"/>
                <w:b/>
                <w:sz w:val="24"/>
                <w:szCs w:val="24"/>
              </w:rPr>
              <w:t>重点实验室：</w:t>
            </w:r>
            <w:r>
              <w:rPr>
                <w:rFonts w:cs="Times New Roman"/>
                <w:sz w:val="24"/>
                <w:szCs w:val="24"/>
              </w:rPr>
              <w:t>依托</w:t>
            </w:r>
            <w:r>
              <w:rPr>
                <w:rFonts w:hint="eastAsia" w:cs="Times New Roman"/>
                <w:sz w:val="24"/>
                <w:szCs w:val="24"/>
              </w:rPr>
              <w:t>中国钙谷</w:t>
            </w:r>
            <w:r>
              <w:rPr>
                <w:rFonts w:cs="Times New Roman"/>
                <w:sz w:val="24"/>
                <w:szCs w:val="24"/>
              </w:rPr>
              <w:t>·</w:t>
            </w:r>
            <w:r>
              <w:rPr>
                <w:rFonts w:hint="eastAsia" w:cs="Times New Roman"/>
                <w:sz w:val="24"/>
                <w:szCs w:val="24"/>
              </w:rPr>
              <w:t>富碳</w:t>
            </w:r>
            <w:r>
              <w:rPr>
                <w:rFonts w:cs="Times New Roman"/>
                <w:sz w:val="24"/>
                <w:szCs w:val="24"/>
              </w:rPr>
              <w:t>农业</w:t>
            </w:r>
            <w:r>
              <w:rPr>
                <w:rFonts w:hint="eastAsia" w:cs="Times New Roman"/>
                <w:sz w:val="24"/>
                <w:szCs w:val="24"/>
              </w:rPr>
              <w:t>科研</w:t>
            </w:r>
            <w:r>
              <w:rPr>
                <w:rFonts w:cs="Times New Roman"/>
                <w:sz w:val="24"/>
                <w:szCs w:val="24"/>
              </w:rPr>
              <w:t>示范基地、农业农村部信息化标准化重点实验室、湖北</w:t>
            </w:r>
            <w:r>
              <w:rPr>
                <w:rFonts w:hint="eastAsia" w:cs="Times New Roman"/>
                <w:sz w:val="24"/>
                <w:szCs w:val="24"/>
              </w:rPr>
              <w:t>鄂州</w:t>
            </w:r>
            <w:r>
              <w:rPr>
                <w:rFonts w:cs="Times New Roman"/>
                <w:sz w:val="24"/>
                <w:szCs w:val="24"/>
              </w:rPr>
              <w:t>华容工作站</w:t>
            </w:r>
            <w:r>
              <w:rPr>
                <w:rFonts w:hint="eastAsia" w:cs="Times New Roman"/>
                <w:sz w:val="24"/>
                <w:szCs w:val="24"/>
              </w:rPr>
              <w:t>、</w:t>
            </w:r>
            <w:r>
              <w:rPr>
                <w:rFonts w:cs="Times New Roman"/>
                <w:sz w:val="24"/>
                <w:szCs w:val="24"/>
              </w:rPr>
              <w:t>中国环保</w:t>
            </w:r>
            <w:r>
              <w:rPr>
                <w:rFonts w:hint="eastAsia" w:cs="Times New Roman"/>
                <w:sz w:val="24"/>
                <w:szCs w:val="24"/>
              </w:rPr>
              <w:t>产业</w:t>
            </w:r>
            <w:r>
              <w:rPr>
                <w:rFonts w:cs="Times New Roman"/>
                <w:sz w:val="24"/>
                <w:szCs w:val="24"/>
              </w:rPr>
              <w:t>研究院人居环境（碳中和试验</w:t>
            </w:r>
            <w:r>
              <w:rPr>
                <w:rFonts w:hint="eastAsia" w:cs="Times New Roman"/>
                <w:sz w:val="24"/>
                <w:szCs w:val="24"/>
              </w:rPr>
              <w:t>基地</w:t>
            </w:r>
            <w:r>
              <w:rPr>
                <w:rFonts w:cs="Times New Roman"/>
                <w:sz w:val="24"/>
                <w:szCs w:val="24"/>
              </w:rPr>
              <w:t>）创新主体，加快与华中科技大学、中国地质大学等高校院所开展创新研究合作，在“光芯屏端网”、新基建、新材料等领域谋划一批重点实验室。</w:t>
            </w:r>
          </w:p>
          <w:p>
            <w:pPr>
              <w:spacing w:line="240" w:lineRule="auto"/>
              <w:ind w:firstLine="482"/>
              <w:rPr>
                <w:rFonts w:cs="Times New Roman" w:eastAsiaTheme="minorEastAsia"/>
                <w:sz w:val="21"/>
                <w:szCs w:val="21"/>
              </w:rPr>
            </w:pPr>
            <w:r>
              <w:rPr>
                <w:rFonts w:cs="Times New Roman"/>
                <w:b/>
                <w:sz w:val="24"/>
                <w:szCs w:val="24"/>
              </w:rPr>
              <w:t>人才引进平台：</w:t>
            </w:r>
            <w:r>
              <w:rPr>
                <w:rFonts w:cs="Times New Roman"/>
                <w:sz w:val="24"/>
                <w:szCs w:val="24"/>
              </w:rPr>
              <w:t>积极引进和培育大数据、云计算、芯片设计、半导体新材料研发、光通信、5G通讯等产业发展急需的各类人才，重点加快</w:t>
            </w:r>
            <w:r>
              <w:rPr>
                <w:rFonts w:hint="eastAsia" w:cs="Times New Roman"/>
                <w:sz w:val="24"/>
                <w:szCs w:val="24"/>
              </w:rPr>
              <w:t>特色产业工程协同创新中心、院士之家、院士专家工作站、博士后科研工作站等引才聚才平台</w:t>
            </w:r>
            <w:r>
              <w:rPr>
                <w:rFonts w:cs="Times New Roman"/>
                <w:sz w:val="24"/>
                <w:szCs w:val="24"/>
              </w:rPr>
              <w:t>建设。</w:t>
            </w:r>
          </w:p>
        </w:tc>
      </w:tr>
    </w:tbl>
    <w:p>
      <w:pPr>
        <w:pStyle w:val="5"/>
        <w:ind w:firstLine="643"/>
      </w:pPr>
      <w:bookmarkStart w:id="42" w:name="_Toc59376370"/>
      <w:bookmarkStart w:id="43" w:name="_Toc14330"/>
      <w:bookmarkStart w:id="44" w:name="_Toc59376377"/>
      <w:bookmarkStart w:id="45" w:name="_Toc59376392"/>
      <w:bookmarkStart w:id="46" w:name="_Toc59376398"/>
      <w:r>
        <w:t>第二章 加快数字乡村建设</w:t>
      </w:r>
      <w:bookmarkEnd w:id="42"/>
      <w:bookmarkEnd w:id="43"/>
    </w:p>
    <w:p>
      <w:pPr>
        <w:ind w:firstLine="600"/>
      </w:pPr>
      <w:r>
        <w:rPr>
          <w:rFonts w:hint="eastAsia"/>
        </w:rPr>
        <w:t>扎实推进国家数字乡村试点，</w:t>
      </w:r>
      <w:r>
        <w:rPr>
          <w:rFonts w:hint="eastAsia" w:ascii="仿宋" w:hAnsi="仿宋"/>
        </w:rPr>
        <w:t>聚焦“数字治理</w:t>
      </w:r>
      <w:r>
        <w:rPr>
          <w:rFonts w:ascii="仿宋" w:hAnsi="仿宋"/>
        </w:rPr>
        <w:t>+数字服务+数字监管+数字文化+数字经济”，</w:t>
      </w:r>
      <w:r>
        <w:t>积极探索武鄂同城化发展背景下的国家数字乡村城乡融合类发展新模式，</w:t>
      </w:r>
      <w:r>
        <w:rPr>
          <w:rFonts w:hint="eastAsia"/>
        </w:rPr>
        <w:t>以数字乡村十大工程为重点，加快推进农业农村现代化建设，开辟城乡融合高质量发展新局面。</w:t>
      </w:r>
    </w:p>
    <w:p>
      <w:pPr>
        <w:pStyle w:val="6"/>
        <w:ind w:firstLine="602"/>
      </w:pPr>
      <w:bookmarkStart w:id="47" w:name="_Toc58254323"/>
      <w:bookmarkStart w:id="48" w:name="_Toc59376371"/>
      <w:bookmarkStart w:id="49" w:name="_Toc24704"/>
      <w:r>
        <w:t>第一节 完善乡村</w:t>
      </w:r>
      <w:r>
        <w:rPr>
          <w:rFonts w:hint="eastAsia"/>
        </w:rPr>
        <w:t>新一代</w:t>
      </w:r>
      <w:r>
        <w:t>信息基础设施</w:t>
      </w:r>
      <w:bookmarkEnd w:id="47"/>
      <w:bookmarkEnd w:id="48"/>
      <w:bookmarkEnd w:id="49"/>
    </w:p>
    <w:p>
      <w:pPr>
        <w:ind w:firstLine="600"/>
      </w:pPr>
      <w:r>
        <w:t>完善农村信息基础设施建设。大力实施城乡信息基础设施提升工程，实现全区4G网络全覆盖，实现所有自然村光网接入能力由百兆升级到千兆。</w:t>
      </w:r>
      <w:r>
        <w:rPr>
          <w:rFonts w:eastAsia="仿宋_GB2312"/>
        </w:rPr>
        <w:t>利用IPTV技术实现数字电视的智能化和智慧化，基本消除</w:t>
      </w:r>
      <w:r>
        <w:t>城乡</w:t>
      </w:r>
      <w:r>
        <w:rPr>
          <w:rFonts w:eastAsia="仿宋_GB2312"/>
        </w:rPr>
        <w:t>间数字鸿沟</w:t>
      </w:r>
      <w:r>
        <w:t>。推动5G移动通信网络在农村地区建设部署，加快实现农村地区光纤宽带网络全面覆盖，持续优化农村宽带网络结构。以4G/5G为基础，推进以NB-IOT为主导的物联网建设。推进智慧电网的建设，提升电网可靠性、安全性、经济性、高效性。推进农村有线电视网络双向化和光纤化改造，建成城乡一体的新一代广播电视网。</w:t>
      </w:r>
    </w:p>
    <w:p>
      <w:pPr>
        <w:ind w:firstLine="600"/>
      </w:pPr>
      <w:r>
        <w:t>推动农村传统基础设施数字化、智能化。大力实施多式联运智慧物流工程，依托三江港国家多式联运示范工程，承接鄂州机场，借助鄂州中部电商基地覆盖能力，融合云计算、大数据、人工智能、物联网、5G等技术，打造涵盖粮食、农副产品大进大出、快进快出的现代化智慧物流基地，支撑滨江临港产业生态新城疫后重振、高质量发展。大力实施智慧水务工程，结合大数据技术，构建水质预警、水位预警等决策支持，实现水污染应急调度、水生态调度、水务工程及设备的自动化控制等管理业务的智能化，建设智慧水务平台</w:t>
      </w:r>
      <w:r>
        <w:rPr>
          <w:rFonts w:hint="eastAsia"/>
        </w:rPr>
        <w:t>。</w:t>
      </w:r>
      <w:r>
        <w:t>构建规划成果管理、治水提质监督考核、黑臭水体整治效果评估、管网建设监督检查和绩效评估、雨污分流监督考核、治水提质项目审批管理、河湖长监督管理和绩效考评，为水生态环境日常管理、应急业务管理和监督考核提供有效支撑。</w:t>
      </w:r>
    </w:p>
    <w:p>
      <w:pPr>
        <w:pStyle w:val="6"/>
        <w:ind w:firstLine="602"/>
      </w:pPr>
      <w:bookmarkStart w:id="50" w:name="_Toc59376372"/>
      <w:bookmarkStart w:id="51" w:name="_Toc26511"/>
      <w:r>
        <w:t>第</w:t>
      </w:r>
      <w:r>
        <w:rPr>
          <w:rFonts w:hint="eastAsia"/>
        </w:rPr>
        <w:t>二</w:t>
      </w:r>
      <w:r>
        <w:t xml:space="preserve">节 </w:t>
      </w:r>
      <w:r>
        <w:rPr>
          <w:rFonts w:hint="eastAsia"/>
        </w:rPr>
        <w:t>构建“三农”信息服务体系</w:t>
      </w:r>
      <w:bookmarkEnd w:id="50"/>
      <w:bookmarkEnd w:id="51"/>
    </w:p>
    <w:p>
      <w:pPr>
        <w:ind w:firstLine="600"/>
      </w:pPr>
      <w:r>
        <w:rPr>
          <w:rFonts w:hint="eastAsia"/>
        </w:rPr>
        <w:t>大力实施“三农”信息便民惠民工程，聚焦农民生产生活实际需求，</w:t>
      </w:r>
      <w:r>
        <w:t>提升精细化管理和人性化服务水平</w:t>
      </w:r>
      <w:r>
        <w:rPr>
          <w:rFonts w:hint="eastAsia"/>
        </w:rPr>
        <w:t>。</w:t>
      </w:r>
    </w:p>
    <w:p>
      <w:pPr>
        <w:ind w:firstLine="600"/>
      </w:pPr>
      <w:r>
        <w:rPr>
          <w:rFonts w:hint="eastAsia"/>
        </w:rPr>
        <w:t>发展“互联网＋农业”。建立华容气象防灾减灾综合监测预警系统。推进“互联网＋医疗健康”，推动远程医疗延伸到乡镇卫生院、村卫生室。</w:t>
      </w:r>
      <w:r>
        <w:t>深化信息惠民服务</w:t>
      </w:r>
      <w:r>
        <w:rPr>
          <w:rFonts w:hint="eastAsia"/>
        </w:rPr>
        <w:t>，</w:t>
      </w:r>
      <w:r>
        <w:t>协同推进教育、生态环保、文化服务、交通运输、快递物流等各领域信息化。</w:t>
      </w:r>
    </w:p>
    <w:p>
      <w:pPr>
        <w:ind w:firstLine="600"/>
      </w:pPr>
      <w:r>
        <w:rPr>
          <w:rFonts w:hint="eastAsia"/>
        </w:rPr>
        <w:t>发展“互联网+教育”。建设华容教育城域网，与鄂州教育城域网完成对接，建成区级教育资源共享平台，实现全区中小学教育资源共建共享；借助优质教育资源，推动城区优质教育资源与乡村中小学对接，消除城乡教育差异。</w:t>
      </w:r>
    </w:p>
    <w:p>
      <w:pPr>
        <w:ind w:firstLine="600"/>
      </w:pPr>
      <w:r>
        <w:rPr>
          <w:rFonts w:hint="eastAsia"/>
        </w:rPr>
        <w:t>发展“互联网+医疗健康”。建设公共卫生服务中心，推进医共体建设，完善医疗急救体系，提高应对突发重大公共卫生事件能力和水平。推行智慧医疗，建设华容远程医疗平台，与市级远程医疗平台对接，提高乡村医院诊疗水平。</w:t>
      </w:r>
    </w:p>
    <w:p>
      <w:pPr>
        <w:pStyle w:val="6"/>
        <w:ind w:firstLine="602"/>
      </w:pPr>
      <w:bookmarkStart w:id="52" w:name="_Toc58254324"/>
      <w:bookmarkStart w:id="53" w:name="_Toc59376373"/>
      <w:bookmarkStart w:id="54" w:name="_Toc28010"/>
      <w:r>
        <w:t>第</w:t>
      </w:r>
      <w:r>
        <w:rPr>
          <w:rFonts w:hint="eastAsia"/>
        </w:rPr>
        <w:t>三</w:t>
      </w:r>
      <w:r>
        <w:t>节 建立</w:t>
      </w:r>
      <w:bookmarkEnd w:id="52"/>
      <w:r>
        <w:rPr>
          <w:rFonts w:hint="eastAsia"/>
        </w:rPr>
        <w:t>设施资源整合共享机制</w:t>
      </w:r>
      <w:bookmarkEnd w:id="53"/>
      <w:bookmarkEnd w:id="54"/>
    </w:p>
    <w:p>
      <w:pPr>
        <w:ind w:firstLine="600"/>
      </w:pPr>
      <w:r>
        <w:rPr>
          <w:rFonts w:hint="eastAsia"/>
        </w:rPr>
        <w:t>大力实施资源整合共享工程，推动产业、民生、治理等领域全面智能化和可持续健康发展，构建共建共享、互联互通的城乡信息化融合发展格局。</w:t>
      </w:r>
    </w:p>
    <w:p>
      <w:pPr>
        <w:ind w:firstLine="600"/>
      </w:pPr>
      <w:r>
        <w:t>建设</w:t>
      </w:r>
      <w:r>
        <w:rPr>
          <w:rFonts w:hint="eastAsia"/>
        </w:rPr>
        <w:t>华容云数据</w:t>
      </w:r>
      <w:r>
        <w:t>中心</w:t>
      </w:r>
      <w:r>
        <w:rPr>
          <w:rFonts w:hint="eastAsia"/>
        </w:rPr>
        <w:t>。</w:t>
      </w:r>
      <w:r>
        <w:rPr>
          <w:rFonts w:hint="eastAsia" w:ascii="仿宋_GB2312" w:hAnsi="仿宋_GB2312" w:eastAsia="仿宋_GB2312" w:cs="仿宋_GB2312"/>
        </w:rPr>
        <w:t>依托省联投建设的省级红莲湖大数据云计算产业园，打通分散涉农信息系统，</w:t>
      </w:r>
      <w:r>
        <w:t>大力推进</w:t>
      </w:r>
      <w:r>
        <w:rPr>
          <w:rFonts w:hint="eastAsia"/>
        </w:rPr>
        <w:t>各</w:t>
      </w:r>
      <w:r>
        <w:t>级各部门业务资源、空间地理信息、遥感影像数据等涉农政务信息资源共享开放、有效整合。</w:t>
      </w:r>
    </w:p>
    <w:p>
      <w:pPr>
        <w:ind w:firstLine="600"/>
      </w:pPr>
      <w:r>
        <w:rPr>
          <w:rFonts w:hint="eastAsia"/>
        </w:rPr>
        <w:t>探索制定城乡信息服务资源整合共享规范。</w:t>
      </w:r>
      <w:r>
        <w:t>充分运用</w:t>
      </w:r>
      <w:r>
        <w:rPr>
          <w:rFonts w:hint="eastAsia" w:ascii="仿宋_GB2312" w:hAnsi="仿宋_GB2312" w:eastAsia="仿宋_GB2312" w:cs="仿宋_GB2312"/>
        </w:rPr>
        <w:t>农业农村、发改经信、交通运输、邮电通信等部门</w:t>
      </w:r>
      <w:r>
        <w:t>已有科技、商务、交通运输、通信、邮政等站点资源，整合利用系统、人员、资金、站址、服务等要素，统筹建设</w:t>
      </w:r>
      <w:r>
        <w:rPr>
          <w:rFonts w:hint="eastAsia"/>
        </w:rPr>
        <w:t>乡村信息服务站点，推广一站多用、一机多用。</w:t>
      </w:r>
    </w:p>
    <w:p>
      <w:pPr>
        <w:pStyle w:val="6"/>
        <w:ind w:firstLine="602"/>
      </w:pPr>
      <w:bookmarkStart w:id="55" w:name="_Toc59376374"/>
      <w:bookmarkStart w:id="56" w:name="_Toc29680"/>
      <w:r>
        <w:t>第</w:t>
      </w:r>
      <w:r>
        <w:rPr>
          <w:rFonts w:hint="eastAsia"/>
        </w:rPr>
        <w:t>四</w:t>
      </w:r>
      <w:r>
        <w:t xml:space="preserve">节 </w:t>
      </w:r>
      <w:r>
        <w:rPr>
          <w:rFonts w:hint="eastAsia"/>
        </w:rPr>
        <w:t>构建城乡社会治理体系</w:t>
      </w:r>
      <w:bookmarkEnd w:id="55"/>
      <w:bookmarkEnd w:id="56"/>
    </w:p>
    <w:p>
      <w:pPr>
        <w:ind w:firstLine="600"/>
      </w:pPr>
      <w:r>
        <w:t>大力实施城乡数字治理创新工程，依托市社会治理网格化管理平台，打造区、乡（镇）、村（社区）、网格四级联动、多元共治、平战结合的城乡社会治理信息化平台及治理体系。</w:t>
      </w:r>
    </w:p>
    <w:p>
      <w:pPr>
        <w:ind w:firstLine="600"/>
      </w:pPr>
      <w:r>
        <w:t>探索乡村数字治理新模式。探索</w:t>
      </w:r>
      <w:r>
        <w:rPr>
          <w:rFonts w:ascii="仿宋" w:hAnsi="仿宋"/>
        </w:rPr>
        <w:t>“互联网＋”</w:t>
      </w:r>
      <w:r>
        <w:t>数字乡村新模式，构建</w:t>
      </w:r>
      <w:r>
        <w:rPr>
          <w:rFonts w:hint="eastAsia"/>
        </w:rPr>
        <w:t>“华容党建云”平台，突出党建引领全覆盖，建设“掌上党支部”“网上村（居）民委员会”和“网上村民议事厅”，</w:t>
      </w:r>
      <w:r>
        <w:t>建成覆盖区、乡（镇）、村（社区）的三级网上基层党组织服务体系。</w:t>
      </w:r>
    </w:p>
    <w:p>
      <w:pPr>
        <w:ind w:firstLine="600"/>
      </w:pPr>
      <w:r>
        <w:t>构建</w:t>
      </w:r>
      <w:r>
        <w:rPr>
          <w:rFonts w:hint="eastAsia"/>
        </w:rPr>
        <w:t>“最多访一次”</w:t>
      </w:r>
      <w:r>
        <w:t>综合治理格局。建立综合性信访综治便民服务中心，统筹布局网格中心、七个专业调解组、视频调度指挥中心、涉法涉诉接待中心、联调中心，实现</w:t>
      </w:r>
      <w:r>
        <w:rPr>
          <w:rFonts w:hint="eastAsia"/>
        </w:rPr>
        <w:t>“一个窗口、多元受理、分流处理、集中反馈”。</w:t>
      </w:r>
    </w:p>
    <w:p>
      <w:pPr>
        <w:ind w:firstLine="600"/>
      </w:pPr>
      <w:r>
        <w:t>推进</w:t>
      </w:r>
      <w:r>
        <w:rPr>
          <w:rFonts w:hint="eastAsia"/>
        </w:rPr>
        <w:t>“互联网＋政务服务”建设。梳理“只跑一次”事项，优化“高频事项一次办”清</w:t>
      </w:r>
      <w:r>
        <w:t>单，细化</w:t>
      </w:r>
      <w:r>
        <w:rPr>
          <w:rFonts w:hint="eastAsia"/>
        </w:rPr>
        <w:t>“马上办、掌上办、就近办、一次办”清单</w:t>
      </w:r>
      <w:r>
        <w:t>，推行实体审批大厅与网上虚拟大厅线上、线下融合，推进政务事项全程在线办理。</w:t>
      </w:r>
    </w:p>
    <w:p>
      <w:pPr>
        <w:ind w:firstLine="600"/>
      </w:pPr>
      <w:r>
        <w:t>全域推进</w:t>
      </w:r>
      <w:r>
        <w:rPr>
          <w:rFonts w:hint="eastAsia"/>
        </w:rPr>
        <w:t>“雪亮工程”</w:t>
      </w:r>
      <w:r>
        <w:t>。整合</w:t>
      </w:r>
      <w:r>
        <w:rPr>
          <w:rFonts w:hint="eastAsia"/>
        </w:rPr>
        <w:t>华容</w:t>
      </w:r>
      <w:r>
        <w:t>视频监控资源，强化视频监控联网共享，建设一体化治安防控体系。</w:t>
      </w:r>
    </w:p>
    <w:p>
      <w:pPr>
        <w:pStyle w:val="6"/>
        <w:ind w:firstLine="602"/>
      </w:pPr>
      <w:bookmarkStart w:id="57" w:name="_Toc58254325"/>
      <w:bookmarkStart w:id="58" w:name="_Toc59376375"/>
      <w:bookmarkStart w:id="59" w:name="_Toc7308"/>
      <w:r>
        <w:t>第</w:t>
      </w:r>
      <w:r>
        <w:rPr>
          <w:rFonts w:hint="eastAsia"/>
        </w:rPr>
        <w:t>五</w:t>
      </w:r>
      <w:r>
        <w:t xml:space="preserve">节 </w:t>
      </w:r>
      <w:r>
        <w:rPr>
          <w:rFonts w:hint="eastAsia"/>
        </w:rPr>
        <w:t>发展</w:t>
      </w:r>
      <w:r>
        <w:t>乡村数字经济新业态</w:t>
      </w:r>
      <w:bookmarkEnd w:id="57"/>
      <w:bookmarkEnd w:id="58"/>
      <w:bookmarkEnd w:id="59"/>
    </w:p>
    <w:p>
      <w:pPr>
        <w:ind w:firstLine="600"/>
        <w:rPr>
          <w:rFonts w:ascii="仿宋_GB2312" w:hAnsi="仿宋_GB2312" w:eastAsia="仿宋_GB2312" w:cs="仿宋_GB2312"/>
          <w:sz w:val="32"/>
          <w:szCs w:val="32"/>
        </w:rPr>
      </w:pPr>
      <w:r>
        <w:rPr>
          <w:rFonts w:hint="eastAsia"/>
        </w:rPr>
        <w:t>大力实施智慧农业示范工程，推动农业生产智能化、经营网络化，提升农业现代化水平。以段店台湾农民创业实验园、夏大湖省级农科院基地、段店依</w:t>
      </w:r>
      <w:r>
        <w:t>波园</w:t>
      </w:r>
      <w:r>
        <w:rPr>
          <w:rFonts w:hint="eastAsia"/>
        </w:rPr>
        <w:t>为示范引领，应用物联网技术，推动农业生产环境自动检测、生产过程自动管理，应用农业农村大数据管理平台，推广农产品溯源管理，打造科技农业、精准农业、定制农业，推动信息化与农机装备、农机作业服务和农机管理融合应用。</w:t>
      </w:r>
      <w:r>
        <w:rPr>
          <w:rFonts w:hint="eastAsia" w:ascii="仿宋_GB2312" w:hAnsi="仿宋_GB2312" w:eastAsia="仿宋_GB2312" w:cs="仿宋_GB2312"/>
        </w:rPr>
        <w:t>以武圣村、百席村等国家级森林乡村为牵引，开设绿色生</w:t>
      </w:r>
      <w:r>
        <w:rPr>
          <w:rFonts w:eastAsia="仿宋_GB2312"/>
        </w:rPr>
        <w:t>态体验VR直播，办好蒲团荷花节、石竹赏花节等系列乡村旅游节会活动，促进农文旅融合发展，打造创意农业、观光农业、都市农业。以杏福农业、源清生物、盛丰渔业等农产品基地为带动，培育一批精致苗木、精细果蔬、精品水产，扶持一批信息化程</w:t>
      </w:r>
      <w:r>
        <w:rPr>
          <w:rFonts w:hint="eastAsia" w:ascii="仿宋_GB2312" w:hAnsi="仿宋_GB2312" w:eastAsia="仿宋_GB2312" w:cs="仿宋_GB2312"/>
        </w:rPr>
        <w:t>度高、示范带动作用强的农业合作组织和经营组织，发挥省级农村电商平台的辐射</w:t>
      </w:r>
      <w:r>
        <w:rPr>
          <w:rFonts w:hint="eastAsia" w:eastAsia="仿宋_GB2312"/>
        </w:rPr>
        <w:t>效应，打造“一镇一特”“一村一品”的特色农业，提高农产品差异化竞争力。</w:t>
      </w:r>
    </w:p>
    <w:p>
      <w:pPr>
        <w:ind w:firstLine="600"/>
        <w:rPr>
          <w:rFonts w:ascii="仿宋_GB2312" w:hAnsi="仿宋_GB2312" w:eastAsia="仿宋_GB2312" w:cs="仿宋_GB2312"/>
        </w:rPr>
      </w:pPr>
      <w:r>
        <w:rPr>
          <w:rFonts w:hint="eastAsia"/>
        </w:rPr>
        <w:t>建设农产品电子商务交易平台。促进形成农产品进城和工业品下乡畅通、线上线下融合的农产品流通体系和现代农村市场体系；推进智慧电商建设，完善区乡村三级物流配送体系，大力发展共同配送，整合邮政、供销、商贸、快递、交通等物流资源，在日用消费品、农资下乡基础上搭载电商快递，整合商流物流统仓共配，提升物流效率，降低物流成本，提升农业经营网络化水平，推动农村一二三产业融合发展。</w:t>
      </w:r>
    </w:p>
    <w:p>
      <w:pPr>
        <w:pStyle w:val="6"/>
        <w:ind w:firstLine="602"/>
      </w:pPr>
      <w:bookmarkStart w:id="60" w:name="_Toc59376376"/>
      <w:bookmarkStart w:id="61" w:name="_Toc8416"/>
      <w:r>
        <w:t>第</w:t>
      </w:r>
      <w:r>
        <w:rPr>
          <w:rFonts w:hint="eastAsia"/>
        </w:rPr>
        <w:t>六</w:t>
      </w:r>
      <w:r>
        <w:t>节 探索</w:t>
      </w:r>
      <w:r>
        <w:rPr>
          <w:rFonts w:hint="eastAsia"/>
        </w:rPr>
        <w:t>数字乡村可持续发展机制</w:t>
      </w:r>
      <w:bookmarkEnd w:id="60"/>
      <w:bookmarkEnd w:id="61"/>
    </w:p>
    <w:p>
      <w:pPr>
        <w:ind w:firstLine="600"/>
      </w:pPr>
      <w:r>
        <w:rPr>
          <w:rFonts w:hint="eastAsia"/>
        </w:rPr>
        <w:t>建立数字乡村发展模式。大力实施智慧扶贫工程，依托“互联网+智能扶贫”平台，抓好网络扶贫行动和数字乡村发展战略的无缝衔接，探索建立与乡村人口知识结构相匹配的数字乡村发展模式。加强对扶贫对象、扶贫措施、扶贫成效的动态化管理和数字化考评，巩固脱贫攻坚成果。实施“互联网带货”计划、“消费扶贫行动”“正能量网红培训计划”，做深做实精准扶贫，探索政府统筹指导、协会组织协调、平台流量助推、志愿服务认领、企业增收反哺、扶志扶智结合的网络扶贫新模式。</w:t>
      </w:r>
    </w:p>
    <w:p>
      <w:pPr>
        <w:ind w:firstLine="600"/>
      </w:pPr>
      <w:r>
        <w:rPr>
          <w:rFonts w:hint="eastAsia"/>
        </w:rPr>
        <w:t>建立智慧生态保护系统。实施智慧生态保护工程，结合环境监管网格，加强城乡工业园区等重点区域进行实时监测，通过人工智能技术，快速定位污染来源，实现精准管理。对接全国农村生态系统监测平台，统筹全区山水林田湖草系统治理数据，强化农田土壤生态环境监测与保护，全面提升美丽乡村建设水平，争创联合国人居环境示范村。强化农村饮用水水源水质监测与保护，引导公众积极参与农村环境网络监督，共同维护绿色生活环境。运用物联网技术，有序推进垃圾分类，引领低碳生活新时尚。</w:t>
      </w:r>
    </w:p>
    <w:p>
      <w:pPr>
        <w:ind w:firstLine="600"/>
      </w:pPr>
      <w:r>
        <w:rPr>
          <w:rFonts w:hint="eastAsia"/>
        </w:rPr>
        <w:t>建设乡村文化振兴示范基地。大力实施乡村网络文化精品工程，利用互联网宣传习近平新时代中国特色社会主义思想，建设互联网助推乡村文化振兴建设示范基地。建好用好新时代文明实践中心和区级融媒体中心、数字广播电视户户通、村村响等平台，推进乡村优秀文化资源数字化，加强农村优秀传统文化的保护与传承，支持“三农”题材网络文化优质内容创作。通过网络开展国家宗教政策宣传普及工作，依法打击农村非法宗教活动及其有组织的渗透活动。加强网络巡查监督，遏制封建迷信、攀比低俗等消极文化的网络传播，预防农村少年儿童沉迷网络。</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widowControl/>
              <w:spacing w:line="400" w:lineRule="exact"/>
              <w:ind w:firstLine="360" w:firstLineChars="0"/>
              <w:jc w:val="center"/>
              <w:rPr>
                <w:rFonts w:cs="Times New Roman"/>
                <w:sz w:val="21"/>
                <w:szCs w:val="21"/>
              </w:rPr>
            </w:pPr>
            <w:r>
              <w:rPr>
                <w:rFonts w:cs="Times New Roman"/>
                <w:b/>
                <w:color w:val="000000"/>
                <w:kern w:val="0"/>
                <w:sz w:val="24"/>
                <w:szCs w:val="24"/>
              </w:rPr>
              <w:t>专栏2-2 加快推进数字乡村建设重点项目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rFonts w:eastAsia="宋体" w:cs="Times New Roman"/>
                <w:sz w:val="21"/>
                <w:szCs w:val="21"/>
              </w:rPr>
            </w:pPr>
            <w:r>
              <w:rPr>
                <w:rFonts w:cs="Times New Roman"/>
                <w:b/>
                <w:sz w:val="24"/>
                <w:szCs w:val="24"/>
              </w:rPr>
              <w:t>城乡基础设施提升工程：</w:t>
            </w:r>
            <w:r>
              <w:rPr>
                <w:rFonts w:cs="Times New Roman"/>
                <w:sz w:val="24"/>
                <w:szCs w:val="24"/>
              </w:rPr>
              <w:t>实现全区4G网络全覆盖，全区所有自然村光网接入能力由百兆升级到千兆。利用IPTV技术实现数字电视的智能化和智慧化，基本消除城乡间数字鸿沟。实现重点区域5G网络深度覆盖，无线接入能力由百兆升级千兆。推进实现以4G/5G为基础、以NB-IOT 为主导的物联网建设，具备千万级物物连接的泛在物联网接入能力；推进智慧电网的建设，实现电网的可靠、安全、经济、高效。</w:t>
            </w:r>
          </w:p>
          <w:p>
            <w:pPr>
              <w:spacing w:line="300" w:lineRule="exact"/>
              <w:ind w:firstLine="482"/>
              <w:rPr>
                <w:rFonts w:eastAsia="宋体" w:cs="Times New Roman"/>
                <w:sz w:val="21"/>
                <w:szCs w:val="21"/>
              </w:rPr>
            </w:pPr>
            <w:r>
              <w:rPr>
                <w:rFonts w:cs="Times New Roman"/>
                <w:b/>
                <w:sz w:val="24"/>
                <w:szCs w:val="24"/>
              </w:rPr>
              <w:t>资源整合共享工程：</w:t>
            </w:r>
            <w:r>
              <w:rPr>
                <w:rFonts w:cs="Times New Roman"/>
                <w:sz w:val="24"/>
                <w:szCs w:val="24"/>
              </w:rPr>
              <w:t>依托省联投建设的省级红莲湖大数据云计算产业园，建设华容云数据中心</w:t>
            </w:r>
            <w:r>
              <w:rPr>
                <w:rFonts w:hint="eastAsia" w:cs="Times New Roman"/>
                <w:sz w:val="24"/>
                <w:szCs w:val="24"/>
              </w:rPr>
              <w:t>、华容区数字乡村工程（一期）</w:t>
            </w:r>
            <w:r>
              <w:rPr>
                <w:rFonts w:cs="Times New Roman"/>
                <w:sz w:val="24"/>
                <w:szCs w:val="24"/>
              </w:rPr>
              <w:t>，探索制定城乡信息服务资源整合共享规范，构建共建共享、互联互通的城乡信息化融合发展格局</w:t>
            </w:r>
            <w:r>
              <w:rPr>
                <w:rFonts w:eastAsia="宋体" w:cs="Times New Roman"/>
                <w:sz w:val="21"/>
                <w:szCs w:val="21"/>
              </w:rPr>
              <w:t>。</w:t>
            </w:r>
          </w:p>
          <w:p>
            <w:pPr>
              <w:spacing w:line="300" w:lineRule="exact"/>
              <w:ind w:firstLine="482"/>
              <w:rPr>
                <w:rFonts w:eastAsia="宋体" w:cs="Times New Roman"/>
                <w:sz w:val="21"/>
                <w:szCs w:val="21"/>
              </w:rPr>
            </w:pPr>
            <w:r>
              <w:rPr>
                <w:rFonts w:cs="Times New Roman"/>
                <w:b/>
                <w:sz w:val="24"/>
                <w:szCs w:val="24"/>
              </w:rPr>
              <w:t>城乡数字治理创新工程：</w:t>
            </w:r>
            <w:r>
              <w:rPr>
                <w:rFonts w:cs="Times New Roman"/>
                <w:sz w:val="24"/>
                <w:szCs w:val="24"/>
              </w:rPr>
              <w:t>依托市社会治理网格化管理平台，打造区、乡（镇）、村（社区）、网格四级联动、多元共治、平战结合的城乡社会治理信息化平台及治理体系，推动资源下沉、力量下沉、服务下沉。</w:t>
            </w:r>
          </w:p>
          <w:p>
            <w:pPr>
              <w:spacing w:line="300" w:lineRule="exact"/>
              <w:ind w:firstLine="482"/>
              <w:rPr>
                <w:rFonts w:eastAsia="宋体" w:cs="Times New Roman"/>
                <w:sz w:val="21"/>
                <w:szCs w:val="21"/>
              </w:rPr>
            </w:pPr>
            <w:r>
              <w:rPr>
                <w:rFonts w:cs="Times New Roman"/>
                <w:b/>
                <w:sz w:val="24"/>
                <w:szCs w:val="24"/>
              </w:rPr>
              <w:t>多式联运智慧物流工程</w:t>
            </w:r>
            <w:r>
              <w:rPr>
                <w:rFonts w:eastAsia="宋体" w:cs="Times New Roman"/>
                <w:sz w:val="21"/>
                <w:szCs w:val="21"/>
              </w:rPr>
              <w:t>：</w:t>
            </w:r>
            <w:r>
              <w:rPr>
                <w:rFonts w:cs="Times New Roman"/>
                <w:sz w:val="24"/>
                <w:szCs w:val="24"/>
              </w:rPr>
              <w:t>依托三江港国家多式联运示范工程，承接鄂州机场，借助鄂州中部电商基地覆盖能力，融合云计算、大数据、人工智能、物联网、5G等技术，打造涵盖粮食、农副产品大进大出、快进快出的现代化智慧物流基地，支撑滨江临港产业生态新城疫后重振、高质量发展。</w:t>
            </w:r>
          </w:p>
          <w:p>
            <w:pPr>
              <w:spacing w:line="300" w:lineRule="exact"/>
              <w:ind w:firstLine="482"/>
              <w:rPr>
                <w:rFonts w:cs="Times New Roman"/>
                <w:sz w:val="24"/>
                <w:szCs w:val="24"/>
              </w:rPr>
            </w:pPr>
            <w:r>
              <w:rPr>
                <w:rFonts w:cs="Times New Roman"/>
                <w:b/>
                <w:sz w:val="24"/>
                <w:szCs w:val="24"/>
              </w:rPr>
              <w:t>智慧农业示范工程：</w:t>
            </w:r>
            <w:r>
              <w:rPr>
                <w:rFonts w:hint="eastAsia" w:cs="Times New Roman"/>
                <w:sz w:val="24"/>
                <w:szCs w:val="24"/>
              </w:rPr>
              <w:t>以段店台湾农民创业实验园、夏大湖省级农科院基地、重点农机合作社为示范引领，打造现代农业；以武圣村、百席村等国家级森林乡村为牵引，打造创意农业、观光农业、都市农业；以杏福农业、源清生物、盛丰渔业等农产品基地为带动，打造“一镇一特”“一村一品”的特色农业。</w:t>
            </w:r>
          </w:p>
          <w:p>
            <w:pPr>
              <w:spacing w:line="300" w:lineRule="exact"/>
              <w:ind w:firstLine="482"/>
              <w:rPr>
                <w:rFonts w:ascii="仿宋" w:hAnsi="仿宋" w:cs="Times New Roman"/>
                <w:sz w:val="24"/>
                <w:szCs w:val="24"/>
              </w:rPr>
            </w:pPr>
            <w:r>
              <w:rPr>
                <w:rFonts w:cs="Times New Roman"/>
                <w:b/>
                <w:sz w:val="24"/>
                <w:szCs w:val="24"/>
              </w:rPr>
              <w:t>智慧扶贫工程：</w:t>
            </w:r>
            <w:r>
              <w:rPr>
                <w:rFonts w:hint="eastAsia" w:ascii="仿宋" w:hAnsi="仿宋" w:cs="Times New Roman"/>
                <w:sz w:val="24"/>
                <w:szCs w:val="24"/>
              </w:rPr>
              <w:t>依托“互联网+智能扶贫”平台，抓好网络扶贫行动和数字乡村发展战略的无缝衔接。依托华容云，建设“扶贫大数据监管”系统和三专一平台，加强对扶贫对象、扶贫措施、扶贫成效的动态化管理和数字化考评，巩固脱贫攻坚成果。</w:t>
            </w:r>
          </w:p>
          <w:p>
            <w:pPr>
              <w:spacing w:line="300" w:lineRule="exact"/>
              <w:ind w:firstLine="482"/>
              <w:rPr>
                <w:rFonts w:eastAsia="宋体" w:cs="Times New Roman"/>
                <w:sz w:val="21"/>
                <w:szCs w:val="21"/>
              </w:rPr>
            </w:pPr>
            <w:r>
              <w:rPr>
                <w:rFonts w:hint="eastAsia" w:ascii="仿宋" w:hAnsi="仿宋" w:cs="仿宋"/>
                <w:b/>
                <w:sz w:val="24"/>
                <w:szCs w:val="24"/>
              </w:rPr>
              <w:t>“三农”信息</w:t>
            </w:r>
            <w:r>
              <w:rPr>
                <w:rFonts w:cs="Times New Roman"/>
                <w:b/>
                <w:sz w:val="24"/>
                <w:szCs w:val="24"/>
              </w:rPr>
              <w:t>便民惠民工程：</w:t>
            </w:r>
            <w:r>
              <w:rPr>
                <w:rFonts w:cs="Times New Roman"/>
                <w:sz w:val="24"/>
                <w:szCs w:val="24"/>
              </w:rPr>
              <w:t>建设</w:t>
            </w:r>
            <w:r>
              <w:rPr>
                <w:rFonts w:hint="eastAsia" w:ascii="仿宋" w:hAnsi="仿宋" w:cs="仿宋"/>
                <w:sz w:val="24"/>
                <w:szCs w:val="24"/>
              </w:rPr>
              <w:t>“数字华容”网上</w:t>
            </w:r>
            <w:r>
              <w:rPr>
                <w:rFonts w:cs="Times New Roman"/>
                <w:sz w:val="24"/>
                <w:szCs w:val="24"/>
              </w:rPr>
              <w:t>便民服务平台，推进医疗、健康、教育、生态环保、文化服务、交通运输、快递物流等领域信息化服务，推动智慧广电公共服务建设，深化信息惠民服务。</w:t>
            </w:r>
          </w:p>
          <w:p>
            <w:pPr>
              <w:spacing w:line="300" w:lineRule="exact"/>
              <w:ind w:firstLine="482"/>
              <w:rPr>
                <w:rFonts w:eastAsia="宋体" w:cs="Times New Roman"/>
                <w:sz w:val="21"/>
                <w:szCs w:val="21"/>
              </w:rPr>
            </w:pPr>
            <w:r>
              <w:rPr>
                <w:rFonts w:cs="Times New Roman"/>
                <w:b/>
                <w:sz w:val="24"/>
                <w:szCs w:val="24"/>
              </w:rPr>
              <w:t>智慧水务工程：</w:t>
            </w:r>
            <w:r>
              <w:rPr>
                <w:rFonts w:cs="Times New Roman"/>
                <w:sz w:val="24"/>
                <w:szCs w:val="24"/>
              </w:rPr>
              <w:t>建设智慧水务平台，全面掌握全区水生态环境现状，结合大数据技术，构建水质预警、水位预警等决策支持，实现水污染应急调度、水生态调度、水务工程及设备的自动化控制等管理业务的智能化。</w:t>
            </w:r>
          </w:p>
          <w:p>
            <w:pPr>
              <w:spacing w:line="300" w:lineRule="exact"/>
              <w:ind w:firstLine="482"/>
              <w:rPr>
                <w:rFonts w:eastAsia="宋体" w:cs="Times New Roman"/>
                <w:sz w:val="21"/>
                <w:szCs w:val="21"/>
              </w:rPr>
            </w:pPr>
            <w:r>
              <w:rPr>
                <w:rFonts w:cs="Times New Roman"/>
                <w:b/>
                <w:sz w:val="24"/>
                <w:szCs w:val="24"/>
              </w:rPr>
              <w:t>智慧生态保护工程：</w:t>
            </w:r>
            <w:r>
              <w:rPr>
                <w:rFonts w:cs="Times New Roman"/>
                <w:sz w:val="24"/>
                <w:szCs w:val="24"/>
              </w:rPr>
              <w:t>建设全区智慧生态保护系统，结合环境监管网格，对城乡工业园区等重点区域进行实时监测，通过人工智能技术，快速定位污染来源，实现精准管理。</w:t>
            </w:r>
          </w:p>
          <w:p>
            <w:pPr>
              <w:spacing w:line="300" w:lineRule="exact"/>
              <w:ind w:firstLine="482"/>
              <w:rPr>
                <w:rFonts w:eastAsia="宋体" w:cs="Times New Roman"/>
                <w:sz w:val="21"/>
                <w:szCs w:val="21"/>
              </w:rPr>
            </w:pPr>
            <w:r>
              <w:rPr>
                <w:rFonts w:cs="Times New Roman"/>
                <w:b/>
                <w:sz w:val="24"/>
                <w:szCs w:val="24"/>
              </w:rPr>
              <w:t>乡村网络文化精品工程：</w:t>
            </w:r>
            <w:r>
              <w:rPr>
                <w:rFonts w:hint="eastAsia" w:cs="Times New Roman"/>
                <w:sz w:val="24"/>
                <w:szCs w:val="24"/>
              </w:rPr>
              <w:t>重点</w:t>
            </w:r>
            <w:r>
              <w:rPr>
                <w:rFonts w:cs="Times New Roman"/>
                <w:sz w:val="24"/>
                <w:szCs w:val="24"/>
              </w:rPr>
              <w:t>建设互联网助推乡村文化振兴建设示范基地。建好用好新时代文明实践中心和区级融媒体中心、数字广播电视户户通、村村响等平台，推进乡村优秀文化资源数字化，加强农村优秀传统文化的保护与传承，大力宣传中华优秀农耕文化。</w:t>
            </w:r>
          </w:p>
        </w:tc>
      </w:tr>
      <w:bookmarkEnd w:id="44"/>
    </w:tbl>
    <w:p>
      <w:pPr>
        <w:pStyle w:val="5"/>
        <w:ind w:firstLine="643"/>
      </w:pPr>
      <w:bookmarkStart w:id="62" w:name="_Toc59785857"/>
      <w:bookmarkStart w:id="63" w:name="_Toc16730"/>
      <w:r>
        <w:t>第三章 构建现代化经济体系</w:t>
      </w:r>
      <w:bookmarkEnd w:id="62"/>
      <w:bookmarkEnd w:id="63"/>
    </w:p>
    <w:p>
      <w:pPr>
        <w:ind w:firstLine="600"/>
        <w:rPr>
          <w:rFonts w:cs="Times New Roman"/>
        </w:rPr>
      </w:pPr>
      <w:r>
        <w:rPr>
          <w:rFonts w:cs="Times New Roman"/>
        </w:rPr>
        <w:t>以产业绿色高质量发展为目标，积极对接东湖高新区，</w:t>
      </w:r>
      <w:r>
        <w:rPr>
          <w:rFonts w:hint="eastAsia" w:cs="Times New Roman"/>
        </w:rPr>
        <w:t>深度融入</w:t>
      </w:r>
      <w:r>
        <w:rPr>
          <w:rFonts w:cs="Times New Roman"/>
        </w:rPr>
        <w:t>大武汉，</w:t>
      </w:r>
      <w:bookmarkStart w:id="64" w:name="_Hlk58852369"/>
      <w:r>
        <w:rPr>
          <w:rFonts w:cs="Times New Roman"/>
        </w:rPr>
        <w:t>大力实</w:t>
      </w:r>
      <w:r>
        <w:rPr>
          <w:rFonts w:hint="eastAsia" w:cs="Times New Roman"/>
        </w:rPr>
        <w:t>施“四新经济”</w:t>
      </w:r>
      <w:r>
        <w:rPr>
          <w:rFonts w:cs="Times New Roman"/>
        </w:rPr>
        <w:t>培育工程</w:t>
      </w:r>
      <w:bookmarkEnd w:id="64"/>
      <w:r>
        <w:rPr>
          <w:rFonts w:hint="eastAsia" w:cs="Times New Roman"/>
        </w:rPr>
        <w:t>，</w:t>
      </w:r>
      <w:r>
        <w:rPr>
          <w:rFonts w:cs="Times New Roman"/>
        </w:rPr>
        <w:t>推动产业迈向中高端水平，构建技术含量高、创新能力强、环境友好的现代产业新体系，完</w:t>
      </w:r>
      <w:r>
        <w:rPr>
          <w:rFonts w:hint="eastAsia" w:cs="Times New Roman"/>
        </w:rPr>
        <w:t>成“钢城”向“港城”转型</w:t>
      </w:r>
      <w:r>
        <w:rPr>
          <w:rFonts w:cs="Times New Roman"/>
        </w:rPr>
        <w:t>。</w:t>
      </w:r>
    </w:p>
    <w:p>
      <w:pPr>
        <w:pStyle w:val="6"/>
        <w:ind w:firstLine="602"/>
      </w:pPr>
      <w:bookmarkStart w:id="65" w:name="_Toc58254327"/>
      <w:bookmarkStart w:id="66" w:name="_Toc59785858"/>
      <w:bookmarkStart w:id="67" w:name="_Toc59376378"/>
      <w:bookmarkStart w:id="68" w:name="_Toc8126"/>
      <w:r>
        <w:t>第一节 大力培育战略性新兴产业</w:t>
      </w:r>
      <w:bookmarkEnd w:id="65"/>
      <w:bookmarkEnd w:id="66"/>
      <w:bookmarkEnd w:id="67"/>
      <w:bookmarkEnd w:id="68"/>
    </w:p>
    <w:p>
      <w:pPr>
        <w:ind w:firstLine="600"/>
        <w:rPr>
          <w:rFonts w:cs="Times New Roman"/>
        </w:rPr>
      </w:pPr>
      <w:r>
        <w:rPr>
          <w:rFonts w:hint="eastAsia" w:cs="Times New Roman"/>
        </w:rPr>
        <w:t>全力发展电子信息产业。依托光谷科创大走廊，主动融入武汉科技创新体系和跨区域协同创新链条，全力发展新兴信息技术产业。全力打造武鄂融合创“芯”示范区，承接国家存储器项目辐射，依托中国地质大学纳米矿物材料应用工程研究中心科研资源，重点发展集成电路方向的芯片设计。加快发展智能终端产品制造，以富晶电子、彤诺电子为重点，承接科学岛大科学装置项目辐射，依托华中科技大学光电信息研究院科研资源，重点发展通信电子方向的光通信、5G通信。健全“光芯屏端网”企业链条，依托现有新型信息产业发展基础，加快招商引资，补齐上中下游缺失环，推动武鄂同“芯”协力、同“屏”共振。延伸“光芯屏端网”产业链，培育构建新经济发展应用场景，发展平台经济、共享经济、数字经济、宅经济等新模式新业态，助力武鄂创建新型数字经济共同体。实施“5G+工业互联网”工程，推动中小微企业“上云用数赋智”，培育一批示范性云平台和云应用标杆企业。</w:t>
      </w:r>
    </w:p>
    <w:p>
      <w:pPr>
        <w:ind w:firstLine="600"/>
        <w:rPr>
          <w:rFonts w:cs="Times New Roman"/>
        </w:rPr>
      </w:pPr>
      <w:r>
        <w:rPr>
          <w:rFonts w:hint="eastAsia" w:cs="Times New Roman"/>
        </w:rPr>
        <w:t>打造大数据云计算新兴产业集群。紧密对接光谷产业和创新资源，以红莲湖大数据云计算产业园为核心，打造鄂州对接光谷科技创新大走廊的“桥头堡”，以大数据与云计算、5G通信网络、网络信息安全产品和服务等新一代信息技术产业为核心，延伸带动智能终端、人工智能、数字经济等相关行业细分领域，打造战略性新兴产业集群。</w:t>
      </w:r>
    </w:p>
    <w:p>
      <w:pPr>
        <w:ind w:firstLine="600"/>
        <w:rPr>
          <w:rFonts w:cs="Times New Roman"/>
        </w:rPr>
      </w:pPr>
      <w:r>
        <w:rPr>
          <w:rFonts w:cs="Times New Roman"/>
          <w:bCs/>
        </w:rPr>
        <w:t>积极发展</w:t>
      </w:r>
      <w:r>
        <w:rPr>
          <w:rFonts w:hint="eastAsia" w:cs="Times New Roman"/>
          <w:bCs/>
        </w:rPr>
        <w:t>先进装备</w:t>
      </w:r>
      <w:r>
        <w:rPr>
          <w:rFonts w:cs="Times New Roman"/>
          <w:bCs/>
        </w:rPr>
        <w:t>制造业。推动制造业强链、补链、固链、延链，推动信息技术、智能技术和制造业深度融合，培育</w:t>
      </w:r>
      <w:r>
        <w:rPr>
          <w:rFonts w:hint="eastAsia" w:cs="Times New Roman"/>
          <w:bCs/>
        </w:rPr>
        <w:t>先进装备</w:t>
      </w:r>
      <w:r>
        <w:rPr>
          <w:rFonts w:cs="Times New Roman"/>
          <w:bCs/>
        </w:rPr>
        <w:t>制造业集群。</w:t>
      </w:r>
      <w:r>
        <w:rPr>
          <w:rFonts w:cs="Times New Roman"/>
        </w:rPr>
        <w:t>推动装备制造业品质向前迈进，大力改造传统装备制造产业，重点招引智能装备制造龙头企业及上下游产业链企业，设立</w:t>
      </w:r>
      <w:r>
        <w:rPr>
          <w:rFonts w:hint="eastAsia" w:cs="Times New Roman"/>
        </w:rPr>
        <w:t>先进</w:t>
      </w:r>
      <w:r>
        <w:rPr>
          <w:rFonts w:cs="Times New Roman"/>
        </w:rPr>
        <w:t>装备制造产业生态园</w:t>
      </w:r>
      <w:r>
        <w:rPr>
          <w:rFonts w:hint="eastAsia" w:cs="Times New Roman"/>
        </w:rPr>
        <w:t>，坚持高端“质造”</w:t>
      </w:r>
      <w:r>
        <w:rPr>
          <w:rFonts w:cs="Times New Roman"/>
        </w:rPr>
        <w:t>。促进装备制造业结构向上攀升，抢抓武汉创建国家科技创新中心契机，开展校企合作，加快智能装备重点实验室建设布局</w:t>
      </w:r>
      <w:r>
        <w:rPr>
          <w:rFonts w:hint="eastAsia" w:cs="Times New Roman"/>
        </w:rPr>
        <w:t>，突出创新“制造”</w:t>
      </w:r>
      <w:r>
        <w:rPr>
          <w:rFonts w:cs="Times New Roman"/>
        </w:rPr>
        <w:t>。加快装备制造业能级向心集聚，以智能化设计制造技术为核心，重点推动</w:t>
      </w:r>
      <w:r>
        <w:rPr>
          <w:rFonts w:hint="eastAsia" w:cs="Times New Roman"/>
        </w:rPr>
        <w:t>华中数控高端智能装备产业园、船舶航天部件装备智能制造、敏锐机械智能制造车间项目</w:t>
      </w:r>
      <w:r>
        <w:rPr>
          <w:rFonts w:cs="Times New Roman"/>
        </w:rPr>
        <w:t>，注重精准</w:t>
      </w:r>
      <w:r>
        <w:rPr>
          <w:rFonts w:hint="eastAsia" w:cs="Times New Roman"/>
        </w:rPr>
        <w:t>“智造”。</w:t>
      </w:r>
    </w:p>
    <w:p>
      <w:pPr>
        <w:ind w:firstLine="600"/>
        <w:rPr>
          <w:rFonts w:cs="Times New Roman"/>
        </w:rPr>
      </w:pPr>
      <w:r>
        <w:rPr>
          <w:rFonts w:cs="Times New Roman"/>
          <w:bCs/>
        </w:rPr>
        <w:t>大力发展</w:t>
      </w:r>
      <w:r>
        <w:rPr>
          <w:rFonts w:hint="eastAsia" w:cs="Times New Roman"/>
          <w:bCs/>
        </w:rPr>
        <w:t>大健康</w:t>
      </w:r>
      <w:r>
        <w:rPr>
          <w:rFonts w:cs="Times New Roman"/>
          <w:bCs/>
        </w:rPr>
        <w:t>产业。</w:t>
      </w:r>
      <w:r>
        <w:rPr>
          <w:rFonts w:cs="Times New Roman"/>
        </w:rPr>
        <w:t>依托武汉大健康产业核心集聚区，</w:t>
      </w:r>
      <w:r>
        <w:rPr>
          <w:rFonts w:hint="eastAsia" w:cs="Times New Roman"/>
        </w:rPr>
        <w:t>以湖北强康药业为龙头，重点发展医疗医药、养老养生等健康产业新业态，开发全生命周期康养产品，形成“医、养、健、食、管”大健康全产业链</w:t>
      </w:r>
      <w:r>
        <w:rPr>
          <w:rFonts w:cs="Times New Roman"/>
        </w:rPr>
        <w:t>。</w:t>
      </w:r>
      <w:r>
        <w:rPr>
          <w:rFonts w:hint="eastAsia" w:cs="Times New Roman"/>
        </w:rPr>
        <w:t>加快红莲湖国际医疗中心、康养小镇建设，</w:t>
      </w:r>
      <w:r>
        <w:rPr>
          <w:rFonts w:cs="Times New Roman"/>
        </w:rPr>
        <w:t>打造</w:t>
      </w:r>
      <w:r>
        <w:rPr>
          <w:rFonts w:hint="eastAsia" w:cs="Times New Roman"/>
        </w:rPr>
        <w:t>医疗康养</w:t>
      </w:r>
      <w:r>
        <w:rPr>
          <w:rFonts w:cs="Times New Roman"/>
        </w:rPr>
        <w:t>产业核心。</w:t>
      </w:r>
      <w:r>
        <w:rPr>
          <w:rFonts w:hint="eastAsia" w:cs="Times New Roman"/>
        </w:rPr>
        <w:t>依托鄂州机场航空货运优势，</w:t>
      </w:r>
      <w:bookmarkStart w:id="69" w:name="_Hlk58852721"/>
      <w:r>
        <w:rPr>
          <w:rFonts w:cs="Times New Roman"/>
        </w:rPr>
        <w:t>规划大健康产业园区，</w:t>
      </w:r>
      <w:bookmarkEnd w:id="69"/>
      <w:r>
        <w:rPr>
          <w:rFonts w:cs="Times New Roman"/>
        </w:rPr>
        <w:t>完善硬件设施配套</w:t>
      </w:r>
      <w:r>
        <w:rPr>
          <w:rFonts w:hint="eastAsia" w:cs="Times New Roman"/>
        </w:rPr>
        <w:t>，引导湖北医用资源集聚华容。</w:t>
      </w:r>
      <w:r>
        <w:rPr>
          <w:rFonts w:cs="Times New Roman"/>
        </w:rPr>
        <w:t>积极招商引资，坚持</w:t>
      </w:r>
      <w:r>
        <w:rPr>
          <w:rFonts w:hint="eastAsia" w:cs="Times New Roman"/>
        </w:rPr>
        <w:t>“一企一策”“领导包保”，</w:t>
      </w:r>
      <w:r>
        <w:rPr>
          <w:rFonts w:cs="Times New Roman"/>
        </w:rPr>
        <w:t>引进一批生物医药健康生产企业、科研团队以及研发中心落户华容</w:t>
      </w:r>
      <w:r>
        <w:rPr>
          <w:rFonts w:hint="eastAsia" w:cs="Times New Roman"/>
        </w:rPr>
        <w:t>，大力发展高端药研发、生物药制造、医疗器械制造</w:t>
      </w:r>
      <w:r>
        <w:rPr>
          <w:rFonts w:cs="Times New Roman"/>
        </w:rPr>
        <w:t>。创新招商模式，撬动社会资本参与大健康产业，</w:t>
      </w:r>
      <w:bookmarkStart w:id="70" w:name="_Hlk58852735"/>
      <w:r>
        <w:rPr>
          <w:rFonts w:cs="Times New Roman"/>
        </w:rPr>
        <w:t>全力打造武鄂</w:t>
      </w:r>
      <w:r>
        <w:rPr>
          <w:rFonts w:hint="eastAsia" w:cs="Times New Roman"/>
        </w:rPr>
        <w:t>大健康产业</w:t>
      </w:r>
      <w:r>
        <w:rPr>
          <w:rFonts w:cs="Times New Roman"/>
        </w:rPr>
        <w:t>发展新高地。</w:t>
      </w:r>
      <w:bookmarkEnd w:id="70"/>
    </w:p>
    <w:p>
      <w:pPr>
        <w:pStyle w:val="6"/>
        <w:ind w:firstLine="602"/>
        <w:rPr>
          <w:color w:val="000000" w:themeColor="text1"/>
          <w14:textFill>
            <w14:solidFill>
              <w14:schemeClr w14:val="tx1"/>
            </w14:solidFill>
          </w14:textFill>
        </w:rPr>
      </w:pPr>
      <w:bookmarkStart w:id="71" w:name="_Toc58254328"/>
      <w:bookmarkStart w:id="72" w:name="_Toc59376379"/>
      <w:bookmarkStart w:id="73" w:name="_Toc59785859"/>
      <w:bookmarkStart w:id="74" w:name="_Toc11400"/>
      <w:r>
        <w:rPr>
          <w:color w:val="000000" w:themeColor="text1"/>
          <w14:textFill>
            <w14:solidFill>
              <w14:schemeClr w14:val="tx1"/>
            </w14:solidFill>
          </w14:textFill>
        </w:rPr>
        <w:t>第二节 加快传统产业转型升级</w:t>
      </w:r>
      <w:bookmarkEnd w:id="71"/>
      <w:bookmarkEnd w:id="72"/>
      <w:bookmarkEnd w:id="73"/>
      <w:bookmarkEnd w:id="74"/>
    </w:p>
    <w:p>
      <w:pPr>
        <w:ind w:firstLine="600"/>
        <w:rPr>
          <w:rFonts w:cs="Times New Roman"/>
          <w:bCs/>
        </w:rPr>
      </w:pPr>
      <w:r>
        <w:rPr>
          <w:rFonts w:hint="eastAsia" w:cs="Times New Roman"/>
          <w:bCs/>
        </w:rPr>
        <w:t>全面推动建材行业创新转型发展。传统建材行业以环保、节能、智能为引领，开发可持续利用的新型建材产品，以智能自动化全面引领建材行业的转型升级和科技创新，组建以三和管桩、华宇昌泰、华恒景利、鼎润环保科技、瑞胜建材等企业为代表的建材行业协会，内强质量，外抓宣传，形成合力，共同推进高分子复合管材、高端低能耗管桩、新型墙体材料向“技术优势”“规模优势”发展，共同打造武汉城市圈有影响力的新型建材产业集聚区。</w:t>
      </w:r>
    </w:p>
    <w:p>
      <w:pPr>
        <w:ind w:firstLine="600"/>
        <w:rPr>
          <w:rFonts w:cs="Times New Roman"/>
          <w:bCs/>
        </w:rPr>
      </w:pPr>
      <w:r>
        <w:rPr>
          <w:rFonts w:hint="eastAsia" w:cs="Times New Roman"/>
          <w:bCs/>
        </w:rPr>
        <w:t>鼓励钢铁行业绿色转型发展。积极推行钢铁产业低碳绿色发展，着力推进工艺结构调整和工艺技术进步，将转型重点放在优化总量、循环发展、绿色低碳等方面，实现企业与社会、环境、城市的共融共存。鼓励鸿泰钢铁顺应国家绿色制造体系建设要求，加大资金投入提升生产装备水平，优化工艺流程，减少污染物排放，按照减量置换原则开展绿色示范工厂建设，在绿色环保方面可实现大飞跃，达到工业废水零排放、固体废渣100%循环利用，大幅降低能耗，管理人员及辅助生产人员吨钢成本降低30%以上的发展目标。</w:t>
      </w:r>
    </w:p>
    <w:p>
      <w:pPr>
        <w:ind w:firstLine="600"/>
        <w:rPr>
          <w:rFonts w:cs="Times New Roman"/>
          <w:bCs/>
        </w:rPr>
      </w:pPr>
      <w:r>
        <w:rPr>
          <w:rFonts w:hint="eastAsia" w:cs="Times New Roman"/>
          <w:bCs/>
        </w:rPr>
        <w:t>打造铝质软管产业集群。把好品质关，鼓励胜利软管</w:t>
      </w:r>
      <w:r>
        <w:rPr>
          <w:rFonts w:cs="Times New Roman"/>
          <w:bCs/>
        </w:rPr>
        <w:t>、再越软管、鑫吉药包、丽美等</w:t>
      </w:r>
      <w:r>
        <w:rPr>
          <w:rFonts w:hint="eastAsia" w:cs="Times New Roman"/>
          <w:bCs/>
        </w:rPr>
        <w:t>企业参与质量管理体系认证，支持企业通过国家标准、欧美标准的达标验收，实现高质量标准。加大自动化、智能化设备投入力度，淘汰部分落后产能，走中高端医用软管发展之路。鼓励企业参与专利申请，提升软管企业科技创新竞争能力，形成致力于成为全球知名的专业铝质软管供应商。</w:t>
      </w:r>
    </w:p>
    <w:p>
      <w:pPr>
        <w:ind w:firstLine="600"/>
      </w:pPr>
      <w:r>
        <w:rPr>
          <w:rFonts w:hint="eastAsia"/>
        </w:rPr>
        <w:t>打造高质量发展的纺织服装产业。鼓励企业制定国际先进企业产品质量标准，树立质量标杆企业和典范企业，推动产品向中高端、专用型迈进，在行业内成为可学习、可模仿的示范。引导企业树立商标意识和品牌意识，鼓励企业争创中国名牌产品、中国驰名商标。做好企业扶持，帮助企业扩大产能抢占国际市场。发挥龙头企业枫树线业的示范带领作用，实现纺织行业向智能化全面升级。鼓励服装行业做大做强，引导纺织服装企业运用新技术、新业态、新模式，引领制衣行业向自动化、智能化发展，通过重组并购等模式，快速实现品牌化。</w:t>
      </w:r>
    </w:p>
    <w:p>
      <w:pPr>
        <w:pStyle w:val="6"/>
        <w:ind w:firstLine="602"/>
      </w:pPr>
      <w:bookmarkStart w:id="75" w:name="_Toc59785860"/>
      <w:bookmarkStart w:id="76" w:name="_Toc58254329"/>
      <w:bookmarkStart w:id="77" w:name="_Toc59376380"/>
      <w:bookmarkStart w:id="78" w:name="_Toc6135"/>
      <w:r>
        <w:t>第三节 全面推动现代服务业提质增效</w:t>
      </w:r>
      <w:bookmarkEnd w:id="75"/>
      <w:bookmarkEnd w:id="76"/>
      <w:bookmarkEnd w:id="77"/>
      <w:bookmarkEnd w:id="78"/>
    </w:p>
    <w:p>
      <w:pPr>
        <w:ind w:firstLine="600"/>
        <w:rPr>
          <w:rFonts w:cs="Times New Roman"/>
        </w:rPr>
      </w:pPr>
      <w:r>
        <w:rPr>
          <w:rFonts w:hint="eastAsia" w:cs="Times New Roman"/>
        </w:rPr>
        <w:t>发展现代物流业。加快三江港区集装箱、散货件、矿石、大宗商品等港区建设，推动甩挂物流中心、现代仓储中心、港区转运中心及中央服务区发展，打造三江港现代物流园。紧盯国内外知名物流企业，着力引进具有代表性的物流仓储项目，重点引进产品智能仓库、智能可追溯系统、可视化智能管理网络系统、智能化企业物流配送中心和智慧供应链系统项目，打造智慧物流新生态。大力推进三江港枢纽集疏运基地、鄂州市三江港冷链物流基地项目建设，发展特色物流，完善物流服务网络，形成“以港促产、以产兴城、港产城融合发展”的良性格局，打造三江港长江现代物流聚集示范区。</w:t>
      </w:r>
    </w:p>
    <w:p>
      <w:pPr>
        <w:ind w:firstLine="600"/>
        <w:rPr>
          <w:rFonts w:cs="Times New Roman"/>
        </w:rPr>
      </w:pPr>
      <w:r>
        <w:rPr>
          <w:rFonts w:hint="eastAsia" w:cs="Times New Roman"/>
        </w:rPr>
        <w:t>发展商务会展业。大力发展总部经济、共享经济、平台经济和楼宇经济，积极引进跨国公司总部、金融机构总部和区域性功能性总部，努力打造具有区域影响力的总部基地。加快红莲湖恒大国际会展中心和三江港华中企业总部建设，着力培育和引进一批国际性机构、会展项目和会展企业，打造区域性会展中心。利用红莲湖大数据中心搭建会展服务平台，依托邻近武汉区位优势发展会展咨询服务。</w:t>
      </w:r>
    </w:p>
    <w:p>
      <w:pPr>
        <w:ind w:firstLine="600"/>
        <w:rPr>
          <w:rFonts w:cs="Times New Roman"/>
        </w:rPr>
      </w:pPr>
      <w:r>
        <w:rPr>
          <w:rFonts w:hint="eastAsia" w:cs="Times New Roman"/>
        </w:rPr>
        <w:t>发展金融服务业。培育金融要素市场，加快发展风投创投、融资租赁等金融业态，重点推进庙岭金融小镇建设，更好服务实体经济，培植经济新增长点。健全金融组织体系，积极引进跨国公司总部、金融机构总部和区域性功能性总部，重点引进全国性股份制银行等有实力的银行来华容设立分支机构，引进民间资金和金融资本入股壮大地方金融机构，促进小额贷款公司、典当行等非存款类放贷组织规范发展。优化金融发展环境，健全守信激励和失信惩戒机制，严厉打击恶意逃废银行债务行为，清理规范各类金融机构，盘活各类资产资源。完善金融扶持政策，强化财政资金杠杆作用，综合运用风险补偿、奖励补助等多种手段，促进金融业创新发展。加大信贷投放政策扶持，鼓励和引导银行业金融机构加大信贷投放力度，建立财政资源与信贷政策挂钩的激励机制。</w:t>
      </w:r>
    </w:p>
    <w:p>
      <w:pPr>
        <w:ind w:firstLine="600"/>
        <w:rPr>
          <w:rFonts w:cs="Times New Roman"/>
        </w:rPr>
      </w:pPr>
      <w:r>
        <w:rPr>
          <w:rFonts w:hint="eastAsia" w:cs="Times New Roman"/>
        </w:rPr>
        <w:t>发展信息服务业。依托国家数字乡村建设试点，建立有线、无线相结合的全网信息网络，强化基础设施建设。推进“互联网</w:t>
      </w:r>
      <w:r>
        <w:rPr>
          <w:rFonts w:cs="Times New Roman"/>
        </w:rPr>
        <w:t>+</w:t>
      </w:r>
      <w:r>
        <w:rPr>
          <w:rFonts w:hint="eastAsia" w:cs="Times New Roman"/>
        </w:rPr>
        <w:t>”新业态，加快服务业数字化、标准化、品牌化，推动现代服务业同先进制造业、现代农业深度融合。着力发展工业设计，强化与高校和科研院所合作，推动工业设计产学研一体化发展，发展研发设计服务。依托红莲湖大数据中心，鼓励应用大数据资源，实现与</w:t>
      </w:r>
      <w:r>
        <w:rPr>
          <w:rFonts w:cs="Times New Roman"/>
        </w:rPr>
        <w:t>金融、物流、交通、制造等深度融合，</w:t>
      </w:r>
      <w:r>
        <w:rPr>
          <w:rFonts w:hint="eastAsia" w:cs="Times New Roman"/>
        </w:rPr>
        <w:t>率先启动智慧城市、智慧金融、智慧物流、智慧交通应用</w:t>
      </w:r>
      <w:r>
        <w:rPr>
          <w:rFonts w:cs="Times New Roman"/>
        </w:rPr>
        <w:t>。</w:t>
      </w:r>
    </w:p>
    <w:p>
      <w:pPr>
        <w:ind w:firstLine="600"/>
        <w:rPr>
          <w:rFonts w:cs="Times New Roman"/>
        </w:rPr>
      </w:pPr>
      <w:r>
        <w:rPr>
          <w:rFonts w:hint="eastAsia" w:cs="Times New Roman"/>
        </w:rPr>
        <w:t>发展生活服务业。着力推进生活服务业向品质化、精细化、便利化发展，满足人民群众多样化生活需要。支持华容商品</w:t>
      </w:r>
      <w:r>
        <w:rPr>
          <w:rFonts w:cs="Times New Roman"/>
        </w:rPr>
        <w:t>大世界改造，建设商业综合体。</w:t>
      </w:r>
      <w:r>
        <w:rPr>
          <w:rFonts w:hint="eastAsia" w:cs="Times New Roman"/>
        </w:rPr>
        <w:t>培育员工制家政服务企业、发展多样化消费需求餐饮、强化城镇商圈功能、打造区、镇、村三级物流服务网络，推动家政服务、餐饮服务、住宿服务、商贸物流服务等重点领域提质。充分考虑蔬菜零售、便利店（社区超市）、早餐、快递、便民维修、家政服务等基本便民商业服务设施的公益属性，全面落实居住公共服务设施配置指标，规范服务设施建设。鼓励发展城市共同配送服务，培育“网上菜场”“网上餐厅”“网上超市”，创新服务模式。推进服务业标准化发展</w:t>
      </w:r>
      <w:r>
        <w:rPr>
          <w:rFonts w:cs="Times New Roman"/>
        </w:rPr>
        <w:t>，</w:t>
      </w:r>
      <w:r>
        <w:rPr>
          <w:rFonts w:hint="eastAsia" w:cs="Times New Roman"/>
        </w:rPr>
        <w:t>在餐饮、住宿、家政等重点领域实施服务质量提升工程和服务标杆引领计划，培育华容品牌。</w:t>
      </w:r>
    </w:p>
    <w:p>
      <w:pPr>
        <w:ind w:firstLine="600"/>
        <w:rPr>
          <w:rFonts w:cs="Times New Roman"/>
        </w:rPr>
      </w:pPr>
      <w:r>
        <w:rPr>
          <w:rFonts w:hint="eastAsia" w:cs="Times New Roman"/>
        </w:rPr>
        <w:t>发展康养旅游产业。重点发展休闲度假旅游，做好恒大童世界大型文化旅游综合体、融创</w:t>
      </w:r>
      <w:r>
        <w:rPr>
          <w:rFonts w:cs="Times New Roman"/>
        </w:rPr>
        <w:t>雪世界</w:t>
      </w:r>
      <w:r>
        <w:rPr>
          <w:rFonts w:hint="eastAsia" w:cs="Times New Roman"/>
        </w:rPr>
        <w:t>等</w:t>
      </w:r>
      <w:r>
        <w:rPr>
          <w:rFonts w:cs="Times New Roman"/>
        </w:rPr>
        <w:t>重点文旅</w:t>
      </w:r>
      <w:r>
        <w:rPr>
          <w:rFonts w:hint="eastAsia" w:cs="Times New Roman"/>
        </w:rPr>
        <w:t>项目建设, 打造全球规模最大、档次最高、配套最全的世界级文化旅游胜地。鼓励发展农村田园康养旅游，以台创园生态农业为基础，以田园康养为核心，导入文创、休闲、运动等产业，打造集“耕、食、游、教、养、居”等功能于一体的田园综合体，建设乡村振兴的示范基地。建设现代城际颐养产业，推行乡村旅游和红色旅游，打造好油菜花、桃花、荷花“三花节”，推广吃、住、行、养、护、医、学、娱、游的“九位一体”老年颐养服务，实现休闲养老、医养养老、旅居养老等产业全面发展壮大。</w:t>
      </w:r>
    </w:p>
    <w:p>
      <w:pPr>
        <w:pStyle w:val="6"/>
        <w:ind w:firstLine="602"/>
      </w:pPr>
      <w:bookmarkStart w:id="79" w:name="_Toc59785861"/>
      <w:bookmarkStart w:id="80" w:name="_Toc58254330"/>
      <w:bookmarkStart w:id="81" w:name="_Toc59376381"/>
      <w:bookmarkStart w:id="82" w:name="_Toc17206"/>
      <w:r>
        <w:t>第四节 加快</w:t>
      </w:r>
      <w:r>
        <w:rPr>
          <w:rFonts w:hint="eastAsia"/>
        </w:rPr>
        <w:t>产业</w:t>
      </w:r>
      <w:r>
        <w:t>园区提档升级</w:t>
      </w:r>
      <w:bookmarkEnd w:id="79"/>
      <w:bookmarkEnd w:id="80"/>
      <w:bookmarkEnd w:id="81"/>
      <w:bookmarkEnd w:id="82"/>
    </w:p>
    <w:p>
      <w:pPr>
        <w:ind w:firstLine="600"/>
        <w:rPr>
          <w:rFonts w:cs="Times New Roman"/>
        </w:rPr>
      </w:pPr>
      <w:r>
        <w:rPr>
          <w:rFonts w:cs="Times New Roman"/>
        </w:rPr>
        <w:t>完善园区功能。高标准推进</w:t>
      </w:r>
      <w:r>
        <w:rPr>
          <w:rFonts w:hint="eastAsia" w:cs="Times New Roman"/>
        </w:rPr>
        <w:t>产业园区建设，加快完善产业园区基础设施和生活配套功能，为发展“大产业”奠定基础。坚持工业向园区集中，企业向园区聚集，要素向园区集结，功能向园区集成，以红莲湖大数据云计算产业园、三江港现代物流园、枫树纺织科技园、三和管桩装配式建筑产业园等为重点，提高工业园区发展水平和空间集约化程度。加强工厂绿化建设，整治厂容厂貌，建设美丽工厂。推进园区污水处理厂、道路管网、能源供应等建设，不断完善园区基础设施。加快供水供电、污水处理、废弃物处理、物流配送等配套设施建设，打造高标准产业园区。发展基金、财政资金奖补政策，开辟企业服务直通车绿色通道，落实税收优惠和贷款贴息政策，完善园区政策配套。加快建设绿色工厂和绿色工业园区，实现生产方式绿色化清洁化。</w:t>
      </w:r>
    </w:p>
    <w:p>
      <w:pPr>
        <w:ind w:firstLine="600"/>
        <w:rPr>
          <w:rFonts w:cs="Times New Roman"/>
          <w:color w:val="000000"/>
        </w:rPr>
      </w:pPr>
      <w:r>
        <w:rPr>
          <w:rFonts w:cs="Times New Roman"/>
        </w:rPr>
        <w:t>建设智慧园区。</w:t>
      </w:r>
      <w:r>
        <w:rPr>
          <w:rFonts w:hint="eastAsia" w:cs="Times New Roman"/>
        </w:rPr>
        <w:t>加强产业园区信息化建设，重点推进智慧园区项目，打造智慧交通、智慧社区、智慧商业等信息化配套。构建安全高效的园区信息化网络，坚持产城融合、生态智慧园区建设，推进园区基础设施信息化改造，实现光纤高速宽带网络全覆盖，合理布局建设5</w:t>
      </w:r>
      <w:r>
        <w:rPr>
          <w:rFonts w:cs="Times New Roman"/>
        </w:rPr>
        <w:t>G</w:t>
      </w:r>
      <w:r>
        <w:rPr>
          <w:rFonts w:hint="eastAsia" w:cs="Times New Roman"/>
        </w:rPr>
        <w:t>基站。建立集约共享园区信息资源利用体系，促进园区信息资源一体化整合，推进园区及企业间信息共享，实现园区内产业的链式构建、企业的规模构建，打造园区统一的宣传和招商平台。健全园区管理和运行机制，整合园区监管中心、服务平台、园区管理平台，构建园区电子政务服务管理平台。推进“企业上云”工程，</w:t>
      </w:r>
      <w:r>
        <w:rPr>
          <w:rFonts w:hint="eastAsia" w:cs="Times New Roman"/>
          <w:color w:val="000000"/>
        </w:rPr>
        <w:t>以鄂州工业云基地项目为重点，与红莲湖大数据云计算产业园携手打造工业互联网平台，推动中小微企业“上云用数赋智”，培育一批示范性云平台和云应用标杆企业，完善武鄂工业互联网产业生态。</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sz w:val="24"/>
                <w:szCs w:val="24"/>
              </w:rPr>
            </w:pPr>
            <w:r>
              <w:rPr>
                <w:rFonts w:cs="Times New Roman"/>
                <w:b/>
                <w:color w:val="000000"/>
                <w:kern w:val="0"/>
                <w:sz w:val="24"/>
                <w:szCs w:val="24"/>
              </w:rPr>
              <w:t>专栏2-3 构建现代化</w:t>
            </w:r>
            <w:r>
              <w:rPr>
                <w:rFonts w:hint="eastAsia" w:cs="Times New Roman"/>
                <w:b/>
                <w:color w:val="000000"/>
                <w:kern w:val="0"/>
                <w:sz w:val="24"/>
                <w:szCs w:val="24"/>
              </w:rPr>
              <w:t>经济体系重点项目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296" w:type="dxa"/>
          </w:tcPr>
          <w:p>
            <w:pPr>
              <w:spacing w:line="240" w:lineRule="auto"/>
              <w:ind w:firstLine="482"/>
              <w:rPr>
                <w:rFonts w:cs="Times New Roman"/>
                <w:sz w:val="24"/>
                <w:szCs w:val="24"/>
              </w:rPr>
            </w:pPr>
            <w:r>
              <w:rPr>
                <w:rFonts w:cs="Times New Roman"/>
                <w:b/>
                <w:bCs/>
                <w:sz w:val="24"/>
                <w:szCs w:val="24"/>
              </w:rPr>
              <w:t>新兴产业：</w:t>
            </w:r>
            <w:r>
              <w:rPr>
                <w:rFonts w:cs="Times New Roman"/>
                <w:sz w:val="24"/>
                <w:szCs w:val="24"/>
              </w:rPr>
              <w:t>重点实施红莲湖大数据云计算产业园</w:t>
            </w:r>
            <w:r>
              <w:rPr>
                <w:rFonts w:hint="eastAsia" w:cs="Times New Roman"/>
                <w:sz w:val="24"/>
                <w:szCs w:val="24"/>
              </w:rPr>
              <w:t>、双冀光通信及5G配套产业园、富晶电子移动通信一体化加工</w:t>
            </w:r>
            <w:r>
              <w:rPr>
                <w:rFonts w:cs="Times New Roman"/>
                <w:sz w:val="24"/>
                <w:szCs w:val="24"/>
              </w:rPr>
              <w:t>、</w:t>
            </w:r>
            <w:r>
              <w:rPr>
                <w:rFonts w:hint="eastAsia" w:cs="Times New Roman"/>
                <w:sz w:val="24"/>
                <w:szCs w:val="24"/>
              </w:rPr>
              <w:t>华中数控高端智能装备产业园、</w:t>
            </w:r>
            <w:r>
              <w:rPr>
                <w:rFonts w:cs="Times New Roman"/>
                <w:sz w:val="24"/>
                <w:szCs w:val="24"/>
              </w:rPr>
              <w:t>船舶航天部件装备智能制造、彤翰电子产业园二期工程等项目。</w:t>
            </w:r>
          </w:p>
          <w:p>
            <w:pPr>
              <w:spacing w:line="240" w:lineRule="auto"/>
              <w:ind w:firstLine="482"/>
              <w:rPr>
                <w:rFonts w:cs="Times New Roman"/>
                <w:sz w:val="24"/>
                <w:szCs w:val="24"/>
              </w:rPr>
            </w:pPr>
            <w:r>
              <w:rPr>
                <w:rFonts w:cs="Times New Roman"/>
                <w:b/>
                <w:bCs/>
                <w:sz w:val="24"/>
                <w:szCs w:val="24"/>
              </w:rPr>
              <w:t>传统产业：</w:t>
            </w:r>
            <w:r>
              <w:rPr>
                <w:rFonts w:cs="Times New Roman"/>
                <w:sz w:val="24"/>
                <w:szCs w:val="24"/>
              </w:rPr>
              <w:t>加快发展新型功能材料、积极发展半导体新材料、新能源材料、生态环境材料等新材料产业，鼓励纺织服装企业运用新技术、新业态、新模式，促进建材、纺织服装等传统产业转型升级。重点实施</w:t>
            </w:r>
            <w:r>
              <w:rPr>
                <w:rFonts w:hint="eastAsia" w:cs="Times New Roman"/>
                <w:sz w:val="24"/>
                <w:szCs w:val="24"/>
              </w:rPr>
              <w:t>三和管桩装配式建筑、鼎功ALC装配式板材、瑞胜ALC装配式板材、湖北鸿茂矿渣微粉有限公司技改扩规项目、敏锐机械智能制造车间、</w:t>
            </w:r>
            <w:r>
              <w:rPr>
                <w:rFonts w:cs="Times New Roman"/>
                <w:sz w:val="24"/>
                <w:szCs w:val="24"/>
              </w:rPr>
              <w:t>鸿泰钢铁绿色工厂、湖北枫树纺织科技产业园、湖北华宇昌泰科技园等项目。</w:t>
            </w:r>
          </w:p>
          <w:p>
            <w:pPr>
              <w:spacing w:line="240" w:lineRule="auto"/>
              <w:ind w:firstLine="482"/>
              <w:rPr>
                <w:rFonts w:cs="Times New Roman"/>
                <w:sz w:val="24"/>
                <w:szCs w:val="24"/>
              </w:rPr>
            </w:pPr>
            <w:r>
              <w:rPr>
                <w:rFonts w:cs="Times New Roman"/>
                <w:b/>
                <w:bCs/>
                <w:sz w:val="24"/>
                <w:szCs w:val="24"/>
              </w:rPr>
              <w:t>服务业：</w:t>
            </w:r>
            <w:r>
              <w:rPr>
                <w:rFonts w:cs="Times New Roman"/>
                <w:color w:val="000000" w:themeColor="text1"/>
                <w:sz w:val="24"/>
                <w:szCs w:val="24"/>
                <w14:textFill>
                  <w14:solidFill>
                    <w14:schemeClr w14:val="tx1"/>
                  </w14:solidFill>
                </w14:textFill>
              </w:rPr>
              <w:t>全面推进</w:t>
            </w:r>
            <w:r>
              <w:rPr>
                <w:rFonts w:hint="eastAsia" w:cs="Times New Roman"/>
                <w:color w:val="000000" w:themeColor="text1"/>
                <w:sz w:val="24"/>
                <w:szCs w:val="24"/>
                <w14:textFill>
                  <w14:solidFill>
                    <w14:schemeClr w14:val="tx1"/>
                  </w14:solidFill>
                </w14:textFill>
              </w:rPr>
              <w:t>现代物流业</w:t>
            </w: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商务会展业、</w:t>
            </w:r>
            <w:r>
              <w:rPr>
                <w:rFonts w:cs="Times New Roman"/>
                <w:color w:val="000000" w:themeColor="text1"/>
                <w:sz w:val="24"/>
                <w:szCs w:val="24"/>
                <w14:textFill>
                  <w14:solidFill>
                    <w14:schemeClr w14:val="tx1"/>
                  </w14:solidFill>
                </w14:textFill>
              </w:rPr>
              <w:t>金融服务业、</w:t>
            </w:r>
            <w:r>
              <w:rPr>
                <w:rFonts w:hint="eastAsia" w:cs="Times New Roman"/>
                <w:color w:val="000000" w:themeColor="text1"/>
                <w:sz w:val="24"/>
                <w:szCs w:val="24"/>
                <w14:textFill>
                  <w14:solidFill>
                    <w14:schemeClr w14:val="tx1"/>
                  </w14:solidFill>
                </w14:textFill>
              </w:rPr>
              <w:t>信息服务业</w:t>
            </w:r>
            <w:r>
              <w:rPr>
                <w:rFonts w:cs="Times New Roman"/>
                <w:color w:val="000000" w:themeColor="text1"/>
                <w:sz w:val="24"/>
                <w:szCs w:val="24"/>
                <w14:textFill>
                  <w14:solidFill>
                    <w14:schemeClr w14:val="tx1"/>
                  </w14:solidFill>
                </w14:textFill>
              </w:rPr>
              <w:t>、</w:t>
            </w:r>
            <w:r>
              <w:rPr>
                <w:rFonts w:hint="eastAsia" w:cs="Times New Roman"/>
                <w:color w:val="000000" w:themeColor="text1"/>
                <w:sz w:val="24"/>
                <w:szCs w:val="24"/>
                <w14:textFill>
                  <w14:solidFill>
                    <w14:schemeClr w14:val="tx1"/>
                  </w14:solidFill>
                </w14:textFill>
              </w:rPr>
              <w:t>生活服务业、康养旅游产业</w:t>
            </w:r>
            <w:r>
              <w:rPr>
                <w:rFonts w:cs="Times New Roman"/>
                <w:color w:val="000000" w:themeColor="text1"/>
                <w:sz w:val="24"/>
                <w:szCs w:val="24"/>
                <w14:textFill>
                  <w14:solidFill>
                    <w14:schemeClr w14:val="tx1"/>
                  </w14:solidFill>
                </w14:textFill>
              </w:rPr>
              <w:t>发展，推动生产服务业向专业化和价值链高端化延伸、生活服务业向精细化和高品质转变</w:t>
            </w:r>
            <w:r>
              <w:rPr>
                <w:rFonts w:cs="Times New Roman"/>
                <w:sz w:val="24"/>
                <w:szCs w:val="24"/>
              </w:rPr>
              <w:t>，推进服务业比重提高、结构优化、竞争力提升。</w:t>
            </w:r>
            <w:r>
              <w:rPr>
                <w:rFonts w:hint="eastAsia" w:cs="Times New Roman"/>
                <w:sz w:val="24"/>
                <w:szCs w:val="24"/>
              </w:rPr>
              <w:t>重点</w:t>
            </w:r>
            <w:r>
              <w:rPr>
                <w:rFonts w:cs="Times New Roman"/>
                <w:sz w:val="24"/>
                <w:szCs w:val="24"/>
              </w:rPr>
              <w:t>实施</w:t>
            </w:r>
            <w:r>
              <w:rPr>
                <w:rFonts w:hint="eastAsia" w:cs="Times New Roman"/>
                <w:sz w:val="24"/>
                <w:szCs w:val="24"/>
              </w:rPr>
              <w:t>恒大文化旅游综合体、融创</w:t>
            </w:r>
            <w:r>
              <w:rPr>
                <w:rFonts w:cs="Times New Roman"/>
                <w:sz w:val="24"/>
                <w:szCs w:val="24"/>
              </w:rPr>
              <w:t>智慧旅游城、</w:t>
            </w:r>
            <w:r>
              <w:rPr>
                <w:rFonts w:hint="eastAsia" w:cs="Times New Roman"/>
                <w:sz w:val="24"/>
                <w:szCs w:val="24"/>
              </w:rPr>
              <w:t>三江港</w:t>
            </w:r>
            <w:r>
              <w:rPr>
                <w:rFonts w:cs="Times New Roman"/>
                <w:sz w:val="24"/>
                <w:szCs w:val="24"/>
              </w:rPr>
              <w:t>现代企业总部、</w:t>
            </w:r>
            <w:r>
              <w:rPr>
                <w:rFonts w:hint="eastAsia" w:cs="Times New Roman"/>
                <w:sz w:val="24"/>
                <w:szCs w:val="24"/>
              </w:rPr>
              <w:t>三江港交通产业园、青年公社、三和华中区域结算中心、华容区城市商贸综合体等重点</w:t>
            </w:r>
            <w:r>
              <w:rPr>
                <w:rFonts w:cs="Times New Roman"/>
                <w:sz w:val="24"/>
                <w:szCs w:val="24"/>
              </w:rPr>
              <w:t>项目</w:t>
            </w:r>
            <w:r>
              <w:rPr>
                <w:rFonts w:hint="eastAsia" w:cs="Times New Roman"/>
                <w:sz w:val="24"/>
                <w:szCs w:val="24"/>
              </w:rPr>
              <w:t>。</w:t>
            </w:r>
          </w:p>
          <w:p>
            <w:pPr>
              <w:spacing w:line="240" w:lineRule="auto"/>
              <w:ind w:firstLine="482"/>
              <w:rPr>
                <w:rFonts w:cs="Times New Roman"/>
                <w:color w:val="FF0000"/>
                <w:sz w:val="24"/>
                <w:szCs w:val="24"/>
              </w:rPr>
            </w:pPr>
            <w:r>
              <w:rPr>
                <w:rFonts w:hint="eastAsia" w:cs="Times New Roman"/>
                <w:b/>
                <w:bCs/>
                <w:sz w:val="24"/>
                <w:szCs w:val="24"/>
              </w:rPr>
              <w:t>产业</w:t>
            </w:r>
            <w:r>
              <w:rPr>
                <w:rFonts w:cs="Times New Roman"/>
                <w:b/>
                <w:bCs/>
                <w:sz w:val="24"/>
                <w:szCs w:val="24"/>
              </w:rPr>
              <w:t>园区建设：</w:t>
            </w:r>
            <w:r>
              <w:rPr>
                <w:rFonts w:hint="eastAsia" w:cs="Times New Roman"/>
                <w:sz w:val="24"/>
                <w:szCs w:val="24"/>
              </w:rPr>
              <w:t>高标准推进产业园区建设，加快完善产业园区基础设施和生活配套功能，推动信息化、智能化改造。重点实施枫树纺织科技园、智慧园区、三和管桩装配式建筑产业园、鄂州工业云基地、韵达鄂州华容产业园、科前生物科技园、华容生态科技产业新城、凯峰鑫通园区。</w:t>
            </w:r>
          </w:p>
        </w:tc>
      </w:tr>
    </w:tbl>
    <w:p>
      <w:pPr>
        <w:pStyle w:val="4"/>
        <w:spacing w:before="408" w:after="408"/>
        <w:ind w:firstLine="640"/>
      </w:pPr>
      <w:bookmarkStart w:id="83" w:name="_Toc20485"/>
      <w:r>
        <w:t>第三篇 建设枢纽新华容，打造武鄂同城化发展重要节点</w:t>
      </w:r>
      <w:bookmarkEnd w:id="83"/>
    </w:p>
    <w:p>
      <w:pPr>
        <w:ind w:firstLine="600"/>
      </w:pPr>
      <w:r>
        <w:rPr>
          <w:rFonts w:hint="eastAsia"/>
        </w:rPr>
        <w:t>依托国家多式联运示范工程和光谷科创大走廊，加快铁路、公路、水运等交通网络建设，加快与武汉东湖高新区无缝对接，大力发展枢纽经济，全面提升对外开放水平，成为辐射内陆、通江达海的沿江开放新高地</w:t>
      </w:r>
      <w:r>
        <w:t>。</w:t>
      </w:r>
    </w:p>
    <w:p>
      <w:pPr>
        <w:pStyle w:val="5"/>
        <w:ind w:firstLine="643"/>
      </w:pPr>
      <w:bookmarkStart w:id="84" w:name="_Toc59376383"/>
      <w:bookmarkStart w:id="85" w:name="_Toc14437"/>
      <w:r>
        <w:t>第一章 打造国家多式联运示范区</w:t>
      </w:r>
      <w:bookmarkEnd w:id="84"/>
      <w:bookmarkEnd w:id="85"/>
    </w:p>
    <w:p>
      <w:pPr>
        <w:ind w:firstLine="600"/>
      </w:pPr>
      <w:r>
        <w:rPr>
          <w:rFonts w:hint="eastAsia"/>
        </w:rPr>
        <w:t>完善互联互通交通体系，</w:t>
      </w:r>
      <w:r>
        <w:t>充分</w:t>
      </w:r>
      <w:r>
        <w:rPr>
          <w:rFonts w:hint="eastAsia"/>
        </w:rPr>
        <w:t>发挥华容“铁水公空”多式联运优势，推动“水港、陆港、空港”三港联动，</w:t>
      </w:r>
      <w:r>
        <w:t>发展</w:t>
      </w:r>
      <w:r>
        <w:rPr>
          <w:rFonts w:hint="eastAsia" w:ascii="仿宋" w:hAnsi="仿宋" w:cs="仿宋"/>
        </w:rPr>
        <w:t>“通道+枢纽+网络”的现代物</w:t>
      </w:r>
      <w:r>
        <w:t>流体系，</w:t>
      </w:r>
      <w:r>
        <w:rPr>
          <w:rFonts w:hint="eastAsia"/>
        </w:rPr>
        <w:t>打造</w:t>
      </w:r>
      <w:r>
        <w:t>国家多式联运示范区</w:t>
      </w:r>
      <w:r>
        <w:rPr>
          <w:rFonts w:hint="eastAsia"/>
        </w:rPr>
        <w:t>，推动华容</w:t>
      </w:r>
      <w:r>
        <w:t>成为辐射内陆、通江达海的沿江开放新高地。</w:t>
      </w:r>
    </w:p>
    <w:p>
      <w:pPr>
        <w:pStyle w:val="6"/>
        <w:ind w:firstLine="602"/>
      </w:pPr>
      <w:bookmarkStart w:id="86" w:name="_Toc59376384"/>
      <w:bookmarkStart w:id="87" w:name="_Toc25486"/>
      <w:r>
        <w:t>第一节 完善互联互通交通体系</w:t>
      </w:r>
      <w:bookmarkEnd w:id="86"/>
      <w:bookmarkEnd w:id="87"/>
    </w:p>
    <w:p>
      <w:pPr>
        <w:ind w:firstLine="600"/>
      </w:pPr>
      <w:r>
        <w:rPr>
          <w:rFonts w:hint="eastAsia"/>
        </w:rPr>
        <w:t>紧密</w:t>
      </w:r>
      <w:r>
        <w:t>衔接鄂州航空枢纽</w:t>
      </w:r>
      <w:r>
        <w:rPr>
          <w:rFonts w:hint="eastAsia"/>
        </w:rPr>
        <w:t>、武汉</w:t>
      </w:r>
      <w:r>
        <w:t>长江航运中心，加快</w:t>
      </w:r>
      <w:r>
        <w:rPr>
          <w:rFonts w:hint="eastAsia"/>
        </w:rPr>
        <w:t>公路、铁路、水运等</w:t>
      </w:r>
      <w:r>
        <w:t>交通网络建设，构建对内高效畅通、对外方便快捷的现代交通体系。</w:t>
      </w:r>
      <w:r>
        <w:rPr>
          <w:rFonts w:hint="eastAsia"/>
        </w:rPr>
        <w:t>加快打通连接武汉东湖高新区的未来三路、高新四路、新城大道与未来三路连接线、高新大道东延线，积极推进新港高速公路，推进建设新城大道、临江大道、疏港二路、疏港三路、疏港五路、高新六路东段延伸工程、辉煌大道等道路，加快实施庙岭收费站改扩建，对接武汉双柳长江大桥、武阳高速、鄂咸高速建设，积极承接武汉地铁11号线延伸工程和武汉地铁30号线红莲湖段建设，承接打造武汉城市圈“1小时通勤圈”。积极推动客运站项目建设，完善区域公共交通，贯通葛店、鄂城、梁子湖、临空经济区，优化华容区域内部环线，提升交通互联互通能力。</w:t>
      </w:r>
      <w:r>
        <w:rPr>
          <w:rFonts w:ascii="仿宋" w:hAnsi="仿宋"/>
        </w:rPr>
        <w:t>加快推进</w:t>
      </w:r>
      <w:r>
        <w:rPr>
          <w:rFonts w:hint="eastAsia" w:ascii="仿宋" w:hAnsi="仿宋"/>
        </w:rPr>
        <w:t>三江港集装箱及笨重货物铁路专用线</w:t>
      </w:r>
      <w:r>
        <w:rPr>
          <w:rFonts w:ascii="仿宋" w:hAnsi="仿宋"/>
        </w:rPr>
        <w:t>建设，扩大铁路网的覆盖和服务范围，推进大宗货物及中长距离货物运输向铁路转移，有效提升铁路运输能力和铁路货运服务水平</w:t>
      </w:r>
      <w:r>
        <w:rPr>
          <w:rFonts w:hint="eastAsia" w:ascii="仿宋" w:hAnsi="仿宋"/>
        </w:rPr>
        <w:t>，</w:t>
      </w:r>
      <w:r>
        <w:t>为完善公铁水联运综合运输体系提供良好的铁路运输保障。打造畅通绿色的高等级内河航道网，积极对接武汉长江中游航运中心建设，积极推进</w:t>
      </w:r>
      <w:r>
        <w:rPr>
          <w:rFonts w:hint="eastAsia"/>
        </w:rPr>
        <w:t>三江港综合码头一期工程、鄂钢长航战备码头、三江港沥青码头、鄂州港三江港区一类水运口岸</w:t>
      </w:r>
      <w:r>
        <w:t>等项目建设，合理利用岸线资源，提升航道通航能力，大力发展江海直达和江海联运，为</w:t>
      </w:r>
      <w:r>
        <w:rPr>
          <w:rFonts w:hint="eastAsia"/>
        </w:rPr>
        <w:t>国家多式联运示范区</w:t>
      </w:r>
      <w:r>
        <w:t>提供良好的水运条件。</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专栏3-1  多式联运大通道项目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241" w:firstLineChars="100"/>
              <w:rPr>
                <w:rFonts w:eastAsia="楷体" w:cs="Times New Roman"/>
                <w:b/>
                <w:sz w:val="24"/>
                <w:szCs w:val="24"/>
              </w:rPr>
            </w:pPr>
            <w:r>
              <w:rPr>
                <w:rFonts w:eastAsia="楷体" w:cs="Times New Roman"/>
                <w:b/>
                <w:sz w:val="24"/>
                <w:szCs w:val="24"/>
              </w:rPr>
              <w:t>（一）公路</w:t>
            </w:r>
          </w:p>
          <w:p>
            <w:pPr>
              <w:spacing w:line="240" w:lineRule="auto"/>
              <w:ind w:firstLine="482"/>
              <w:rPr>
                <w:rFonts w:cs="Times New Roman"/>
                <w:sz w:val="24"/>
                <w:szCs w:val="24"/>
              </w:rPr>
            </w:pPr>
            <w:r>
              <w:rPr>
                <w:rFonts w:cs="Times New Roman"/>
                <w:b/>
                <w:sz w:val="24"/>
                <w:szCs w:val="24"/>
              </w:rPr>
              <w:t>高速公路：</w:t>
            </w:r>
            <w:r>
              <w:rPr>
                <w:rFonts w:cs="Times New Roman"/>
                <w:sz w:val="24"/>
                <w:szCs w:val="24"/>
              </w:rPr>
              <w:t>重点推进新港高速公路。</w:t>
            </w:r>
          </w:p>
          <w:p>
            <w:pPr>
              <w:spacing w:line="240" w:lineRule="auto"/>
              <w:ind w:firstLine="482"/>
              <w:rPr>
                <w:rFonts w:cs="Times New Roman"/>
                <w:sz w:val="24"/>
                <w:szCs w:val="24"/>
              </w:rPr>
            </w:pPr>
            <w:r>
              <w:rPr>
                <w:rFonts w:cs="Times New Roman"/>
                <w:b/>
                <w:sz w:val="24"/>
                <w:szCs w:val="24"/>
              </w:rPr>
              <w:t>普通公路：</w:t>
            </w:r>
            <w:r>
              <w:rPr>
                <w:rFonts w:cs="Times New Roman"/>
                <w:sz w:val="24"/>
                <w:szCs w:val="24"/>
              </w:rPr>
              <w:t>重点实施</w:t>
            </w:r>
            <w:r>
              <w:rPr>
                <w:rFonts w:hint="eastAsia" w:cs="Times New Roman"/>
                <w:sz w:val="24"/>
                <w:szCs w:val="24"/>
              </w:rPr>
              <w:t>未来三路、高新四路、新城大道、临江大道、疏港二路、疏港三路、疏港五路、高新六路东段延伸工程、</w:t>
            </w:r>
            <w:r>
              <w:rPr>
                <w:rFonts w:cs="Times New Roman"/>
                <w:sz w:val="24"/>
                <w:szCs w:val="24"/>
              </w:rPr>
              <w:t>辉煌大道</w:t>
            </w:r>
            <w:r>
              <w:rPr>
                <w:rFonts w:hint="eastAsia" w:cs="Times New Roman"/>
                <w:sz w:val="24"/>
                <w:szCs w:val="24"/>
              </w:rPr>
              <w:t>、新城大道与未来三路连接线、高新大道东延线、庙岭收费站改扩建。</w:t>
            </w:r>
          </w:p>
          <w:p>
            <w:pPr>
              <w:spacing w:line="240" w:lineRule="auto"/>
              <w:ind w:firstLine="241" w:firstLineChars="100"/>
              <w:rPr>
                <w:rFonts w:eastAsia="楷体" w:cs="Times New Roman"/>
                <w:b/>
                <w:sz w:val="24"/>
                <w:szCs w:val="24"/>
              </w:rPr>
            </w:pPr>
            <w:r>
              <w:rPr>
                <w:rFonts w:eastAsia="楷体" w:cs="Times New Roman"/>
                <w:b/>
                <w:sz w:val="24"/>
                <w:szCs w:val="24"/>
              </w:rPr>
              <w:t>（二）铁路</w:t>
            </w:r>
          </w:p>
          <w:p>
            <w:pPr>
              <w:spacing w:line="240" w:lineRule="auto"/>
              <w:ind w:firstLine="482"/>
              <w:rPr>
                <w:rFonts w:cs="Times New Roman"/>
                <w:sz w:val="24"/>
                <w:szCs w:val="24"/>
              </w:rPr>
            </w:pPr>
            <w:r>
              <w:rPr>
                <w:rFonts w:cs="Times New Roman"/>
                <w:b/>
                <w:sz w:val="24"/>
                <w:szCs w:val="24"/>
              </w:rPr>
              <w:t>货运铁路：</w:t>
            </w:r>
            <w:r>
              <w:rPr>
                <w:rFonts w:cs="Times New Roman"/>
                <w:sz w:val="24"/>
                <w:szCs w:val="24"/>
              </w:rPr>
              <w:t>推动建设</w:t>
            </w:r>
            <w:r>
              <w:rPr>
                <w:rFonts w:hint="eastAsia" w:cs="Times New Roman"/>
                <w:sz w:val="24"/>
                <w:szCs w:val="24"/>
              </w:rPr>
              <w:t>三江港集装箱及笨重货物铁路专用线、</w:t>
            </w:r>
            <w:r>
              <w:rPr>
                <w:rFonts w:cs="Times New Roman"/>
                <w:sz w:val="24"/>
                <w:szCs w:val="24"/>
              </w:rPr>
              <w:t>公铁物流园</w:t>
            </w:r>
            <w:r>
              <w:rPr>
                <w:rFonts w:hint="eastAsia" w:cs="Times New Roman"/>
                <w:sz w:val="24"/>
                <w:szCs w:val="24"/>
              </w:rPr>
              <w:t>。</w:t>
            </w:r>
          </w:p>
          <w:p>
            <w:pPr>
              <w:spacing w:line="240" w:lineRule="auto"/>
              <w:ind w:firstLine="482"/>
              <w:rPr>
                <w:rFonts w:cs="Times New Roman"/>
                <w:sz w:val="24"/>
                <w:szCs w:val="24"/>
              </w:rPr>
            </w:pPr>
            <w:r>
              <w:rPr>
                <w:rFonts w:cs="Times New Roman"/>
                <w:b/>
                <w:sz w:val="24"/>
                <w:szCs w:val="24"/>
              </w:rPr>
              <w:t>城市轨道交通：</w:t>
            </w:r>
            <w:r>
              <w:rPr>
                <w:rFonts w:hint="eastAsia" w:cs="Times New Roman"/>
                <w:bCs/>
                <w:sz w:val="24"/>
                <w:szCs w:val="24"/>
              </w:rPr>
              <w:t>承接武汉地铁11号线延伸工程；</w:t>
            </w:r>
            <w:r>
              <w:rPr>
                <w:rFonts w:cs="Times New Roman"/>
                <w:bCs/>
                <w:sz w:val="24"/>
                <w:szCs w:val="24"/>
              </w:rPr>
              <w:t>谋</w:t>
            </w:r>
            <w:r>
              <w:rPr>
                <w:rFonts w:cs="Times New Roman"/>
                <w:sz w:val="24"/>
                <w:szCs w:val="24"/>
              </w:rPr>
              <w:t>划建设红莲湖轨道交通（武汉地铁30号线鄂州红莲湖段）。</w:t>
            </w:r>
          </w:p>
          <w:p>
            <w:pPr>
              <w:spacing w:line="240" w:lineRule="auto"/>
              <w:ind w:firstLine="241" w:firstLineChars="100"/>
              <w:rPr>
                <w:rFonts w:eastAsia="楷体" w:cs="Times New Roman"/>
                <w:b/>
                <w:sz w:val="24"/>
                <w:szCs w:val="24"/>
              </w:rPr>
            </w:pPr>
            <w:r>
              <w:rPr>
                <w:rFonts w:eastAsia="楷体" w:cs="Times New Roman"/>
                <w:b/>
                <w:sz w:val="24"/>
                <w:szCs w:val="24"/>
              </w:rPr>
              <w:t>（三）水运</w:t>
            </w:r>
          </w:p>
          <w:p>
            <w:pPr>
              <w:spacing w:line="240" w:lineRule="auto"/>
              <w:ind w:firstLine="482"/>
              <w:rPr>
                <w:rFonts w:cs="Times New Roman"/>
                <w:sz w:val="24"/>
                <w:szCs w:val="24"/>
              </w:rPr>
            </w:pPr>
            <w:r>
              <w:rPr>
                <w:rFonts w:cs="Times New Roman"/>
                <w:b/>
                <w:sz w:val="24"/>
                <w:szCs w:val="24"/>
              </w:rPr>
              <w:t>港口建设：</w:t>
            </w:r>
            <w:r>
              <w:rPr>
                <w:rFonts w:cs="Times New Roman"/>
                <w:sz w:val="24"/>
                <w:szCs w:val="24"/>
              </w:rPr>
              <w:t>推动三江港综合码头一期工程、鄂钢长航战备码头、</w:t>
            </w:r>
            <w:r>
              <w:rPr>
                <w:rFonts w:hint="eastAsia" w:cs="Times New Roman"/>
                <w:sz w:val="24"/>
                <w:szCs w:val="24"/>
              </w:rPr>
              <w:t>三江港沥青</w:t>
            </w:r>
            <w:r>
              <w:rPr>
                <w:rFonts w:cs="Times New Roman"/>
                <w:sz w:val="24"/>
                <w:szCs w:val="24"/>
              </w:rPr>
              <w:t>码头</w:t>
            </w:r>
            <w:r>
              <w:rPr>
                <w:rFonts w:hint="eastAsia" w:cs="Times New Roman"/>
                <w:sz w:val="24"/>
                <w:szCs w:val="24"/>
              </w:rPr>
              <w:t>、鄂州港三江港区一类水运口岸</w:t>
            </w:r>
            <w:r>
              <w:rPr>
                <w:rFonts w:cs="Times New Roman"/>
                <w:sz w:val="24"/>
                <w:szCs w:val="24"/>
              </w:rPr>
              <w:t>等项目建设。</w:t>
            </w:r>
          </w:p>
        </w:tc>
      </w:tr>
    </w:tbl>
    <w:p>
      <w:pPr>
        <w:pStyle w:val="6"/>
        <w:ind w:firstLine="602"/>
      </w:pPr>
      <w:bookmarkStart w:id="88" w:name="_Toc59376385"/>
      <w:bookmarkStart w:id="89" w:name="_Toc17188"/>
      <w:r>
        <w:t>第二节</w:t>
      </w:r>
      <w:r>
        <w:rPr>
          <w:rFonts w:hint="eastAsia"/>
        </w:rPr>
        <w:t xml:space="preserve"> </w:t>
      </w:r>
      <w:bookmarkEnd w:id="88"/>
      <w:r>
        <w:rPr>
          <w:rFonts w:hint="eastAsia"/>
        </w:rPr>
        <w:t>建立综合物流枢纽产业体系</w:t>
      </w:r>
      <w:bookmarkEnd w:id="89"/>
    </w:p>
    <w:p>
      <w:pPr>
        <w:ind w:firstLine="600"/>
      </w:pPr>
      <w:r>
        <w:rPr>
          <w:rFonts w:hint="eastAsia"/>
        </w:rPr>
        <w:t>紧密对接鄂州航空枢纽、武汉长江航运中心，加快三江港国家多式联运示范基地建设，加强公路、水运、轨道交通和铁路之间的无缝衔接，完善区域重大基础设施和综合配套设施建设布局。加强与鄂州机场的“快进快出”、互融互补，构建“通道+枢纽+网络”的现代物流体系，对接全球供应链管理网络，大力发展临港产业园、物流园，加快三江港空轨多式联运智能转运装备示范线、华中商品车枢纽中心、三江港铁路物流基地二期、三江港现代物流园、三江港冷链物流基地、三江港集疏运基地、</w:t>
      </w:r>
      <w:r>
        <w:rPr>
          <w:rFonts w:cs="Times New Roman"/>
        </w:rPr>
        <w:t>LPG码头仓储</w:t>
      </w:r>
      <w:r>
        <w:rPr>
          <w:rFonts w:hint="eastAsia"/>
        </w:rPr>
        <w:t>项目和等一批重点项目建设。</w:t>
      </w:r>
      <w:r>
        <w:rPr>
          <w:rFonts w:hint="eastAsia" w:cs="Times New Roman"/>
        </w:rPr>
        <w:t>推进综合保税区、海关监管区建设，积极争取三江港纳入</w:t>
      </w:r>
      <w:r>
        <w:rPr>
          <w:rFonts w:hint="eastAsia"/>
        </w:rPr>
        <w:t>湖北自贸区武汉片区拓展区范围。加强对外贸易合作，建设进口产品目的地、大宗商品集散地、出口产品通关地、大型装备生产地，促进电子、纺线、魔芋、软管等出口产业做大做强做优。</w:t>
      </w:r>
    </w:p>
    <w:p>
      <w:pPr>
        <w:pStyle w:val="6"/>
        <w:ind w:firstLine="602"/>
      </w:pPr>
      <w:bookmarkStart w:id="90" w:name="_Toc59376386"/>
      <w:bookmarkStart w:id="91" w:name="_Toc5986"/>
      <w:r>
        <w:t>第三节</w:t>
      </w:r>
      <w:r>
        <w:rPr>
          <w:rFonts w:hint="eastAsia"/>
        </w:rPr>
        <w:t xml:space="preserve"> </w:t>
      </w:r>
      <w:bookmarkEnd w:id="90"/>
      <w:r>
        <w:rPr>
          <w:rFonts w:hint="eastAsia"/>
        </w:rPr>
        <w:t>加快构建多式联运新格局</w:t>
      </w:r>
      <w:bookmarkEnd w:id="91"/>
    </w:p>
    <w:p>
      <w:pPr>
        <w:ind w:firstLine="600"/>
      </w:pPr>
      <w:r>
        <w:rPr>
          <w:rFonts w:hint="eastAsia"/>
        </w:rPr>
        <w:t>依托三江港国家多式联运示范工程、国家一类对外口岸、国家一级航道、铁路物流基地等交通基础设施和区位优势，紧密对接鄂州航空枢纽、武汉长江航运中心，完善区域重大基础设施和综合配套设施建设布局，推动“水港、陆港、空港”三港联动。践行“港站一体、便捷通关”理念，夯实公铁水联运基础，嵌入“智慧监管、高标高效”内核，打造全球供应链管理中心，扩展“带路发展、互联互通”视野，大力建设物流通道，推动国家多式联运示范区质效并举。紧密对接“一带一路”新通道，联通与陆上丝绸之路的开放大通道，推进三江港铁路物流基地与武九铁路、武汉铁路集装箱中心站吴家山站的衔接。加强与海上丝绸之路的有效衔接，依托长江黄金水道和三江港，向东开通经上海至全球的国际集装箱快线及江海直达航线，向南连接融入陆海新通道，加快形成华容多式联运新格局。</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专栏3-</w:t>
            </w:r>
            <w:r>
              <w:rPr>
                <w:rFonts w:hint="eastAsia" w:cs="Times New Roman"/>
                <w:b/>
                <w:color w:val="000000"/>
                <w:kern w:val="0"/>
                <w:sz w:val="24"/>
                <w:szCs w:val="24"/>
              </w:rPr>
              <w:t>2</w:t>
            </w:r>
            <w:r>
              <w:rPr>
                <w:rFonts w:cs="Times New Roman"/>
                <w:b/>
                <w:color w:val="000000"/>
                <w:kern w:val="0"/>
                <w:sz w:val="24"/>
                <w:szCs w:val="24"/>
              </w:rPr>
              <w:t xml:space="preserve">  综合物流枢纽</w:t>
            </w:r>
            <w:r>
              <w:rPr>
                <w:rFonts w:hint="eastAsia" w:cs="Times New Roman"/>
                <w:b/>
                <w:color w:val="000000"/>
                <w:kern w:val="0"/>
                <w:sz w:val="24"/>
                <w:szCs w:val="24"/>
              </w:rPr>
              <w:t>和多式联运</w:t>
            </w:r>
            <w:r>
              <w:rPr>
                <w:rFonts w:cs="Times New Roman"/>
                <w:b/>
                <w:color w:val="000000"/>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jc w:val="left"/>
              <w:rPr>
                <w:rFonts w:cs="Times New Roman"/>
                <w:sz w:val="24"/>
                <w:szCs w:val="24"/>
              </w:rPr>
            </w:pPr>
            <w:r>
              <w:rPr>
                <w:rFonts w:cs="Times New Roman"/>
                <w:b/>
                <w:sz w:val="24"/>
                <w:szCs w:val="24"/>
              </w:rPr>
              <w:t>物流基地：</w:t>
            </w:r>
            <w:r>
              <w:rPr>
                <w:rFonts w:cs="Times New Roman"/>
                <w:sz w:val="24"/>
                <w:szCs w:val="24"/>
              </w:rPr>
              <w:t>重点推进三江港铁路物流基地二期、三江港现代物流园、三江港冷链物流基地、</w:t>
            </w:r>
            <w:r>
              <w:rPr>
                <w:rFonts w:hint="eastAsia" w:cs="Times New Roman"/>
                <w:sz w:val="24"/>
                <w:szCs w:val="24"/>
              </w:rPr>
              <w:t>三江港枢纽集疏运基地</w:t>
            </w:r>
            <w:r>
              <w:rPr>
                <w:rFonts w:cs="Times New Roman"/>
                <w:sz w:val="24"/>
                <w:szCs w:val="24"/>
              </w:rPr>
              <w:t>、LPG码头仓储</w:t>
            </w:r>
            <w:r>
              <w:rPr>
                <w:rFonts w:hint="eastAsia" w:cs="Times New Roman"/>
                <w:sz w:val="24"/>
                <w:szCs w:val="24"/>
              </w:rPr>
              <w:t>、鄂州市三江港LNG应急储备站</w:t>
            </w:r>
            <w:r>
              <w:rPr>
                <w:rFonts w:cs="Times New Roman"/>
                <w:sz w:val="24"/>
                <w:szCs w:val="24"/>
              </w:rPr>
              <w:t>项目。</w:t>
            </w:r>
          </w:p>
          <w:p>
            <w:pPr>
              <w:spacing w:line="240" w:lineRule="auto"/>
              <w:ind w:firstLine="482"/>
              <w:jc w:val="left"/>
              <w:rPr>
                <w:rFonts w:cs="Times New Roman"/>
                <w:sz w:val="24"/>
                <w:szCs w:val="24"/>
              </w:rPr>
            </w:pPr>
            <w:r>
              <w:rPr>
                <w:rFonts w:cs="Times New Roman"/>
                <w:b/>
                <w:sz w:val="24"/>
                <w:szCs w:val="24"/>
              </w:rPr>
              <w:t>物流枢纽设施：</w:t>
            </w:r>
            <w:r>
              <w:rPr>
                <w:rFonts w:cs="Times New Roman"/>
                <w:sz w:val="24"/>
                <w:szCs w:val="24"/>
              </w:rPr>
              <w:t>重点推进</w:t>
            </w:r>
            <w:r>
              <w:rPr>
                <w:rFonts w:hint="eastAsia" w:cs="Times New Roman"/>
                <w:sz w:val="24"/>
                <w:szCs w:val="24"/>
              </w:rPr>
              <w:t>三江港空轨多式联运智能转运装备示范线、</w:t>
            </w:r>
            <w:r>
              <w:rPr>
                <w:rFonts w:cs="Times New Roman"/>
                <w:sz w:val="24"/>
                <w:szCs w:val="24"/>
              </w:rPr>
              <w:t>华中商品车枢纽中心项目等项目建设。</w:t>
            </w:r>
          </w:p>
          <w:p>
            <w:pPr>
              <w:spacing w:line="240" w:lineRule="auto"/>
              <w:ind w:firstLine="482"/>
              <w:jc w:val="left"/>
              <w:rPr>
                <w:rFonts w:cs="Times New Roman"/>
                <w:sz w:val="24"/>
                <w:szCs w:val="24"/>
              </w:rPr>
            </w:pPr>
            <w:r>
              <w:rPr>
                <w:rFonts w:cs="Times New Roman"/>
                <w:b/>
                <w:sz w:val="24"/>
                <w:szCs w:val="24"/>
              </w:rPr>
              <w:t>航运配套：</w:t>
            </w:r>
            <w:r>
              <w:rPr>
                <w:rFonts w:cs="Times New Roman"/>
                <w:sz w:val="24"/>
                <w:szCs w:val="24"/>
              </w:rPr>
              <w:t>重点实施综合保税区、海关监管区等项目。</w:t>
            </w:r>
          </w:p>
          <w:p>
            <w:pPr>
              <w:spacing w:line="240" w:lineRule="auto"/>
              <w:ind w:firstLine="482"/>
              <w:jc w:val="left"/>
              <w:rPr>
                <w:rFonts w:cs="Times New Roman"/>
                <w:sz w:val="24"/>
                <w:szCs w:val="24"/>
              </w:rPr>
            </w:pPr>
            <w:r>
              <w:rPr>
                <w:rFonts w:hint="eastAsia" w:cs="Times New Roman"/>
                <w:b/>
                <w:sz w:val="24"/>
                <w:szCs w:val="24"/>
              </w:rPr>
              <w:t>多式联运项目</w:t>
            </w:r>
            <w:r>
              <w:rPr>
                <w:rFonts w:cs="Times New Roman"/>
                <w:b/>
                <w:sz w:val="24"/>
                <w:szCs w:val="24"/>
              </w:rPr>
              <w:t>：</w:t>
            </w:r>
            <w:r>
              <w:rPr>
                <w:rFonts w:hint="eastAsia" w:cs="Times New Roman"/>
                <w:sz w:val="24"/>
                <w:szCs w:val="24"/>
              </w:rPr>
              <w:t>重点推进三江港国家多式联运示范工程、鄂州港三江港区一类水运口岸工程。</w:t>
            </w:r>
          </w:p>
        </w:tc>
      </w:tr>
    </w:tbl>
    <w:p>
      <w:pPr>
        <w:pStyle w:val="5"/>
        <w:ind w:firstLine="643"/>
      </w:pPr>
      <w:bookmarkStart w:id="92" w:name="_Toc59376387"/>
      <w:bookmarkStart w:id="93" w:name="_Toc16150"/>
      <w:r>
        <w:t>第二章 打造武鄂同城化发展新样板</w:t>
      </w:r>
      <w:bookmarkEnd w:id="92"/>
      <w:bookmarkEnd w:id="93"/>
    </w:p>
    <w:p>
      <w:pPr>
        <w:ind w:firstLine="600"/>
      </w:pPr>
      <w:r>
        <w:t>紧密对接湖北省</w:t>
      </w:r>
      <w:r>
        <w:rPr>
          <w:rFonts w:ascii="仿宋" w:hAnsi="仿宋"/>
        </w:rPr>
        <w:t>“</w:t>
      </w:r>
      <w:r>
        <w:rPr>
          <w:rFonts w:hint="eastAsia" w:ascii="仿宋" w:hAnsi="仿宋"/>
        </w:rPr>
        <w:t>一主引领、</w:t>
      </w:r>
      <w:r>
        <w:rPr>
          <w:rFonts w:ascii="仿宋" w:hAnsi="仿宋"/>
        </w:rPr>
        <w:t>两翼驱动、</w:t>
      </w:r>
      <w:r>
        <w:rPr>
          <w:rFonts w:hint="eastAsia" w:ascii="仿宋" w:hAnsi="仿宋"/>
        </w:rPr>
        <w:t>全域协同</w:t>
      </w:r>
      <w:r>
        <w:rPr>
          <w:rFonts w:ascii="仿宋" w:hAnsi="仿宋"/>
        </w:rPr>
        <w:t>”的</w:t>
      </w:r>
      <w:r>
        <w:rPr>
          <w:rFonts w:hint="eastAsia" w:ascii="仿宋" w:hAnsi="仿宋"/>
        </w:rPr>
        <w:t>区</w:t>
      </w:r>
      <w:r>
        <w:rPr>
          <w:rFonts w:hint="eastAsia"/>
        </w:rPr>
        <w:t>域发展布局</w:t>
      </w:r>
      <w:r>
        <w:t>，</w:t>
      </w:r>
      <w:r>
        <w:rPr>
          <w:rFonts w:hint="eastAsia"/>
        </w:rPr>
        <w:t>聚焦</w:t>
      </w:r>
      <w:r>
        <w:t>鄂州市</w:t>
      </w:r>
      <w:r>
        <w:rPr>
          <w:rFonts w:hint="eastAsia" w:ascii="仿宋" w:hAnsi="仿宋" w:cs="仿宋"/>
        </w:rPr>
        <w:t>“三城一化”</w:t>
      </w:r>
      <w:r>
        <w:rPr>
          <w:rFonts w:hint="eastAsia"/>
        </w:rPr>
        <w:t>建设</w:t>
      </w:r>
      <w:r>
        <w:t>，聚力华容区</w:t>
      </w:r>
      <w:r>
        <w:rPr>
          <w:rFonts w:ascii="仿宋" w:hAnsi="仿宋"/>
        </w:rPr>
        <w:t>“</w:t>
      </w:r>
      <w:r>
        <w:rPr>
          <w:rFonts w:hint="eastAsia" w:ascii="仿宋" w:hAnsi="仿宋"/>
        </w:rPr>
        <w:t>一城</w:t>
      </w:r>
      <w:r>
        <w:rPr>
          <w:rFonts w:ascii="仿宋" w:hAnsi="仿宋"/>
        </w:rPr>
        <w:t>三区”</w:t>
      </w:r>
      <w:r>
        <w:rPr>
          <w:rFonts w:hint="eastAsia" w:ascii="仿宋" w:hAnsi="仿宋"/>
        </w:rPr>
        <w:t>发展定位</w:t>
      </w:r>
      <w:r>
        <w:rPr>
          <w:rFonts w:ascii="仿宋" w:hAnsi="仿宋"/>
        </w:rPr>
        <w:t>，积极推动武鄂同城化发展，</w:t>
      </w:r>
      <w:r>
        <w:rPr>
          <w:rFonts w:hint="eastAsia" w:ascii="仿宋" w:hAnsi="仿宋"/>
        </w:rPr>
        <w:t>争当深度</w:t>
      </w:r>
      <w:r>
        <w:rPr>
          <w:rFonts w:hint="eastAsia"/>
        </w:rPr>
        <w:t>融入</w:t>
      </w:r>
      <w:r>
        <w:t>大武汉的排头兵。</w:t>
      </w:r>
    </w:p>
    <w:p>
      <w:pPr>
        <w:pStyle w:val="6"/>
        <w:ind w:firstLine="602"/>
      </w:pPr>
      <w:bookmarkStart w:id="94" w:name="_Toc59376388"/>
      <w:bookmarkStart w:id="95" w:name="_Toc8800"/>
      <w:r>
        <w:rPr>
          <w:rFonts w:hint="eastAsia"/>
        </w:rPr>
        <w:t>第一节 推进</w:t>
      </w:r>
      <w:r>
        <w:t>基础设施</w:t>
      </w:r>
      <w:bookmarkEnd w:id="94"/>
      <w:r>
        <w:rPr>
          <w:rFonts w:hint="eastAsia" w:ascii="仿宋_GB2312" w:hAnsi="仿宋_GB2312" w:eastAsia="仿宋_GB2312" w:cs="仿宋_GB2312"/>
          <w:sz w:val="32"/>
        </w:rPr>
        <w:t>同城同网</w:t>
      </w:r>
      <w:bookmarkEnd w:id="95"/>
    </w:p>
    <w:p>
      <w:pPr>
        <w:ind w:firstLine="600"/>
        <w:rPr>
          <w:rFonts w:ascii="仿宋" w:hAnsi="仿宋"/>
        </w:rPr>
      </w:pPr>
      <w:r>
        <w:t>坚持规划引领、交通先行，</w:t>
      </w:r>
      <w:r>
        <w:rPr>
          <w:rFonts w:hint="eastAsia"/>
        </w:rPr>
        <w:t>高效</w:t>
      </w:r>
      <w:r>
        <w:t>衔接武汉市国土空间规划、综合交通规划、轨道交通规划，加快形成深度融合、区域一体的综合交通网络。积极顺应武鄂同城化发展趋势，构建内联外畅的综合交通体系，实现公路、轨道交通全面对接武汉，争取将红莲湖轨道交通纳入武汉地铁第5期建设规划，推进武汉地铁30号线鄂州红莲湖段，实现与武汉市轨道交通连接畅通。加快推进新城大道与未来三路连接线</w:t>
      </w:r>
      <w:r>
        <w:rPr>
          <w:rFonts w:hint="eastAsia"/>
        </w:rPr>
        <w:t>、高新大道东延线</w:t>
      </w:r>
      <w:r>
        <w:t>建设，加速推动红莲湖与东湖开发区对接，助力区域融合发展。坚持优化提升、</w:t>
      </w:r>
      <w:r>
        <w:rPr>
          <w:rFonts w:hint="eastAsia"/>
        </w:rPr>
        <w:t>适度</w:t>
      </w:r>
      <w:r>
        <w:t>超前，完善城市基础设施建设，对接武汉城市建设标准和技术规范，</w:t>
      </w:r>
      <w:r>
        <w:rPr>
          <w:rFonts w:hint="eastAsia"/>
        </w:rPr>
        <w:t>促进</w:t>
      </w:r>
      <w:r>
        <w:t>信息、能源、电信、水利等基础设施</w:t>
      </w:r>
      <w:r>
        <w:rPr>
          <w:rFonts w:hint="eastAsia"/>
        </w:rPr>
        <w:t>同城同网</w:t>
      </w:r>
      <w:r>
        <w:rPr>
          <w:rFonts w:hint="eastAsia" w:ascii="仿宋" w:hAnsi="仿宋"/>
        </w:rPr>
        <w:t>。</w:t>
      </w:r>
    </w:p>
    <w:p>
      <w:pPr>
        <w:pStyle w:val="6"/>
        <w:ind w:firstLine="602"/>
      </w:pPr>
      <w:bookmarkStart w:id="96" w:name="_Toc59376389"/>
      <w:bookmarkStart w:id="97" w:name="_Toc21059"/>
      <w:r>
        <w:rPr>
          <w:rFonts w:hint="eastAsia"/>
        </w:rPr>
        <w:t>第二节 推进产业深度融合协同发展</w:t>
      </w:r>
      <w:bookmarkEnd w:id="96"/>
      <w:bookmarkEnd w:id="97"/>
    </w:p>
    <w:p>
      <w:pPr>
        <w:ind w:firstLine="600"/>
      </w:pPr>
      <w:r>
        <w:rPr>
          <w:rFonts w:hint="eastAsia"/>
        </w:rPr>
        <w:t>加强</w:t>
      </w:r>
      <w:r>
        <w:t>产</w:t>
      </w:r>
      <w:r>
        <w:rPr>
          <w:rFonts w:hint="eastAsia"/>
        </w:rPr>
        <w:t>业分工</w:t>
      </w:r>
      <w:r>
        <w:t>协作，优化</w:t>
      </w:r>
      <w:r>
        <w:rPr>
          <w:rFonts w:hint="eastAsia"/>
        </w:rPr>
        <w:t>“光芯屏端网”、</w:t>
      </w:r>
      <w:r>
        <w:t>智能制造、大健康</w:t>
      </w:r>
      <w:r>
        <w:rPr>
          <w:rFonts w:hint="eastAsia"/>
        </w:rPr>
        <w:t>等重点</w:t>
      </w:r>
      <w:r>
        <w:t>产业发展布局，</w:t>
      </w:r>
      <w:r>
        <w:rPr>
          <w:rFonts w:hint="eastAsia"/>
        </w:rPr>
        <w:t>建立招商引资联合机制，全面推进华容区融入光谷科技创新大走廊（鄂州段）的建设，助力</w:t>
      </w:r>
      <w:r>
        <w:t>武</w:t>
      </w:r>
      <w:r>
        <w:rPr>
          <w:rFonts w:hint="eastAsia"/>
        </w:rPr>
        <w:t>鄂</w:t>
      </w:r>
      <w:r>
        <w:t>形成融通互</w:t>
      </w:r>
      <w:r>
        <w:rPr>
          <w:rFonts w:hint="eastAsia"/>
        </w:rPr>
        <w:t>促</w:t>
      </w:r>
      <w:r>
        <w:t>、基础共享的产业</w:t>
      </w:r>
      <w:r>
        <w:rPr>
          <w:rFonts w:hint="eastAsia"/>
        </w:rPr>
        <w:t>生态</w:t>
      </w:r>
      <w:r>
        <w:t>。</w:t>
      </w:r>
      <w:r>
        <w:rPr>
          <w:rFonts w:hint="eastAsia"/>
        </w:rPr>
        <w:t>围绕深度融入武汉“光芯屏端网”万亿产业集群，加快建设红莲湖大数据云计算产业园，打造武鄂融合创“芯”示范区，当好武鄂同城“桥头堡”。紧抓武汉建设东湖大数据交易中心的契机，探索建立资源要素互联共享平台，完善区域资源集聚与配置功能，加快文旅产业一体化步伐，补光谷产业“短板”，推进产业合理分工与功能互补。</w:t>
      </w:r>
    </w:p>
    <w:p>
      <w:pPr>
        <w:pStyle w:val="6"/>
        <w:ind w:firstLine="602"/>
      </w:pPr>
      <w:bookmarkStart w:id="98" w:name="_Toc59376390"/>
      <w:bookmarkStart w:id="99" w:name="_Toc14987"/>
      <w:r>
        <w:t>第</w:t>
      </w:r>
      <w:r>
        <w:rPr>
          <w:rFonts w:hint="eastAsia"/>
        </w:rPr>
        <w:t>三</w:t>
      </w:r>
      <w:r>
        <w:t xml:space="preserve">节 </w:t>
      </w:r>
      <w:r>
        <w:rPr>
          <w:rFonts w:hint="eastAsia"/>
        </w:rPr>
        <w:t>推动</w:t>
      </w:r>
      <w:r>
        <w:t>生态环境协同联治</w:t>
      </w:r>
      <w:bookmarkEnd w:id="98"/>
      <w:bookmarkEnd w:id="99"/>
    </w:p>
    <w:p>
      <w:pPr>
        <w:ind w:firstLine="600"/>
        <w:rPr>
          <w:rFonts w:ascii="仿宋" w:hAnsi="仿宋" w:cs="仿宋"/>
        </w:rPr>
      </w:pPr>
      <w:r>
        <w:t>充分发挥华容区在武汉城市圈的区位优势</w:t>
      </w:r>
      <w:r>
        <w:rPr>
          <w:rFonts w:hint="eastAsia"/>
        </w:rPr>
        <w:t>和生态优势，</w:t>
      </w:r>
      <w:r>
        <w:t>加快完善跨区域、跨部门的河湖管理机制，深入推进</w:t>
      </w:r>
      <w:r>
        <w:rPr>
          <w:rFonts w:hint="eastAsia"/>
        </w:rPr>
        <w:t>河湖生态环境共保联治。</w:t>
      </w:r>
      <w:r>
        <w:t>强化</w:t>
      </w:r>
      <w:r>
        <w:rPr>
          <w:rFonts w:hint="eastAsia"/>
        </w:rPr>
        <w:t>生态</w:t>
      </w:r>
      <w:r>
        <w:t>红线</w:t>
      </w:r>
      <w:r>
        <w:rPr>
          <w:rFonts w:hint="eastAsia"/>
        </w:rPr>
        <w:t>区域</w:t>
      </w:r>
      <w:r>
        <w:t>保护和修复，统筹山水林田湖草系统治理和空间协同保护</w:t>
      </w:r>
      <w:r>
        <w:rPr>
          <w:rFonts w:hint="eastAsia"/>
        </w:rPr>
        <w:t>，</w:t>
      </w:r>
      <w:r>
        <w:t>执行统一的生态环境质量</w:t>
      </w:r>
      <w:r>
        <w:rPr>
          <w:rFonts w:hint="eastAsia"/>
        </w:rPr>
        <w:t>评价</w:t>
      </w:r>
      <w:r>
        <w:t>、考核、公开、责任和奖惩目标管理体系。强化</w:t>
      </w:r>
      <w:r>
        <w:rPr>
          <w:rFonts w:hint="eastAsia"/>
        </w:rPr>
        <w:t>跨</w:t>
      </w:r>
      <w:r>
        <w:t>区域生态环境治理联合执法，建立生态系统保护修复和污染防治区域联动模式。建立</w:t>
      </w:r>
      <w:r>
        <w:rPr>
          <w:rFonts w:hint="eastAsia"/>
        </w:rPr>
        <w:t>重点区域</w:t>
      </w:r>
      <w:r>
        <w:t>环境风险应急统一管理平台，实现灾害应急信息</w:t>
      </w:r>
      <w:r>
        <w:rPr>
          <w:rFonts w:hint="eastAsia"/>
        </w:rPr>
        <w:t>深度</w:t>
      </w:r>
      <w:r>
        <w:t>共享</w:t>
      </w:r>
      <w:r>
        <w:rPr>
          <w:rFonts w:hint="eastAsia"/>
        </w:rPr>
        <w:t>，</w:t>
      </w:r>
      <w:r>
        <w:t>持续</w:t>
      </w:r>
      <w:r>
        <w:rPr>
          <w:rFonts w:hint="eastAsia" w:ascii="仿宋" w:hAnsi="仿宋" w:cs="仿宋"/>
        </w:rPr>
        <w:t>推动绿色发展协调机制。</w:t>
      </w:r>
    </w:p>
    <w:p>
      <w:pPr>
        <w:pStyle w:val="6"/>
        <w:ind w:firstLine="602"/>
      </w:pPr>
      <w:bookmarkStart w:id="100" w:name="_Toc59376391"/>
      <w:bookmarkStart w:id="101" w:name="_Toc19023"/>
      <w:r>
        <w:t xml:space="preserve">第四节 </w:t>
      </w:r>
      <w:r>
        <w:rPr>
          <w:rFonts w:hint="eastAsia"/>
        </w:rPr>
        <w:t>实现</w:t>
      </w:r>
      <w:r>
        <w:t>公共服务便民共享</w:t>
      </w:r>
      <w:bookmarkEnd w:id="100"/>
      <w:bookmarkEnd w:id="101"/>
    </w:p>
    <w:p>
      <w:pPr>
        <w:ind w:firstLine="600"/>
      </w:pPr>
      <w:r>
        <w:rPr>
          <w:rFonts w:hint="eastAsia"/>
        </w:rPr>
        <w:t>以满足人民群众美好生活需求为目标，推动公共服务均衡发展，推进公共服务便民共享。主动承接武汉优质科教资源，大力引进优质中小学、高等院校、科研院所落户华容。完善突发公共卫生事件应急协作机制，采取合作办院、新建院区、组建医联体等形式，推进医疗资源共建共享、重大传染病联防联控。推动养老、医疗、就业等社会保障标准化对接，逐步消除政策落差。探索高层次人才协同管理模式，推动人力资源、就业岗位信息共享和服务政策有机衔接。打造优质生活圈，加快发展乡村旅游、休闲娱乐、周末经济等特色消费，提升武鄂同城化体验。</w:t>
      </w:r>
    </w:p>
    <w:p>
      <w:pPr>
        <w:widowControl/>
        <w:spacing w:line="240" w:lineRule="auto"/>
        <w:ind w:firstLine="0" w:firstLineChars="0"/>
        <w:jc w:val="left"/>
        <w:rPr>
          <w:rFonts w:eastAsia="黑体"/>
          <w:b/>
          <w:bCs/>
          <w:kern w:val="44"/>
          <w:sz w:val="36"/>
          <w:szCs w:val="44"/>
        </w:rPr>
      </w:pPr>
      <w:r>
        <w:br w:type="page"/>
      </w:r>
    </w:p>
    <w:p>
      <w:pPr>
        <w:pStyle w:val="4"/>
        <w:spacing w:before="408" w:after="408"/>
        <w:ind w:firstLine="640"/>
      </w:pPr>
      <w:bookmarkStart w:id="102" w:name="_Toc28637"/>
      <w:r>
        <w:t>第四篇 建设田园新华容，打造美丽江南特色城镇标杆</w:t>
      </w:r>
      <w:bookmarkEnd w:id="45"/>
      <w:bookmarkEnd w:id="102"/>
    </w:p>
    <w:p>
      <w:pPr>
        <w:ind w:firstLine="600"/>
      </w:pPr>
      <w:r>
        <w:rPr>
          <w:rFonts w:hint="eastAsia"/>
        </w:rPr>
        <w:t>坚持生态优先、绿色发展，贯彻落实“绿水青山就是金山银山”理念，对标浙江乡村振兴先进经验，促进城乡融合和绿色低碳发展，打造名副其实的大武汉后花园，建设人与自然和谐共生的江南生态美丽田园城镇。</w:t>
      </w:r>
    </w:p>
    <w:p>
      <w:pPr>
        <w:pStyle w:val="5"/>
        <w:ind w:firstLine="643"/>
      </w:pPr>
      <w:bookmarkStart w:id="103" w:name="_Toc13454"/>
      <w:r>
        <w:t>第</w:t>
      </w:r>
      <w:r>
        <w:rPr>
          <w:rFonts w:hint="eastAsia"/>
        </w:rPr>
        <w:t>一</w:t>
      </w:r>
      <w:r>
        <w:t>章 打造美丽江南田园城镇新样板</w:t>
      </w:r>
      <w:bookmarkEnd w:id="46"/>
      <w:bookmarkEnd w:id="103"/>
    </w:p>
    <w:p>
      <w:pPr>
        <w:ind w:firstLine="600"/>
        <w:rPr>
          <w:b/>
        </w:rPr>
      </w:pPr>
      <w:r>
        <w:rPr>
          <w:rFonts w:hint="eastAsia"/>
        </w:rPr>
        <w:t>顺应区域发展趋势和城市化内涵变化，全面落实主体功能区战略，依托华容区“东进、西接、北控、南拓、中优”的空间发展布局，</w:t>
      </w:r>
      <w:bookmarkStart w:id="104" w:name="_Toc56092497"/>
      <w:bookmarkStart w:id="105" w:name="_Toc56094168"/>
      <w:r>
        <w:rPr>
          <w:rFonts w:hint="eastAsia"/>
        </w:rPr>
        <w:t>统筹推进市政基础设施建设，提升城市治理能力以及城市建设管理水平，建设美丽</w:t>
      </w:r>
      <w:r>
        <w:t>江南田园城镇</w:t>
      </w:r>
      <w:r>
        <w:rPr>
          <w:rFonts w:hint="eastAsia"/>
        </w:rPr>
        <w:t>。</w:t>
      </w:r>
      <w:r>
        <w:rPr>
          <w:b/>
        </w:rPr>
        <w:t xml:space="preserve"> </w:t>
      </w:r>
    </w:p>
    <w:p>
      <w:pPr>
        <w:pStyle w:val="6"/>
        <w:ind w:firstLine="602"/>
      </w:pPr>
      <w:bookmarkStart w:id="106" w:name="_Toc59376399"/>
      <w:bookmarkStart w:id="107" w:name="_Toc27290"/>
      <w:r>
        <w:t>第一节 优化城镇空间布局</w:t>
      </w:r>
      <w:bookmarkEnd w:id="106"/>
      <w:bookmarkEnd w:id="107"/>
    </w:p>
    <w:p>
      <w:pPr>
        <w:ind w:firstLine="600"/>
      </w:pPr>
      <w:r>
        <w:rPr>
          <w:rFonts w:hint="eastAsia"/>
        </w:rPr>
        <w:t>构建五个乡镇“五朵金花”竞相开放、区域协调发展格局，以新型城镇化为目标，合理确定建设用地规模，优化城乡土地利用结构，促进人口集中、要素集聚、资源集约、功能集成，增强综合服务功能和集聚辐射能力。</w:t>
      </w:r>
    </w:p>
    <w:p>
      <w:pPr>
        <w:ind w:firstLine="602"/>
        <w:rPr>
          <w:b/>
          <w:color w:val="FF0000"/>
        </w:rPr>
      </w:pPr>
      <w:bookmarkStart w:id="108" w:name="_Hlk57894052"/>
      <w:r>
        <w:rPr>
          <w:rFonts w:hint="eastAsia"/>
          <w:b/>
          <w:color w:val="000000" w:themeColor="text1"/>
          <w14:textFill>
            <w14:solidFill>
              <w14:schemeClr w14:val="tx1"/>
            </w14:solidFill>
          </w14:textFill>
        </w:rPr>
        <w:t>华容宜居宜业主城区</w:t>
      </w:r>
      <w:r>
        <w:rPr>
          <w:b/>
          <w:color w:val="000000" w:themeColor="text1"/>
          <w14:textFill>
            <w14:solidFill>
              <w14:schemeClr w14:val="tx1"/>
            </w14:solidFill>
          </w14:textFill>
        </w:rPr>
        <w:t>：</w:t>
      </w:r>
      <w:r>
        <w:rPr>
          <w:color w:val="000000" w:themeColor="text1"/>
          <w14:textFill>
            <w14:solidFill>
              <w14:schemeClr w14:val="tx1"/>
            </w14:solidFill>
          </w14:textFill>
        </w:rPr>
        <w:t>突</w:t>
      </w:r>
      <w:r>
        <w:t>出</w:t>
      </w:r>
      <w:r>
        <w:rPr>
          <w:rFonts w:hint="eastAsia"/>
        </w:rPr>
        <w:t>主</w:t>
      </w:r>
      <w:r>
        <w:t>城区的发展中心地位，加快对接葛店经济技术开发区，</w:t>
      </w:r>
      <w:r>
        <w:rPr>
          <w:rFonts w:hint="eastAsia"/>
        </w:rPr>
        <w:t>完善主</w:t>
      </w:r>
      <w:r>
        <w:t>城区</w:t>
      </w:r>
      <w:r>
        <w:rPr>
          <w:rFonts w:hint="eastAsia"/>
        </w:rPr>
        <w:t>公共服务配套及市政基础</w:t>
      </w:r>
      <w:r>
        <w:t>设施，</w:t>
      </w:r>
      <w:r>
        <w:rPr>
          <w:rFonts w:hint="eastAsia"/>
        </w:rPr>
        <w:t>建设规模适宜的商业综合体，</w:t>
      </w:r>
      <w:r>
        <w:t>增强</w:t>
      </w:r>
      <w:r>
        <w:rPr>
          <w:rFonts w:hint="eastAsia"/>
        </w:rPr>
        <w:t>主</w:t>
      </w:r>
      <w:r>
        <w:t>城区的公共服务功能，</w:t>
      </w:r>
      <w:r>
        <w:rPr>
          <w:rFonts w:hint="eastAsia"/>
        </w:rPr>
        <w:t>加快智慧社区建设，提高城镇管理精细化水平，大幅提升城镇品质，</w:t>
      </w:r>
      <w:r>
        <w:t>推动</w:t>
      </w:r>
      <w:r>
        <w:rPr>
          <w:rFonts w:hint="eastAsia"/>
        </w:rPr>
        <w:t>建材、钢铁、纺织等</w:t>
      </w:r>
      <w:r>
        <w:t>传统</w:t>
      </w:r>
      <w:r>
        <w:rPr>
          <w:rFonts w:hint="eastAsia"/>
        </w:rPr>
        <w:t>产</w:t>
      </w:r>
      <w:r>
        <w:t>业转型</w:t>
      </w:r>
      <w:r>
        <w:rPr>
          <w:rFonts w:hint="eastAsia"/>
        </w:rPr>
        <w:t>升级</w:t>
      </w:r>
      <w:r>
        <w:t>，增强产业集聚功能和创新发展能力，建成高端产业集聚、现代服务完备的</w:t>
      </w:r>
      <w:r>
        <w:rPr>
          <w:rFonts w:hint="eastAsia"/>
        </w:rPr>
        <w:t>宜居宜业</w:t>
      </w:r>
      <w:r>
        <w:t>示范区。</w:t>
      </w:r>
    </w:p>
    <w:p>
      <w:pPr>
        <w:ind w:firstLine="602"/>
      </w:pPr>
      <w:r>
        <w:rPr>
          <w:rFonts w:hint="eastAsia"/>
          <w:b/>
          <w:color w:val="000000" w:themeColor="text1"/>
          <w14:textFill>
            <w14:solidFill>
              <w14:schemeClr w14:val="tx1"/>
            </w14:solidFill>
          </w14:textFill>
        </w:rPr>
        <w:t>庙岭数智文旅</w:t>
      </w:r>
      <w:r>
        <w:rPr>
          <w:b/>
          <w:color w:val="000000" w:themeColor="text1"/>
          <w14:textFill>
            <w14:solidFill>
              <w14:schemeClr w14:val="tx1"/>
            </w14:solidFill>
          </w14:textFill>
        </w:rPr>
        <w:t>融合特色镇</w:t>
      </w:r>
      <w:r>
        <w:rPr>
          <w:rFonts w:hint="eastAsia"/>
          <w:b/>
          <w:color w:val="000000" w:themeColor="text1"/>
          <w14:textFill>
            <w14:solidFill>
              <w14:schemeClr w14:val="tx1"/>
            </w14:solidFill>
          </w14:textFill>
        </w:rPr>
        <w:t>：</w:t>
      </w:r>
      <w:r>
        <w:rPr>
          <w:color w:val="000000" w:themeColor="text1"/>
          <w14:textFill>
            <w14:solidFill>
              <w14:schemeClr w14:val="tx1"/>
            </w14:solidFill>
          </w14:textFill>
        </w:rPr>
        <w:t>主动</w:t>
      </w:r>
      <w:r>
        <w:rPr>
          <w:rFonts w:ascii="仿宋" w:hAnsi="仿宋"/>
        </w:rPr>
        <w:t>对接“大光谷”板块</w:t>
      </w:r>
      <w:r>
        <w:t>，</w:t>
      </w:r>
      <w:r>
        <w:rPr>
          <w:rFonts w:hint="eastAsia"/>
        </w:rPr>
        <w:t>大力发展大数据</w:t>
      </w:r>
      <w:r>
        <w:t>、云计算、5G等新</w:t>
      </w:r>
      <w:r>
        <w:rPr>
          <w:rFonts w:hint="eastAsia"/>
        </w:rPr>
        <w:t>型产业，</w:t>
      </w:r>
      <w:r>
        <w:t>积极建设高新技术产业园区，</w:t>
      </w:r>
      <w:r>
        <w:rPr>
          <w:rFonts w:hint="eastAsia"/>
        </w:rPr>
        <w:t>重点打造红莲湖大数据产业园。立足区位优势和生态资源禀赋，大力发展旅游度假产业、</w:t>
      </w:r>
      <w:r>
        <w:t>文旅产业</w:t>
      </w:r>
      <w:r>
        <w:rPr>
          <w:rFonts w:hint="eastAsia"/>
        </w:rPr>
        <w:t>，以恒大童世界为文旅融合发展引擎，创新“文化+”融合发展模式，努力</w:t>
      </w:r>
      <w:r>
        <w:t>打造</w:t>
      </w:r>
      <w:r>
        <w:rPr>
          <w:rFonts w:hint="eastAsia"/>
        </w:rPr>
        <w:t>科技文旅融合创新示范。</w:t>
      </w:r>
    </w:p>
    <w:p>
      <w:pPr>
        <w:ind w:firstLine="602"/>
        <w:rPr>
          <w:rFonts w:cs="Times New Roman"/>
        </w:rPr>
      </w:pPr>
      <w:r>
        <w:rPr>
          <w:rFonts w:hint="eastAsia"/>
          <w:b/>
          <w:color w:val="000000" w:themeColor="text1"/>
          <w14:textFill>
            <w14:solidFill>
              <w14:schemeClr w14:val="tx1"/>
            </w14:solidFill>
          </w14:textFill>
        </w:rPr>
        <w:t>临江多式联运</w:t>
      </w:r>
      <w:r>
        <w:rPr>
          <w:b/>
          <w:color w:val="000000" w:themeColor="text1"/>
          <w14:textFill>
            <w14:solidFill>
              <w14:schemeClr w14:val="tx1"/>
            </w14:solidFill>
          </w14:textFill>
        </w:rPr>
        <w:t>特色镇</w:t>
      </w:r>
      <w:r>
        <w:rPr>
          <w:rFonts w:hint="eastAsia" w:cs="Times New Roman"/>
          <w:b/>
          <w:color w:val="000000" w:themeColor="text1"/>
          <w14:textFill>
            <w14:solidFill>
              <w14:schemeClr w14:val="tx1"/>
            </w14:solidFill>
          </w14:textFill>
        </w:rPr>
        <w:t>：</w:t>
      </w:r>
      <w:r>
        <w:rPr>
          <w:color w:val="000000" w:themeColor="text1"/>
          <w14:textFill>
            <w14:solidFill>
              <w14:schemeClr w14:val="tx1"/>
            </w14:solidFill>
          </w14:textFill>
        </w:rPr>
        <w:t>依托三</w:t>
      </w:r>
      <w:r>
        <w:t>江港</w:t>
      </w:r>
      <w:r>
        <w:rPr>
          <w:rFonts w:hint="eastAsia"/>
        </w:rPr>
        <w:t>区域</w:t>
      </w:r>
      <w:r>
        <w:t>开发，以</w:t>
      </w:r>
      <w:r>
        <w:rPr>
          <w:rFonts w:hint="eastAsia"/>
        </w:rPr>
        <w:t>第三批国家多式联运示范工程</w:t>
      </w:r>
      <w:r>
        <w:t>为重要抓手</w:t>
      </w:r>
      <w:r>
        <w:rPr>
          <w:rFonts w:hint="eastAsia"/>
        </w:rPr>
        <w:t>，</w:t>
      </w:r>
      <w:r>
        <w:t>大力发展以重大设备制造业、新型建材业、高新技术产业为主的临港产业以及以农产品进出口贸易、农产品深加工为主的现代物流商贸业</w:t>
      </w:r>
      <w:r>
        <w:rPr>
          <w:rFonts w:hint="eastAsia"/>
        </w:rPr>
        <w:t>，努力将临江建设成为滨江临港产业生态示范镇</w:t>
      </w:r>
      <w:r>
        <w:rPr>
          <w:rFonts w:cs="Times New Roman"/>
        </w:rPr>
        <w:t>。</w:t>
      </w:r>
    </w:p>
    <w:p>
      <w:pPr>
        <w:ind w:firstLine="602"/>
      </w:pPr>
      <w:r>
        <w:rPr>
          <w:rFonts w:hint="eastAsia"/>
          <w:b/>
          <w:color w:val="000000" w:themeColor="text1"/>
          <w14:textFill>
            <w14:solidFill>
              <w14:schemeClr w14:val="tx1"/>
            </w14:solidFill>
          </w14:textFill>
        </w:rPr>
        <w:t>段店农文旅</w:t>
      </w:r>
      <w:r>
        <w:rPr>
          <w:b/>
          <w:color w:val="000000" w:themeColor="text1"/>
          <w14:textFill>
            <w14:solidFill>
              <w14:schemeClr w14:val="tx1"/>
            </w14:solidFill>
          </w14:textFill>
        </w:rPr>
        <w:t>融合特色镇：</w:t>
      </w:r>
      <w:r>
        <w:rPr>
          <w:rFonts w:hint="eastAsia"/>
          <w:color w:val="000000" w:themeColor="text1"/>
          <w14:textFill>
            <w14:solidFill>
              <w14:schemeClr w14:val="tx1"/>
            </w14:solidFill>
          </w14:textFill>
        </w:rPr>
        <w:t>积极</w:t>
      </w:r>
      <w:r>
        <w:rPr>
          <w:rFonts w:hint="eastAsia"/>
        </w:rPr>
        <w:t>建设北部生态功能区，</w:t>
      </w:r>
      <w:r>
        <w:t>利用长江区域资源丰富、农耕文明发达、历史文化悠久等优势，</w:t>
      </w:r>
      <w:r>
        <w:rPr>
          <w:rFonts w:hint="eastAsia"/>
        </w:rPr>
        <w:t>大力发展以水稻、油菜、林果、蔬菜生产为基础，以台湾文化、长江文化、三国文化、农耕文化为主题，农文旅深度融合的新农业业态。充分</w:t>
      </w:r>
      <w:r>
        <w:t>利用</w:t>
      </w:r>
      <w:r>
        <w:rPr>
          <w:rFonts w:ascii="仿宋" w:hAnsi="仿宋"/>
        </w:rPr>
        <w:t>鄂东“冶金走廊”“建材走廊”的资源和经济技术</w:t>
      </w:r>
      <w:r>
        <w:rPr>
          <w:rFonts w:hint="eastAsia" w:ascii="仿宋" w:hAnsi="仿宋"/>
        </w:rPr>
        <w:t>优势</w:t>
      </w:r>
      <w:r>
        <w:rPr>
          <w:rFonts w:ascii="仿宋" w:hAnsi="仿宋"/>
        </w:rPr>
        <w:t>，依托胜利</w:t>
      </w:r>
      <w:r>
        <w:rPr>
          <w:rFonts w:hint="eastAsia" w:ascii="仿宋" w:hAnsi="仿宋"/>
        </w:rPr>
        <w:t>软管</w:t>
      </w:r>
      <w:r>
        <w:rPr>
          <w:rFonts w:ascii="仿宋" w:hAnsi="仿宋"/>
        </w:rPr>
        <w:t>、鑫吉药包等企业，大力发展医用软管企业，打造国家级田园综合体</w:t>
      </w:r>
      <w:r>
        <w:rPr>
          <w:rFonts w:hint="eastAsia" w:ascii="仿宋" w:hAnsi="仿宋"/>
        </w:rPr>
        <w:t>和乡村振兴示范镇。</w:t>
      </w:r>
    </w:p>
    <w:bookmarkEnd w:id="108"/>
    <w:p>
      <w:pPr>
        <w:ind w:firstLine="602"/>
        <w:rPr>
          <w:rFonts w:ascii="微软雅黑" w:hAnsi="微软雅黑" w:eastAsia="微软雅黑"/>
          <w:color w:val="0E0E0E"/>
          <w:sz w:val="27"/>
          <w:szCs w:val="27"/>
          <w:shd w:val="clear" w:color="auto" w:fill="FFFFFF"/>
        </w:rPr>
      </w:pPr>
      <w:bookmarkStart w:id="109" w:name="_Toc59376400"/>
      <w:r>
        <w:rPr>
          <w:rFonts w:hint="eastAsia"/>
          <w:b/>
          <w:color w:val="000000" w:themeColor="text1"/>
          <w14:textFill>
            <w14:solidFill>
              <w14:schemeClr w14:val="tx1"/>
            </w14:solidFill>
          </w14:textFill>
        </w:rPr>
        <w:t>蒲团现代农业特色镇：</w:t>
      </w:r>
      <w:r>
        <w:rPr>
          <w:rFonts w:hint="eastAsia"/>
          <w:color w:val="000000" w:themeColor="text1"/>
          <w14:textFill>
            <w14:solidFill>
              <w14:schemeClr w14:val="tx1"/>
            </w14:solidFill>
          </w14:textFill>
        </w:rPr>
        <w:t>围</w:t>
      </w:r>
      <w:r>
        <w:rPr>
          <w:rFonts w:hint="eastAsia"/>
        </w:rPr>
        <w:t>绕“借农兴城，借旅活城”的发展思路，重点发展农业深加工，建设一批省级农产品加工园，全面推进农业绿色发展，做深做优绿色农产品精深加工。以蒲团荷花节为载体，围绕“美食+”“乐活+”“健康+”“教育+”“服务+”五个导向，建设以荷花经济为特色的农文旅项目，推进农业与旅游、文化等产业深度融合</w:t>
      </w:r>
      <w:r>
        <w:t>，打造</w:t>
      </w:r>
      <w:r>
        <w:rPr>
          <w:rFonts w:hint="eastAsia"/>
        </w:rPr>
        <w:t>“荷花特色小镇”。</w:t>
      </w:r>
    </w:p>
    <w:p>
      <w:pPr>
        <w:pStyle w:val="6"/>
        <w:ind w:firstLine="602"/>
      </w:pPr>
      <w:bookmarkStart w:id="110" w:name="_Toc3981"/>
      <w:r>
        <w:t xml:space="preserve">第二节 </w:t>
      </w:r>
      <w:bookmarkEnd w:id="109"/>
      <w:r>
        <w:rPr>
          <w:rFonts w:hint="eastAsia"/>
        </w:rPr>
        <w:t>加快新型城镇化步伐</w:t>
      </w:r>
      <w:bookmarkEnd w:id="110"/>
    </w:p>
    <w:p>
      <w:pPr>
        <w:ind w:firstLine="600"/>
        <w:rPr>
          <w:bCs/>
        </w:rPr>
      </w:pPr>
      <w:r>
        <w:rPr>
          <w:rFonts w:hint="eastAsia"/>
        </w:rPr>
        <w:t>启动城市风貌提升行动，实施“华容园”二期建设，对主干道路沿线、老旧小区、机关企事业单位持续开展净化、美化、绿化、亮化、文化行动，大力实施旧城区和城中村改造及配套基础设施建设，争创“楚天杯”，着力打造花园式小区、花园式工厂、花园式城镇，擦亮“花容月貌”金字招牌。补齐城镇道路交通短板，加快“五纵五横”骨架路网建设，形成立体畅通的城市路网。增强城市污水处理能力，推进集镇道路雨污分流和路面改造工程、污水处理工程等重点项目，进一步提高污水处理能力，保证城市水体质量。积极谋划华容区有机垃圾无害化处理项目，加快建设建筑垃圾及大件垃圾调配厂、厨余垃圾处理站，不断美化城市环境。加强海绵城区建设，完善城区防洪排涝工程体系，完成主要排水设施配套和骨干工程的机电设备更新改造。完善城市服务功能，建设酒店、宾馆、体育馆、图书馆等城市公共服务配套设施。</w:t>
      </w:r>
      <w:r>
        <w:rPr>
          <w:rFonts w:ascii="仿宋" w:hAnsi="仿宋"/>
          <w:bCs/>
        </w:rPr>
        <w:t>推进清洁能源设施建设，加快发展智能电网工程，提高华容区智慧电网覆盖率，加快</w:t>
      </w:r>
      <w:r>
        <w:rPr>
          <w:rFonts w:hint="eastAsia" w:ascii="仿宋" w:hAnsi="仿宋"/>
          <w:bCs/>
        </w:rPr>
        <w:t>建设</w:t>
      </w:r>
      <w:r>
        <w:rPr>
          <w:rFonts w:ascii="仿宋" w:hAnsi="仿宋"/>
          <w:bCs/>
        </w:rPr>
        <w:t>新能源充电基础设施，搭建充电基础设施“云”管控平台</w:t>
      </w:r>
      <w:r>
        <w:rPr>
          <w:rFonts w:hint="eastAsia" w:ascii="仿宋" w:hAnsi="仿宋"/>
          <w:bCs/>
        </w:rPr>
        <w:t>，</w:t>
      </w:r>
      <w:r>
        <w:rPr>
          <w:rFonts w:ascii="仿宋" w:hAnsi="仿宋"/>
          <w:bCs/>
        </w:rPr>
        <w:t>提高清洁能源利用效率。完善能源供给方式，推进储气设施建设，做好能源储备供应规划布局，提升华容区能源供应保障能力</w:t>
      </w:r>
      <w:r>
        <w:rPr>
          <w:rFonts w:hint="eastAsia" w:ascii="仿宋" w:hAnsi="仿宋"/>
          <w:bCs/>
        </w:rPr>
        <w:t>。</w:t>
      </w:r>
    </w:p>
    <w:p>
      <w:pPr>
        <w:ind w:firstLine="600"/>
      </w:pPr>
      <w:r>
        <w:rPr>
          <w:rFonts w:hint="eastAsia"/>
        </w:rPr>
        <w:t>全面推进区政务服务中心、医保和社保经办大厅等电子政务系统建设，不断提升城市治理体系和治理能力现代化水平，以更加高效、快捷、温馨的政务服务，增强群众获得感。积极推进5G通信网络建设工程项目建设，重点满足华容城区5G信号连续覆盖，持续优化基础薄弱地区4G网络覆盖，推进骨干网、城域网扩容，推动家庭宽带千兆、百兆接入普及，提升华容区数字化、网络化、智能化基础设施水平。加快推进“雪亮工程”二期项目建设，推动传统基础设施数字转型和智能升级</w:t>
      </w:r>
      <w:r>
        <w:t>。</w:t>
      </w:r>
    </w:p>
    <w:tbl>
      <w:tblPr>
        <w:tblStyle w:val="5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color w:val="000000"/>
                <w:kern w:val="0"/>
                <w:sz w:val="21"/>
                <w:szCs w:val="21"/>
              </w:rPr>
            </w:pPr>
            <w:r>
              <w:rPr>
                <w:rFonts w:cs="Times New Roman"/>
                <w:b/>
                <w:color w:val="000000"/>
                <w:kern w:val="0"/>
                <w:sz w:val="24"/>
                <w:szCs w:val="24"/>
              </w:rPr>
              <w:t>专栏4-1</w:t>
            </w:r>
            <w:r>
              <w:rPr>
                <w:rFonts w:hint="eastAsia" w:cs="Times New Roman"/>
                <w:b/>
                <w:color w:val="000000"/>
                <w:kern w:val="0"/>
                <w:sz w:val="24"/>
                <w:szCs w:val="24"/>
              </w:rPr>
              <w:t>加快新型城镇化步伐项目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300" w:firstLineChars="0"/>
              <w:rPr>
                <w:rFonts w:eastAsia="宋体" w:cs="Times New Roman"/>
                <w:sz w:val="21"/>
                <w:szCs w:val="21"/>
              </w:rPr>
            </w:pPr>
            <w:r>
              <w:rPr>
                <w:rFonts w:cs="Times New Roman"/>
                <w:b/>
                <w:sz w:val="24"/>
                <w:szCs w:val="24"/>
              </w:rPr>
              <w:t>老旧小区改造</w:t>
            </w:r>
            <w:r>
              <w:rPr>
                <w:rFonts w:eastAsia="宋体" w:cs="Times New Roman"/>
                <w:b/>
                <w:sz w:val="21"/>
                <w:szCs w:val="21"/>
              </w:rPr>
              <w:t>：</w:t>
            </w:r>
            <w:r>
              <w:rPr>
                <w:rFonts w:cs="Times New Roman"/>
                <w:sz w:val="24"/>
                <w:szCs w:val="24"/>
              </w:rPr>
              <w:t>重点推进红莲湖集镇旧城改造</w:t>
            </w:r>
            <w:r>
              <w:rPr>
                <w:rFonts w:hint="eastAsia" w:cs="Times New Roman"/>
                <w:sz w:val="24"/>
                <w:szCs w:val="24"/>
              </w:rPr>
              <w:t>，</w:t>
            </w:r>
            <w:r>
              <w:rPr>
                <w:rFonts w:cs="Times New Roman"/>
                <w:sz w:val="24"/>
                <w:szCs w:val="24"/>
              </w:rPr>
              <w:t>主城区老旧小区改造项目</w:t>
            </w:r>
            <w:r>
              <w:rPr>
                <w:rFonts w:eastAsia="宋体" w:cs="Times New Roman"/>
                <w:sz w:val="21"/>
                <w:szCs w:val="21"/>
              </w:rPr>
              <w:t>。</w:t>
            </w:r>
          </w:p>
          <w:p>
            <w:pPr>
              <w:spacing w:line="300" w:lineRule="exact"/>
              <w:ind w:firstLine="300" w:firstLineChars="0"/>
              <w:rPr>
                <w:rFonts w:eastAsia="宋体" w:cs="Times New Roman"/>
                <w:sz w:val="21"/>
                <w:szCs w:val="21"/>
              </w:rPr>
            </w:pPr>
            <w:r>
              <w:rPr>
                <w:rFonts w:cs="Times New Roman"/>
                <w:b/>
                <w:sz w:val="24"/>
                <w:szCs w:val="24"/>
              </w:rPr>
              <w:t>城市雨污处理：</w:t>
            </w:r>
            <w:r>
              <w:rPr>
                <w:rFonts w:cs="Times New Roman"/>
                <w:sz w:val="24"/>
                <w:szCs w:val="24"/>
              </w:rPr>
              <w:t>华容区城镇雨污分流管网工程</w:t>
            </w:r>
            <w:r>
              <w:rPr>
                <w:rFonts w:hint="eastAsia" w:cs="Times New Roman"/>
                <w:sz w:val="24"/>
                <w:szCs w:val="24"/>
              </w:rPr>
              <w:t>，华容区交通路华新街雨污分流管网改造工程，红莲湖雨污水管网工程，</w:t>
            </w:r>
            <w:r>
              <w:rPr>
                <w:rFonts w:cs="Times New Roman"/>
                <w:sz w:val="24"/>
                <w:szCs w:val="24"/>
              </w:rPr>
              <w:t>三江港污水处理厂。</w:t>
            </w:r>
          </w:p>
          <w:p>
            <w:pPr>
              <w:spacing w:line="300" w:lineRule="exact"/>
              <w:ind w:firstLine="300" w:firstLineChars="0"/>
              <w:rPr>
                <w:rFonts w:eastAsia="宋体" w:cs="Times New Roman"/>
                <w:sz w:val="21"/>
                <w:szCs w:val="21"/>
              </w:rPr>
            </w:pPr>
            <w:r>
              <w:rPr>
                <w:rFonts w:cs="Times New Roman"/>
                <w:b/>
                <w:sz w:val="24"/>
                <w:szCs w:val="24"/>
              </w:rPr>
              <w:t>城市垃圾处理：</w:t>
            </w:r>
            <w:r>
              <w:rPr>
                <w:rFonts w:cs="Times New Roman"/>
                <w:sz w:val="24"/>
                <w:szCs w:val="24"/>
              </w:rPr>
              <w:t>华容区有机垃圾无害化处理项目，建筑垃圾及大件垃圾调配厂，厨余垃圾处理站。</w:t>
            </w:r>
          </w:p>
          <w:p>
            <w:pPr>
              <w:spacing w:line="300" w:lineRule="exact"/>
              <w:ind w:firstLine="300" w:firstLineChars="0"/>
              <w:rPr>
                <w:rFonts w:eastAsia="宋体" w:cs="Times New Roman"/>
                <w:sz w:val="21"/>
                <w:szCs w:val="21"/>
              </w:rPr>
            </w:pPr>
            <w:r>
              <w:rPr>
                <w:rFonts w:cs="Times New Roman"/>
                <w:b/>
                <w:sz w:val="24"/>
                <w:szCs w:val="24"/>
              </w:rPr>
              <w:t>市政交通：</w:t>
            </w:r>
            <w:r>
              <w:rPr>
                <w:rFonts w:hint="eastAsia" w:cs="Times New Roman"/>
                <w:sz w:val="24"/>
                <w:szCs w:val="24"/>
              </w:rPr>
              <w:t>红莲湖</w:t>
            </w:r>
            <w:r>
              <w:rPr>
                <w:rFonts w:cs="Times New Roman"/>
                <w:sz w:val="24"/>
                <w:szCs w:val="24"/>
              </w:rPr>
              <w:t>望湖一路、望湖二路、望湖三路、望湖四路</w:t>
            </w:r>
            <w:r>
              <w:rPr>
                <w:rFonts w:hint="eastAsia" w:cs="Times New Roman"/>
                <w:sz w:val="24"/>
                <w:szCs w:val="24"/>
              </w:rPr>
              <w:t>、</w:t>
            </w:r>
            <w:r>
              <w:rPr>
                <w:rFonts w:cs="Times New Roman"/>
                <w:sz w:val="24"/>
                <w:szCs w:val="24"/>
              </w:rPr>
              <w:t>脉岭南街</w:t>
            </w:r>
            <w:r>
              <w:rPr>
                <w:rFonts w:hint="eastAsia" w:cs="Times New Roman"/>
                <w:sz w:val="24"/>
                <w:szCs w:val="24"/>
              </w:rPr>
              <w:t>道路</w:t>
            </w:r>
            <w:r>
              <w:rPr>
                <w:rFonts w:cs="Times New Roman"/>
                <w:sz w:val="24"/>
                <w:szCs w:val="24"/>
              </w:rPr>
              <w:t>、未来二路、未来三路、</w:t>
            </w:r>
            <w:r>
              <w:rPr>
                <w:rFonts w:hint="eastAsia" w:cs="Times New Roman"/>
                <w:sz w:val="24"/>
                <w:szCs w:val="24"/>
              </w:rPr>
              <w:t>创新</w:t>
            </w:r>
            <w:r>
              <w:rPr>
                <w:rFonts w:cs="Times New Roman"/>
                <w:sz w:val="24"/>
                <w:szCs w:val="24"/>
              </w:rPr>
              <w:t>一路、创新二路、云端路、云端二路、</w:t>
            </w:r>
            <w:r>
              <w:rPr>
                <w:rFonts w:hint="eastAsia" w:cs="Times New Roman"/>
                <w:sz w:val="24"/>
                <w:szCs w:val="24"/>
              </w:rPr>
              <w:t>智慧</w:t>
            </w:r>
            <w:r>
              <w:rPr>
                <w:rFonts w:cs="Times New Roman"/>
                <w:sz w:val="24"/>
                <w:szCs w:val="24"/>
              </w:rPr>
              <w:t>一路、智慧二路</w:t>
            </w:r>
            <w:r>
              <w:rPr>
                <w:rFonts w:hint="eastAsia" w:cs="Times New Roman"/>
                <w:sz w:val="24"/>
                <w:szCs w:val="24"/>
              </w:rPr>
              <w:t>、互通临时连接线工程，恒大</w:t>
            </w:r>
            <w:r>
              <w:rPr>
                <w:rFonts w:cs="Times New Roman"/>
                <w:sz w:val="24"/>
                <w:szCs w:val="24"/>
              </w:rPr>
              <w:t>高新六路西段</w:t>
            </w:r>
            <w:r>
              <w:rPr>
                <w:rFonts w:hint="eastAsia" w:cs="Times New Roman"/>
                <w:sz w:val="24"/>
                <w:szCs w:val="24"/>
              </w:rPr>
              <w:t>，</w:t>
            </w:r>
            <w:r>
              <w:rPr>
                <w:rFonts w:cs="Times New Roman"/>
                <w:sz w:val="24"/>
                <w:szCs w:val="24"/>
              </w:rPr>
              <w:t>金山大道</w:t>
            </w:r>
            <w:r>
              <w:rPr>
                <w:rFonts w:hint="eastAsia" w:cs="Times New Roman"/>
                <w:sz w:val="24"/>
                <w:szCs w:val="24"/>
              </w:rPr>
              <w:t>，</w:t>
            </w:r>
            <w:r>
              <w:rPr>
                <w:rFonts w:cs="Times New Roman"/>
                <w:sz w:val="24"/>
                <w:szCs w:val="24"/>
              </w:rPr>
              <w:t>纬六路</w:t>
            </w:r>
            <w:r>
              <w:rPr>
                <w:rFonts w:hint="eastAsia" w:cs="Times New Roman"/>
                <w:sz w:val="24"/>
                <w:szCs w:val="24"/>
              </w:rPr>
              <w:t>，纬七路（华蒲路至纬十四路段），纬十四路（纬七路至高新大道段），纬十五路（华蒲路至疏港五路段），十六路（华蒲路至疏港五路段），纬十七路（华蒲路至疏港五路段），</w:t>
            </w:r>
            <w:r>
              <w:rPr>
                <w:rFonts w:cs="Times New Roman"/>
                <w:sz w:val="24"/>
                <w:szCs w:val="24"/>
              </w:rPr>
              <w:t>经纬二路</w:t>
            </w:r>
            <w:r>
              <w:rPr>
                <w:rFonts w:hint="eastAsia" w:cs="Times New Roman"/>
                <w:sz w:val="24"/>
                <w:szCs w:val="24"/>
              </w:rPr>
              <w:t>，</w:t>
            </w:r>
            <w:r>
              <w:rPr>
                <w:rFonts w:cs="Times New Roman"/>
                <w:sz w:val="24"/>
                <w:szCs w:val="24"/>
              </w:rPr>
              <w:t>经十八路</w:t>
            </w:r>
            <w:r>
              <w:rPr>
                <w:rFonts w:hint="eastAsia" w:cs="Times New Roman"/>
                <w:sz w:val="24"/>
                <w:szCs w:val="24"/>
              </w:rPr>
              <w:t>，纬九十四路，纬九十七路，</w:t>
            </w:r>
            <w:r>
              <w:rPr>
                <w:rFonts w:cs="Times New Roman"/>
                <w:sz w:val="24"/>
                <w:szCs w:val="24"/>
              </w:rPr>
              <w:t>金明大道东西段延长线工程</w:t>
            </w:r>
            <w:r>
              <w:rPr>
                <w:rFonts w:hint="eastAsia" w:cs="Times New Roman"/>
                <w:sz w:val="24"/>
                <w:szCs w:val="24"/>
              </w:rPr>
              <w:t>，</w:t>
            </w:r>
            <w:r>
              <w:rPr>
                <w:rFonts w:cs="Times New Roman"/>
                <w:sz w:val="24"/>
                <w:szCs w:val="24"/>
              </w:rPr>
              <w:t>华容区二号路西延伸工程</w:t>
            </w:r>
            <w:r>
              <w:rPr>
                <w:rFonts w:hint="eastAsia" w:cs="Times New Roman"/>
                <w:sz w:val="24"/>
                <w:szCs w:val="24"/>
              </w:rPr>
              <w:t>，</w:t>
            </w:r>
            <w:r>
              <w:rPr>
                <w:rFonts w:cs="Times New Roman"/>
                <w:sz w:val="24"/>
                <w:szCs w:val="24"/>
              </w:rPr>
              <w:t>华容区三号路（三期）工程</w:t>
            </w:r>
            <w:r>
              <w:rPr>
                <w:rFonts w:hint="eastAsia" w:cs="Times New Roman"/>
                <w:sz w:val="24"/>
                <w:szCs w:val="24"/>
              </w:rPr>
              <w:t>，</w:t>
            </w:r>
            <w:r>
              <w:rPr>
                <w:rFonts w:cs="Times New Roman"/>
                <w:sz w:val="24"/>
                <w:szCs w:val="24"/>
              </w:rPr>
              <w:t>华容区十号路</w:t>
            </w:r>
            <w:r>
              <w:rPr>
                <w:rFonts w:hint="eastAsia" w:cs="Times New Roman"/>
                <w:sz w:val="24"/>
                <w:szCs w:val="24"/>
              </w:rPr>
              <w:t>北</w:t>
            </w:r>
            <w:r>
              <w:rPr>
                <w:rFonts w:cs="Times New Roman"/>
                <w:sz w:val="24"/>
                <w:szCs w:val="24"/>
              </w:rPr>
              <w:t>延伸工程</w:t>
            </w:r>
            <w:r>
              <w:rPr>
                <w:rFonts w:hint="eastAsia" w:cs="Times New Roman"/>
                <w:sz w:val="24"/>
                <w:szCs w:val="24"/>
              </w:rPr>
              <w:t>，</w:t>
            </w:r>
            <w:r>
              <w:rPr>
                <w:rFonts w:cs="Times New Roman"/>
                <w:sz w:val="24"/>
                <w:szCs w:val="24"/>
              </w:rPr>
              <w:t>华容大道北延伸工程</w:t>
            </w:r>
            <w:r>
              <w:rPr>
                <w:rFonts w:hint="eastAsia" w:cs="Times New Roman"/>
                <w:sz w:val="24"/>
                <w:szCs w:val="24"/>
              </w:rPr>
              <w:t>，</w:t>
            </w:r>
            <w:r>
              <w:rPr>
                <w:rFonts w:cs="Times New Roman"/>
                <w:sz w:val="24"/>
                <w:szCs w:val="24"/>
              </w:rPr>
              <w:t>三江大道（鸿泰至孙彭段）改造工程。</w:t>
            </w:r>
          </w:p>
          <w:p>
            <w:pPr>
              <w:spacing w:line="300" w:lineRule="exact"/>
              <w:ind w:firstLine="300" w:firstLineChars="0"/>
              <w:rPr>
                <w:rFonts w:cs="Times New Roman"/>
                <w:sz w:val="24"/>
                <w:szCs w:val="24"/>
              </w:rPr>
            </w:pPr>
            <w:r>
              <w:rPr>
                <w:rFonts w:hint="eastAsia" w:cs="Times New Roman"/>
                <w:b/>
                <w:sz w:val="24"/>
                <w:szCs w:val="24"/>
              </w:rPr>
              <w:t>城市管网</w:t>
            </w:r>
            <w:r>
              <w:rPr>
                <w:rFonts w:cs="Times New Roman"/>
                <w:b/>
                <w:sz w:val="24"/>
                <w:szCs w:val="24"/>
              </w:rPr>
              <w:t>工程：</w:t>
            </w:r>
            <w:r>
              <w:rPr>
                <w:rFonts w:hint="eastAsia" w:cs="Times New Roman"/>
                <w:sz w:val="24"/>
                <w:szCs w:val="24"/>
              </w:rPr>
              <w:t>红莲湖旅游度假区电网改造工程，红莲湖旅游度假区自来水管网新建工程，红莲湖旅游度假区燃气管网改扩建工程。</w:t>
            </w:r>
          </w:p>
          <w:p>
            <w:pPr>
              <w:spacing w:line="300" w:lineRule="exact"/>
              <w:ind w:firstLine="300" w:firstLineChars="0"/>
              <w:rPr>
                <w:rFonts w:eastAsia="宋体" w:cs="Times New Roman"/>
                <w:sz w:val="21"/>
                <w:szCs w:val="21"/>
              </w:rPr>
            </w:pPr>
            <w:r>
              <w:rPr>
                <w:rFonts w:cs="Times New Roman"/>
                <w:b/>
                <w:sz w:val="24"/>
                <w:szCs w:val="24"/>
              </w:rPr>
              <w:t>油气建设工程：</w:t>
            </w:r>
            <w:r>
              <w:rPr>
                <w:rFonts w:cs="Times New Roman"/>
                <w:sz w:val="24"/>
                <w:szCs w:val="24"/>
              </w:rPr>
              <w:t>三江港LNG应急储备站，富地富江LNG加气站，三江港智慧能源</w:t>
            </w:r>
            <w:r>
              <w:rPr>
                <w:rFonts w:eastAsia="宋体" w:cs="Times New Roman"/>
                <w:sz w:val="21"/>
                <w:szCs w:val="21"/>
              </w:rPr>
              <w:t>。</w:t>
            </w:r>
          </w:p>
          <w:p>
            <w:pPr>
              <w:spacing w:line="300" w:lineRule="exact"/>
              <w:ind w:firstLine="300" w:firstLineChars="0"/>
              <w:rPr>
                <w:rFonts w:eastAsia="宋体" w:cs="Times New Roman"/>
                <w:b/>
                <w:sz w:val="21"/>
                <w:szCs w:val="21"/>
              </w:rPr>
            </w:pPr>
            <w:r>
              <w:rPr>
                <w:rFonts w:cs="Times New Roman"/>
                <w:b/>
                <w:sz w:val="24"/>
                <w:szCs w:val="24"/>
              </w:rPr>
              <w:t>城市公共服务配套设施:</w:t>
            </w:r>
            <w:r>
              <w:rPr>
                <w:rFonts w:cs="Times New Roman"/>
                <w:sz w:val="24"/>
                <w:szCs w:val="24"/>
              </w:rPr>
              <w:t>客运站</w:t>
            </w:r>
            <w:r>
              <w:rPr>
                <w:rFonts w:hint="eastAsia" w:cs="Times New Roman"/>
                <w:sz w:val="24"/>
                <w:szCs w:val="24"/>
              </w:rPr>
              <w:t>，恒大绿地公园，恒大生态停车场，</w:t>
            </w:r>
            <w:r>
              <w:rPr>
                <w:rFonts w:cs="Times New Roman"/>
                <w:sz w:val="24"/>
                <w:szCs w:val="24"/>
              </w:rPr>
              <w:t>红莲湖环湖绿</w:t>
            </w:r>
            <w:r>
              <w:rPr>
                <w:rFonts w:hint="eastAsia" w:cs="Times New Roman"/>
                <w:sz w:val="24"/>
                <w:szCs w:val="24"/>
              </w:rPr>
              <w:t>道</w:t>
            </w:r>
            <w:r>
              <w:rPr>
                <w:rFonts w:cs="Times New Roman"/>
                <w:sz w:val="24"/>
                <w:szCs w:val="24"/>
              </w:rPr>
              <w:t>。</w:t>
            </w:r>
          </w:p>
          <w:p>
            <w:pPr>
              <w:spacing w:line="300" w:lineRule="exact"/>
              <w:ind w:firstLine="300" w:firstLineChars="0"/>
              <w:rPr>
                <w:rFonts w:cs="Times New Roman"/>
                <w:sz w:val="24"/>
                <w:szCs w:val="24"/>
              </w:rPr>
            </w:pPr>
            <w:r>
              <w:rPr>
                <w:rFonts w:cs="Times New Roman"/>
                <w:b/>
                <w:sz w:val="24"/>
                <w:szCs w:val="24"/>
              </w:rPr>
              <w:t>城市新基建：</w:t>
            </w:r>
            <w:r>
              <w:rPr>
                <w:rFonts w:cs="Times New Roman"/>
                <w:sz w:val="24"/>
                <w:szCs w:val="24"/>
              </w:rPr>
              <w:t>5G通信网络建设工程项目</w:t>
            </w:r>
            <w:r>
              <w:rPr>
                <w:rFonts w:hint="eastAsia" w:cs="Times New Roman"/>
                <w:sz w:val="24"/>
                <w:szCs w:val="24"/>
              </w:rPr>
              <w:t>，</w:t>
            </w:r>
            <w:r>
              <w:rPr>
                <w:rFonts w:cs="Times New Roman"/>
                <w:sz w:val="24"/>
                <w:szCs w:val="24"/>
              </w:rPr>
              <w:t>鄂州华容区智慧新城项目</w:t>
            </w:r>
            <w:r>
              <w:rPr>
                <w:rFonts w:hint="eastAsia" w:cs="Times New Roman"/>
                <w:sz w:val="24"/>
                <w:szCs w:val="24"/>
              </w:rPr>
              <w:t>，</w:t>
            </w:r>
            <w:r>
              <w:rPr>
                <w:rFonts w:cs="Times New Roman"/>
                <w:sz w:val="24"/>
                <w:szCs w:val="24"/>
              </w:rPr>
              <w:t>“雪亮工程”二期项目。</w:t>
            </w:r>
          </w:p>
        </w:tc>
      </w:tr>
    </w:tbl>
    <w:p>
      <w:pPr>
        <w:pStyle w:val="6"/>
        <w:ind w:firstLine="602"/>
      </w:pPr>
      <w:bookmarkStart w:id="111" w:name="_Toc59376401"/>
      <w:bookmarkStart w:id="112" w:name="_Toc4387"/>
      <w:r>
        <w:t>第三节 统筹建设特色小镇</w:t>
      </w:r>
      <w:bookmarkEnd w:id="111"/>
      <w:bookmarkEnd w:id="112"/>
    </w:p>
    <w:p>
      <w:pPr>
        <w:ind w:firstLine="600"/>
        <w:rPr>
          <w:color w:val="000000"/>
        </w:rPr>
      </w:pPr>
      <w:r>
        <w:t>按</w:t>
      </w:r>
      <w:r>
        <w:rPr>
          <w:rFonts w:ascii="仿宋" w:hAnsi="仿宋"/>
        </w:rPr>
        <w:t>照“一镇一品”深入开展“特色小镇”创建，进一步明确城镇功能定位，挖掘产业特色、文化内涵和旅游资源优</w:t>
      </w:r>
      <w:r>
        <w:t>势，加快打造产业特色鲜明、生态环境优良、功能设施完善、社会事业进步的精品乡镇，形成小城镇发展的独特优势。重点推进城镇建设、功能完善和环境优化，持续推进旧城改造，增强社会管理、公共服务能力和集聚辐射功能，探索在政府引导下工商资本与农民集体合作共赢模</w:t>
      </w:r>
      <w:r>
        <w:rPr>
          <w:rFonts w:ascii="仿宋" w:hAnsi="仿宋"/>
        </w:rPr>
        <w:t>式。大力实施“擦亮小城镇”行动，重点围绕“一加强三整治三提升”行动</w:t>
      </w:r>
      <w:r>
        <w:rPr>
          <w:rFonts w:hint="eastAsia" w:ascii="仿宋" w:hAnsi="仿宋"/>
        </w:rPr>
        <w:t>，即</w:t>
      </w:r>
      <w:r>
        <w:rPr>
          <w:rFonts w:ascii="仿宋" w:hAnsi="仿宋"/>
        </w:rPr>
        <w:t>加强规划引领</w:t>
      </w:r>
      <w:r>
        <w:rPr>
          <w:rFonts w:hint="eastAsia" w:ascii="仿宋" w:hAnsi="仿宋"/>
        </w:rPr>
        <w:t>，</w:t>
      </w:r>
      <w:r>
        <w:rPr>
          <w:rFonts w:ascii="仿宋" w:hAnsi="仿宋"/>
        </w:rPr>
        <w:t>整治环境卫生、</w:t>
      </w:r>
      <w:r>
        <w:t>城镇秩序、乡容镇貌，提升设施功能、管理水平、风貌特色，实现全区乡镇提档升级</w:t>
      </w:r>
      <w:r>
        <w:rPr>
          <w:rFonts w:hint="eastAsia"/>
          <w:color w:val="000000"/>
        </w:rPr>
        <w:t>。</w:t>
      </w:r>
      <w:bookmarkEnd w:id="104"/>
      <w:bookmarkEnd w:id="105"/>
    </w:p>
    <w:p>
      <w:pPr>
        <w:pStyle w:val="5"/>
        <w:ind w:firstLine="643"/>
      </w:pPr>
      <w:bookmarkStart w:id="113" w:name="_Toc59376393"/>
      <w:bookmarkStart w:id="114" w:name="_Toc10756"/>
      <w:bookmarkStart w:id="115" w:name="_Toc59376402"/>
      <w:r>
        <w:t>第</w:t>
      </w:r>
      <w:r>
        <w:rPr>
          <w:rFonts w:hint="eastAsia"/>
        </w:rPr>
        <w:t>二</w:t>
      </w:r>
      <w:r>
        <w:t>章 全面推进乡村振兴战略</w:t>
      </w:r>
      <w:bookmarkEnd w:id="113"/>
      <w:bookmarkEnd w:id="114"/>
    </w:p>
    <w:p>
      <w:pPr>
        <w:ind w:firstLine="600"/>
      </w:pPr>
      <w:r>
        <w:rPr>
          <w:rFonts w:ascii="仿宋" w:hAnsi="仿宋"/>
        </w:rPr>
        <w:t>按照“产业兴旺、生态宜居、乡风文明、治理有效、生活富裕”的总要求，建立健全城乡融合发展体制机制和政策体系，深化农</w:t>
      </w:r>
      <w:r>
        <w:t>业供给侧结构性改革，推进农村基础设施、现代农业产业体系、美丽乡村、农村人居环境、乡村治理体系和治理能力现代化建设，全面实现农业强、农村美、农民富。</w:t>
      </w:r>
    </w:p>
    <w:p>
      <w:pPr>
        <w:pStyle w:val="6"/>
        <w:ind w:firstLine="602"/>
      </w:pPr>
      <w:bookmarkStart w:id="116" w:name="_Toc59376394"/>
      <w:bookmarkStart w:id="117" w:name="_Toc31144"/>
      <w:r>
        <w:t>第一节 加快推动现代农业发展</w:t>
      </w:r>
      <w:bookmarkEnd w:id="116"/>
      <w:bookmarkEnd w:id="117"/>
    </w:p>
    <w:p>
      <w:pPr>
        <w:ind w:firstLine="600"/>
      </w:pPr>
      <w:r>
        <w:rPr>
          <w:rFonts w:hint="eastAsia"/>
        </w:rPr>
        <w:t>强化绿色导向、标准引领和质量安全监管，依托农业农村部农业信息化标准化重点实验室华容工作站、中国环保产业研究院人居环境中心碳中和试验基地、碳富农业科研示范基地和华容台湾农民创业实验园，建设农业现代化示范园，提高农业规模化、产业化、信息化、标准化水平，全面提高农业综合生产能力。</w:t>
      </w:r>
    </w:p>
    <w:p>
      <w:pPr>
        <w:ind w:firstLine="600"/>
      </w:pPr>
      <w:r>
        <w:rPr>
          <w:rFonts w:hint="eastAsia"/>
        </w:rPr>
        <w:t>壮大新型农业经营主体。建立高素质农业企业家队伍和新型职业农</w:t>
      </w:r>
      <w:r>
        <w:rPr>
          <w:rFonts w:hint="eastAsia" w:ascii="仿宋" w:hAnsi="仿宋" w:cs="仿宋"/>
        </w:rPr>
        <w:t>民队伍，实施新型农业经营主体培育工程，培育一批一二三产业融合、适度规模经营多样、社会化服务支撑、与“互联网+”紧密结合的各类新型经营主体。培育发展家庭农场，提升农民专业合作社规范化水平，推广“公司+集体经济+合作经济组织”模式，以村级集体经济组织为主导，将农户有序组织起来，大力发展生态高效农业</w:t>
      </w:r>
      <w:r>
        <w:t>。</w:t>
      </w:r>
    </w:p>
    <w:p>
      <w:pPr>
        <w:ind w:firstLine="600"/>
      </w:pPr>
      <w:r>
        <w:rPr>
          <w:rFonts w:hint="eastAsia"/>
        </w:rPr>
        <w:t>高度重视粮食安全和农产品质量安全，严守永久基本农田保护红线，落实种粮支持政策，发展种子农业、现代渔业，做大做优精致苗木、精细果蔬、精品水产生态产业带，建设武汉城市圈“菜篮子”“果盘子”和“鱼池子”工程。</w:t>
      </w:r>
      <w:r>
        <w:rPr>
          <w:rFonts w:hint="eastAsia" w:ascii="仿宋" w:hAnsi="仿宋" w:cs="仿宋"/>
        </w:rPr>
        <w:t>以“一乡一业”“一村一品”为抓</w:t>
      </w:r>
      <w:r>
        <w:t>手，</w:t>
      </w:r>
      <w:r>
        <w:rPr>
          <w:rFonts w:hint="eastAsia"/>
        </w:rPr>
        <w:t>深入实施农业品牌培育行动，增加优质绿色农产品供给，落实“中国好粮油”和“荆楚好粮油”行动计划，争创一批高端、优质、绿色粮食品牌。做响、做优、做强特色品牌，挖掘优势产品，打造“名、特、优、新、稀”的地理标志农产品品牌。</w:t>
      </w:r>
    </w:p>
    <w:p>
      <w:pPr>
        <w:ind w:firstLine="600"/>
      </w:pPr>
      <w:r>
        <w:rPr>
          <w:rFonts w:hint="eastAsia"/>
        </w:rPr>
        <w:t>推进一二三产业深度融合</w:t>
      </w:r>
      <w:r>
        <w:t>。</w:t>
      </w:r>
      <w:r>
        <w:rPr>
          <w:rFonts w:hint="eastAsia"/>
        </w:rPr>
        <w:t>依托华容省级农产品加工园、夏大湖省级农业科技创新基地，打造集精深加工、仓储物流、商贸服务功能于一体的农产品加工园。</w:t>
      </w:r>
      <w:r>
        <w:t>鼓励</w:t>
      </w:r>
      <w:r>
        <w:rPr>
          <w:rFonts w:hint="eastAsia"/>
        </w:rPr>
        <w:t>社会和</w:t>
      </w:r>
      <w:r>
        <w:t>市场力量投资农业项目，</w:t>
      </w:r>
      <w:r>
        <w:rPr>
          <w:rFonts w:hint="eastAsia"/>
        </w:rPr>
        <w:t>支持合作共赢</w:t>
      </w:r>
      <w:r>
        <w:t>建设精品</w:t>
      </w:r>
      <w:r>
        <w:rPr>
          <w:rFonts w:hint="eastAsia"/>
        </w:rPr>
        <w:t>包装</w:t>
      </w:r>
      <w:r>
        <w:t>、冷藏保鲜、烘干等产地初加工设施</w:t>
      </w:r>
      <w:r>
        <w:rPr>
          <w:rFonts w:hint="eastAsia"/>
        </w:rPr>
        <w:t>。</w:t>
      </w:r>
      <w:r>
        <w:t>实施农产品加工业提升行动，支持开展农产品生产加工、综合利用关键技术研究与示范，不断做强华容省级农产品加工园。</w:t>
      </w:r>
      <w:r>
        <w:rPr>
          <w:rFonts w:hint="eastAsia"/>
        </w:rPr>
        <w:t>大力发展农村电商，完善镇级和村级电商服务站建设，</w:t>
      </w:r>
      <w:r>
        <w:t>搭建农产品营销推介平台</w:t>
      </w:r>
      <w:r>
        <w:rPr>
          <w:rFonts w:hint="eastAsia"/>
        </w:rPr>
        <w:t>，促进农产品产销对接。</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ascii="仿宋" w:hAnsi="仿宋" w:cs="Times New Roman"/>
                <w:b/>
                <w:sz w:val="24"/>
                <w:szCs w:val="24"/>
              </w:rPr>
            </w:pPr>
            <w:r>
              <w:rPr>
                <w:rFonts w:cs="Times New Roman"/>
                <w:b/>
                <w:color w:val="000000"/>
                <w:kern w:val="0"/>
                <w:sz w:val="24"/>
                <w:szCs w:val="24"/>
              </w:rPr>
              <w:t>专栏4-</w:t>
            </w:r>
            <w:r>
              <w:rPr>
                <w:rFonts w:hint="eastAsia" w:cs="Times New Roman"/>
                <w:b/>
                <w:color w:val="000000"/>
                <w:kern w:val="0"/>
                <w:sz w:val="24"/>
                <w:szCs w:val="24"/>
              </w:rPr>
              <w:t>2</w:t>
            </w:r>
            <w:r>
              <w:rPr>
                <w:rFonts w:cs="Times New Roman"/>
                <w:b/>
                <w:color w:val="000000"/>
                <w:kern w:val="0"/>
                <w:sz w:val="24"/>
                <w:szCs w:val="24"/>
              </w:rPr>
              <w:t xml:space="preserve">  </w:t>
            </w:r>
            <w:r>
              <w:rPr>
                <w:rFonts w:hint="eastAsia" w:cs="Times New Roman"/>
                <w:b/>
                <w:color w:val="000000"/>
                <w:kern w:val="0"/>
                <w:sz w:val="24"/>
                <w:szCs w:val="24"/>
              </w:rPr>
              <w:t>现代农业发展项目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rPr>
                <w:rFonts w:ascii="仿宋" w:hAnsi="仿宋" w:cs="Times New Roman"/>
                <w:sz w:val="24"/>
                <w:szCs w:val="24"/>
              </w:rPr>
            </w:pPr>
            <w:r>
              <w:rPr>
                <w:rFonts w:hint="eastAsia" w:ascii="仿宋" w:hAnsi="仿宋" w:cs="Times New Roman"/>
                <w:b/>
                <w:sz w:val="24"/>
                <w:szCs w:val="24"/>
              </w:rPr>
              <w:t>现代农业基地：</w:t>
            </w:r>
            <w:r>
              <w:rPr>
                <w:rFonts w:hint="eastAsia" w:ascii="仿宋" w:hAnsi="仿宋" w:cs="Times New Roman"/>
                <w:sz w:val="24"/>
                <w:szCs w:val="24"/>
              </w:rPr>
              <w:t>建设</w:t>
            </w:r>
            <w:r>
              <w:rPr>
                <w:rFonts w:ascii="仿宋" w:hAnsi="仿宋" w:cs="Times New Roman"/>
                <w:sz w:val="24"/>
                <w:szCs w:val="24"/>
              </w:rPr>
              <w:t>一批花卉</w:t>
            </w:r>
            <w:r>
              <w:rPr>
                <w:rFonts w:hint="eastAsia" w:ascii="仿宋" w:hAnsi="仿宋" w:cs="Times New Roman"/>
                <w:sz w:val="24"/>
                <w:szCs w:val="24"/>
              </w:rPr>
              <w:t>、</w:t>
            </w:r>
            <w:r>
              <w:rPr>
                <w:rFonts w:ascii="仿宋" w:hAnsi="仿宋" w:cs="Times New Roman"/>
                <w:sz w:val="24"/>
                <w:szCs w:val="24"/>
              </w:rPr>
              <w:t>果蔬、水产</w:t>
            </w:r>
            <w:r>
              <w:rPr>
                <w:rFonts w:hint="eastAsia" w:ascii="仿宋" w:hAnsi="仿宋" w:cs="Times New Roman"/>
                <w:sz w:val="24"/>
                <w:szCs w:val="24"/>
              </w:rPr>
              <w:t>现代农业基地</w:t>
            </w:r>
            <w:r>
              <w:rPr>
                <w:rFonts w:ascii="仿宋" w:hAnsi="仿宋" w:cs="Times New Roman"/>
                <w:sz w:val="24"/>
                <w:szCs w:val="24"/>
              </w:rPr>
              <w:t>，重点推进</w:t>
            </w:r>
            <w:r>
              <w:rPr>
                <w:rFonts w:hint="eastAsia" w:ascii="仿宋" w:hAnsi="仿宋" w:cs="Times New Roman"/>
                <w:sz w:val="24"/>
                <w:szCs w:val="24"/>
              </w:rPr>
              <w:t>现代农业发展专项、特色农产品生产基地、生态循环农业示范基地建设、鲜果产业园、水产加工及养殖基地建设、湖北现代农业科技创新与集成示范基地、湖北杏福现代农业产业园等项目建设。</w:t>
            </w:r>
          </w:p>
          <w:p>
            <w:pPr>
              <w:spacing w:line="240" w:lineRule="auto"/>
              <w:ind w:firstLine="482"/>
              <w:rPr>
                <w:rFonts w:ascii="仿宋" w:hAnsi="仿宋" w:cs="Times New Roman"/>
                <w:sz w:val="24"/>
                <w:szCs w:val="24"/>
              </w:rPr>
            </w:pPr>
            <w:r>
              <w:rPr>
                <w:rFonts w:hint="eastAsia" w:ascii="仿宋" w:hAnsi="仿宋" w:cs="Times New Roman"/>
                <w:b/>
                <w:sz w:val="24"/>
                <w:szCs w:val="24"/>
              </w:rPr>
              <w:t>农业现代化能力</w:t>
            </w:r>
            <w:r>
              <w:rPr>
                <w:rFonts w:ascii="仿宋" w:hAnsi="仿宋" w:cs="Times New Roman"/>
                <w:b/>
                <w:sz w:val="24"/>
                <w:szCs w:val="24"/>
              </w:rPr>
              <w:t>提升：</w:t>
            </w:r>
            <w:r>
              <w:rPr>
                <w:rFonts w:hint="eastAsia" w:ascii="仿宋" w:hAnsi="仿宋" w:cs="Times New Roman"/>
                <w:sz w:val="24"/>
                <w:szCs w:val="24"/>
              </w:rPr>
              <w:t>水肥一体化试验示范工程、渔业生态环境修复与保护体系建设项目。</w:t>
            </w:r>
          </w:p>
          <w:p>
            <w:pPr>
              <w:spacing w:line="240" w:lineRule="auto"/>
              <w:ind w:firstLine="482"/>
              <w:rPr>
                <w:rFonts w:ascii="仿宋" w:hAnsi="仿宋" w:cs="Times New Roman"/>
                <w:sz w:val="24"/>
                <w:szCs w:val="24"/>
              </w:rPr>
            </w:pPr>
            <w:r>
              <w:rPr>
                <w:rFonts w:hint="eastAsia" w:ascii="仿宋" w:hAnsi="仿宋" w:cs="Times New Roman"/>
                <w:b/>
                <w:sz w:val="24"/>
                <w:szCs w:val="24"/>
              </w:rPr>
              <w:t>农产品深加工</w:t>
            </w:r>
            <w:r>
              <w:rPr>
                <w:rFonts w:ascii="仿宋" w:hAnsi="仿宋" w:cs="Times New Roman"/>
                <w:b/>
                <w:sz w:val="24"/>
                <w:szCs w:val="24"/>
              </w:rPr>
              <w:t>：</w:t>
            </w:r>
            <w:r>
              <w:rPr>
                <w:rFonts w:hint="eastAsia" w:ascii="仿宋" w:hAnsi="仿宋" w:cs="Times New Roman"/>
                <w:sz w:val="24"/>
                <w:szCs w:val="24"/>
              </w:rPr>
              <w:t>重点</w:t>
            </w:r>
            <w:r>
              <w:rPr>
                <w:rFonts w:ascii="仿宋" w:hAnsi="仿宋" w:cs="Times New Roman"/>
                <w:sz w:val="24"/>
                <w:szCs w:val="24"/>
              </w:rPr>
              <w:t>实施</w:t>
            </w:r>
            <w:r>
              <w:rPr>
                <w:rFonts w:hint="eastAsia" w:ascii="仿宋" w:hAnsi="仿宋" w:cs="Times New Roman"/>
                <w:sz w:val="24"/>
                <w:szCs w:val="24"/>
              </w:rPr>
              <w:t>农产品加工产业园、畜禽标准化规模养殖项目、标准化种植示范基地及深加工建设、农产品加工生产线改扩建、食品饮料生产与加工、农产品产销一体化项目等项目。</w:t>
            </w:r>
          </w:p>
          <w:p>
            <w:pPr>
              <w:spacing w:line="240" w:lineRule="auto"/>
              <w:ind w:firstLine="482"/>
              <w:rPr>
                <w:rFonts w:ascii="仿宋" w:hAnsi="仿宋" w:cs="Times New Roman"/>
                <w:sz w:val="24"/>
                <w:szCs w:val="24"/>
              </w:rPr>
            </w:pPr>
            <w:r>
              <w:rPr>
                <w:rFonts w:hint="eastAsia" w:ascii="仿宋" w:hAnsi="仿宋" w:cs="Times New Roman"/>
                <w:b/>
                <w:sz w:val="24"/>
                <w:szCs w:val="24"/>
              </w:rPr>
              <w:t>农业</w:t>
            </w:r>
            <w:r>
              <w:rPr>
                <w:rFonts w:ascii="仿宋" w:hAnsi="仿宋" w:cs="Times New Roman"/>
                <w:b/>
                <w:sz w:val="24"/>
                <w:szCs w:val="24"/>
              </w:rPr>
              <w:t>品牌：</w:t>
            </w:r>
            <w:r>
              <w:rPr>
                <w:rFonts w:hint="eastAsia" w:ascii="仿宋" w:hAnsi="仿宋" w:cs="Times New Roman"/>
                <w:sz w:val="24"/>
                <w:szCs w:val="24"/>
              </w:rPr>
              <w:t>重点</w:t>
            </w:r>
            <w:r>
              <w:rPr>
                <w:rFonts w:ascii="仿宋" w:hAnsi="仿宋" w:cs="Times New Roman"/>
                <w:sz w:val="24"/>
                <w:szCs w:val="24"/>
              </w:rPr>
              <w:t>推进</w:t>
            </w:r>
            <w:r>
              <w:rPr>
                <w:rFonts w:hint="eastAsia" w:ascii="仿宋" w:hAnsi="仿宋" w:cs="Times New Roman"/>
                <w:sz w:val="24"/>
                <w:szCs w:val="24"/>
              </w:rPr>
              <w:t>农产品品牌建设项目、农产品质量安全体系建设项目建设，做大“原野甜缘”“樱桂源”“西洋畈”等生态农产品品牌，打响南迹湖牌生态大米、兴达三红蜜柚、双胜金钱橘等农业特色品牌。</w:t>
            </w:r>
          </w:p>
          <w:p>
            <w:pPr>
              <w:spacing w:line="240" w:lineRule="auto"/>
              <w:ind w:firstLine="482"/>
              <w:rPr>
                <w:rFonts w:ascii="仿宋" w:hAnsi="仿宋" w:cs="Times New Roman"/>
                <w:sz w:val="24"/>
                <w:szCs w:val="24"/>
              </w:rPr>
            </w:pPr>
            <w:r>
              <w:rPr>
                <w:rFonts w:hint="eastAsia" w:ascii="仿宋" w:hAnsi="仿宋" w:cs="Times New Roman"/>
                <w:b/>
                <w:sz w:val="24"/>
                <w:szCs w:val="24"/>
              </w:rPr>
              <w:t>农业政策和</w:t>
            </w:r>
            <w:r>
              <w:rPr>
                <w:rFonts w:ascii="仿宋" w:hAnsi="仿宋" w:cs="Times New Roman"/>
                <w:b/>
                <w:sz w:val="24"/>
                <w:szCs w:val="24"/>
              </w:rPr>
              <w:t>技术：</w:t>
            </w:r>
            <w:r>
              <w:rPr>
                <w:rFonts w:hint="eastAsia" w:ascii="仿宋" w:hAnsi="仿宋" w:cs="Times New Roman"/>
                <w:sz w:val="24"/>
                <w:szCs w:val="24"/>
              </w:rPr>
              <w:t>农机报废更新补助及农机作业综合奖补试点、节粮减损技术装备、农业投入品监管、配送和技术服务体系建设项目、农村集体经济产权交易中心建设、农业综合信息服务平台建设、“双水双绿”项目、中央财政农业转移支付项目。</w:t>
            </w:r>
          </w:p>
        </w:tc>
      </w:tr>
    </w:tbl>
    <w:p>
      <w:pPr>
        <w:pStyle w:val="6"/>
        <w:ind w:firstLine="602"/>
      </w:pPr>
      <w:bookmarkStart w:id="118" w:name="_Toc59376395"/>
      <w:bookmarkStart w:id="119" w:name="_Toc8790"/>
      <w:r>
        <w:t>第二节 打造生态宜居美丽田园</w:t>
      </w:r>
      <w:bookmarkEnd w:id="118"/>
      <w:bookmarkEnd w:id="119"/>
    </w:p>
    <w:p>
      <w:pPr>
        <w:ind w:firstLine="600"/>
      </w:pPr>
      <w:r>
        <w:rPr>
          <w:rFonts w:hint="eastAsia"/>
        </w:rPr>
        <w:t>坚持生态优先、绿色发展、尊重自然、顺应自然、保护自然，高标准推进乡村振兴示范带和精品带建设，打造</w:t>
      </w:r>
      <w:r>
        <w:rPr>
          <w:rFonts w:hint="eastAsia" w:ascii="仿宋" w:hAnsi="仿宋"/>
        </w:rPr>
        <w:t>“产业强、生态美、乡风好、治理善、农民富”“宜居、宜业、宜游、宜养”</w:t>
      </w:r>
      <w:r>
        <w:rPr>
          <w:rFonts w:hint="eastAsia"/>
        </w:rPr>
        <w:t>的华容样板。</w:t>
      </w:r>
      <w:r>
        <w:rPr>
          <w:rFonts w:ascii="仿宋" w:hAnsi="仿宋"/>
        </w:rPr>
        <w:t>围绕“省级绿色示范乡村”“省级美丽乡村建设示范村”创建，注重挖掘展示农耕文化、民俗风情</w:t>
      </w:r>
      <w:r>
        <w:rPr>
          <w:rFonts w:hint="eastAsia" w:ascii="仿宋" w:hAnsi="仿宋"/>
        </w:rPr>
        <w:t>，</w:t>
      </w:r>
      <w:r>
        <w:rPr>
          <w:rFonts w:hint="eastAsia"/>
        </w:rPr>
        <w:t>重塑乡村文明风貌。强化规划引领，统筹城镇和乡村规划建设，优化乡村布局与乡村产业、基础设施、公共事业配套和土地整治等统筹规划、协同建设，加强农民建房规划管理，提升农房建设质量。开展乡村建设系列行动，扎实推进风情小镇、村落景区、精品示范线等建设。</w:t>
      </w:r>
    </w:p>
    <w:p>
      <w:pPr>
        <w:ind w:firstLine="600"/>
      </w:pPr>
      <w:r>
        <w:rPr>
          <w:rFonts w:hint="eastAsia"/>
        </w:rPr>
        <w:t>持续深化村庄人居环境全域整治，加快美丽家园、绿色田园、幸福乐园建设，高质量建设一批“乡村公园”。</w:t>
      </w:r>
      <w:r>
        <w:t>加强乡村环境综合整治</w:t>
      </w:r>
      <w:r>
        <w:rPr>
          <w:rFonts w:hint="eastAsia"/>
        </w:rPr>
        <w:t>，</w:t>
      </w:r>
      <w:r>
        <w:t>加快推进农村生活污水处理</w:t>
      </w:r>
      <w:r>
        <w:rPr>
          <w:rFonts w:hint="eastAsia"/>
        </w:rPr>
        <w:t>，</w:t>
      </w:r>
      <w:r>
        <w:t>推动城镇污水管网向周边村庄延伸覆盖，实现重点流域周边、水源地重点地区及环境敏感区的村庄生活污水治理设施全覆盖。因地制宜科学制定农村生活垃圾收运和处理方式，逐步建立农</w:t>
      </w:r>
      <w:r>
        <w:rPr>
          <w:rFonts w:hint="eastAsia" w:ascii="仿宋" w:hAnsi="仿宋" w:cs="仿宋"/>
        </w:rPr>
        <w:t>村垃圾“分类收集、定点投放、回收利用、末端处置”运行体系，探索具有华容特色的农村垃圾分类新模式。依托农村人居环境整治工程、“厕所革命”推进工程和畜禽粪污资源化利用推进项目，建立健全村庄</w:t>
      </w:r>
      <w:r>
        <w:t>保洁体系，加强垃圾分类宣传和推广，提升农村人居环境。</w:t>
      </w:r>
    </w:p>
    <w:p>
      <w:pPr>
        <w:ind w:firstLine="600"/>
      </w:pPr>
      <w:r>
        <w:t>推进乡村治理现代化。完善农村基本公共服务体系，推进农村基本公共服务均等化水平，健全农村社会保障体系，推动落实农村留守老人、妇女、</w:t>
      </w:r>
      <w:r>
        <w:rPr>
          <w:rFonts w:hint="eastAsia"/>
        </w:rPr>
        <w:t>儿童和</w:t>
      </w:r>
      <w:r>
        <w:t>残疾人关爱服务，加快推进农村养老服务体系建设，开展留守妇女就业创业技能培训，保障农村留守儿童健康成长，建设农村福利院。健全村民委员会等村民自治组织民主制度，推进乡村治理重心下移，完善农村联防联控公共安全管理机制，加快美丽乡村智慧社区建设，实现乡村公共服务和管理精细化、精准化、现代化。</w:t>
      </w:r>
    </w:p>
    <w:p>
      <w:pPr>
        <w:pStyle w:val="6"/>
        <w:ind w:firstLine="602"/>
      </w:pPr>
      <w:bookmarkStart w:id="120" w:name="_Toc59376396"/>
      <w:bookmarkStart w:id="121" w:name="_Toc28202"/>
      <w:r>
        <w:t>第三节 推动农村基础设施建设</w:t>
      </w:r>
      <w:bookmarkEnd w:id="120"/>
      <w:bookmarkEnd w:id="121"/>
    </w:p>
    <w:p>
      <w:pPr>
        <w:ind w:firstLine="600"/>
      </w:pPr>
      <w:r>
        <w:rPr>
          <w:rFonts w:hint="eastAsia"/>
        </w:rPr>
        <w:t>健全农村公用设施集约建设、高效利用、长效管护机制，推进农村水、电、路、气、通信、广播电视、物流等基础设施提档升级。</w:t>
      </w:r>
    </w:p>
    <w:p>
      <w:pPr>
        <w:ind w:firstLine="600"/>
      </w:pPr>
      <w:r>
        <w:rPr>
          <w:rFonts w:hint="eastAsia"/>
        </w:rPr>
        <w:t>创建省级“四好农村路”示范区，打造美丽农村路。坚持“四好乡村路”建设标准，按照“三个倾斜”和“两个全覆盖”的原则，完善农村公路末梢网、扩大城乡客运运营覆盖面、促进城乡物流融合发展，重点打通区际、区间断头路，加快农村公路循环成网，扩宽改造乡村窄路，提升道路通行能力。深化农村公路养护机制改革，形成较为完善的农村公路养护市场体系。</w:t>
      </w:r>
    </w:p>
    <w:p>
      <w:pPr>
        <w:ind w:firstLine="600"/>
      </w:pPr>
      <w:r>
        <w:t>高标准农村水利基础设施建设。</w:t>
      </w:r>
      <w:r>
        <w:rPr>
          <w:rFonts w:hint="eastAsia"/>
        </w:rPr>
        <w:t>推进</w:t>
      </w:r>
      <w:r>
        <w:t>华容区补短板项目、退垸还湖工程、蒲团乡高标准农田建设、</w:t>
      </w:r>
      <w:r>
        <w:rPr>
          <w:rFonts w:hint="eastAsia"/>
        </w:rPr>
        <w:t>华容区农田排涝能力提升工程</w:t>
      </w:r>
      <w:r>
        <w:t>灌区末系渠道改造项目、实施大中型灌区续建配套与现代化改造工程</w:t>
      </w:r>
      <w:r>
        <w:rPr>
          <w:rFonts w:hint="eastAsia"/>
        </w:rPr>
        <w:t>、</w:t>
      </w:r>
      <w:r>
        <w:t>节水灌溉开发</w:t>
      </w:r>
      <w:r>
        <w:rPr>
          <w:rFonts w:hint="eastAsia"/>
        </w:rPr>
        <w:t>等项目建设，补齐农村水利基础设施短板，</w:t>
      </w:r>
      <w:r>
        <w:t>解决农田水利基本</w:t>
      </w:r>
      <w:r>
        <w:rPr>
          <w:rFonts w:hint="eastAsia" w:ascii="仿宋" w:hAnsi="仿宋" w:cs="仿宋"/>
        </w:rPr>
        <w:t>建设“最后一公里”问</w:t>
      </w:r>
      <w:r>
        <w:t>题。</w:t>
      </w:r>
    </w:p>
    <w:p>
      <w:pPr>
        <w:ind w:firstLine="600"/>
      </w:pPr>
      <w:r>
        <w:t>建设乡村清洁能源供应体系。加快新一轮农村电网改造升级，整村整镇规划农村地区电网，提倡多村联建集中式光伏电站项目</w:t>
      </w:r>
      <w:r>
        <w:rPr>
          <w:rFonts w:hint="eastAsia"/>
        </w:rPr>
        <w:t>，</w:t>
      </w:r>
      <w:r>
        <w:t>促进农村地区电力基础设施提档升级。</w:t>
      </w:r>
      <w:r>
        <w:rPr>
          <w:rFonts w:ascii="仿宋" w:hAnsi="仿宋"/>
        </w:rPr>
        <w:t>大力发展“互联网+”智慧能源，促进能源和信息深度融合，加强农村能源发展统筹规划，</w:t>
      </w:r>
      <w:r>
        <w:t>支持绿色能源示范村镇创建</w:t>
      </w:r>
      <w:r>
        <w:rPr>
          <w:rFonts w:hint="eastAsia"/>
        </w:rPr>
        <w:t>，推进LPG微管网建设，</w:t>
      </w:r>
      <w:r>
        <w:t>推动供气设施向农村延伸</w:t>
      </w:r>
      <w:r>
        <w:rPr>
          <w:rFonts w:hint="eastAsia"/>
        </w:rPr>
        <w:t>，</w:t>
      </w:r>
      <w:r>
        <w:rPr>
          <w:rFonts w:ascii="仿宋" w:hAnsi="仿宋"/>
        </w:rPr>
        <w:t>探索建设农村能源革命示范区</w:t>
      </w:r>
      <w:r>
        <w:rPr>
          <w:rFonts w:hint="eastAsia" w:ascii="仿宋" w:hAnsi="仿宋"/>
        </w:rPr>
        <w:t>，</w:t>
      </w:r>
      <w:r>
        <w:rPr>
          <w:rFonts w:ascii="仿宋" w:hAnsi="仿宋"/>
        </w:rPr>
        <w:t>支撑和推进农村能源革命</w:t>
      </w:r>
      <w:r>
        <w:rPr>
          <w:rFonts w:hint="eastAsia" w:ascii="仿宋" w:hAnsi="仿宋"/>
        </w:rPr>
        <w:t>。</w:t>
      </w:r>
    </w:p>
    <w:p>
      <w:pPr>
        <w:ind w:firstLine="600"/>
        <w:rPr>
          <w:rFonts w:ascii="仿宋" w:hAnsi="仿宋" w:cs="仿宋"/>
        </w:rPr>
      </w:pPr>
      <w:r>
        <w:t>完善水资源保障体系。结合华容区农村饮水安全巩固提升工程项目，统筹推进中小型水源地工程，着力破解饮用水安全的发展瓶颈，大力补齐供水基础设施薄弱短板，推进应急备用水源工程建设，逐步实现多源互补供水格局。进一步提高农村自来水普及率、水质达标率、集中供水率和供水保证</w:t>
      </w:r>
      <w:r>
        <w:rPr>
          <w:rFonts w:hint="eastAsia" w:ascii="仿宋" w:hAnsi="仿宋" w:cs="仿宋"/>
        </w:rPr>
        <w:t>率，建立起“从源头到龙头”的农村饮水安全保障体系。</w:t>
      </w:r>
    </w:p>
    <w:p>
      <w:pPr>
        <w:pStyle w:val="6"/>
        <w:ind w:firstLine="602"/>
      </w:pPr>
      <w:bookmarkStart w:id="122" w:name="_Toc59376397"/>
      <w:bookmarkStart w:id="123" w:name="_Toc21254"/>
      <w:r>
        <w:t>第四节 健全城乡融合发展机制</w:t>
      </w:r>
      <w:bookmarkEnd w:id="122"/>
      <w:bookmarkEnd w:id="123"/>
    </w:p>
    <w:p>
      <w:pPr>
        <w:ind w:firstLine="600"/>
      </w:pPr>
      <w:r>
        <w:rPr>
          <w:rFonts w:hint="eastAsia"/>
        </w:rPr>
        <w:t>深化农业农村领域改革。推动农村土地制度改革，落实第二轮</w:t>
      </w:r>
      <w:r>
        <w:t>土地承包到期后再延长</w:t>
      </w:r>
      <w:r>
        <w:rPr>
          <w:rFonts w:hint="eastAsia"/>
        </w:rPr>
        <w:t>三十年</w:t>
      </w:r>
      <w:r>
        <w:t>政策，</w:t>
      </w:r>
      <w:r>
        <w:rPr>
          <w:rFonts w:hint="eastAsia"/>
        </w:rPr>
        <w:t>探索实施集体经营性建设用地入市配套制度，探索宅基地所有权、资格权、使用权分置实现形式。深化农村产权制度改革，构建归属清晰、权能完整、流转顺畅、保护严格的农村集体产权制度，</w:t>
      </w:r>
      <w:r>
        <w:t>充分盘活集体资产，发展新型农村集体经济</w:t>
      </w:r>
      <w:r>
        <w:rPr>
          <w:rFonts w:hint="eastAsia"/>
        </w:rPr>
        <w:t>。</w:t>
      </w:r>
    </w:p>
    <w:p>
      <w:pPr>
        <w:ind w:firstLine="600"/>
      </w:pPr>
      <w:r>
        <w:rPr>
          <w:rFonts w:hint="eastAsia"/>
        </w:rPr>
        <w:t>优化</w:t>
      </w:r>
      <w:r>
        <w:t>城乡</w:t>
      </w:r>
      <w:r>
        <w:rPr>
          <w:rFonts w:hint="eastAsia"/>
        </w:rPr>
        <w:t>要素</w:t>
      </w:r>
      <w:r>
        <w:t>合理配置。</w:t>
      </w:r>
      <w:r>
        <w:rPr>
          <w:rFonts w:hint="eastAsia"/>
        </w:rPr>
        <w:t>健全</w:t>
      </w:r>
      <w:r>
        <w:t>城乡融合发展</w:t>
      </w:r>
      <w:r>
        <w:rPr>
          <w:rFonts w:hint="eastAsia"/>
        </w:rPr>
        <w:t>机制</w:t>
      </w:r>
      <w:r>
        <w:t>，</w:t>
      </w:r>
      <w:r>
        <w:rPr>
          <w:rFonts w:hint="eastAsia"/>
        </w:rPr>
        <w:t>有序</w:t>
      </w:r>
      <w:r>
        <w:t>引导人才、土地、资金、技术等要素</w:t>
      </w:r>
      <w:r>
        <w:rPr>
          <w:rFonts w:hint="eastAsia"/>
        </w:rPr>
        <w:t>向</w:t>
      </w:r>
      <w:r>
        <w:t>农村</w:t>
      </w:r>
      <w:r>
        <w:rPr>
          <w:rFonts w:hint="eastAsia"/>
        </w:rPr>
        <w:t>流动</w:t>
      </w:r>
      <w:r>
        <w:t>，提高农业</w:t>
      </w:r>
      <w:r>
        <w:rPr>
          <w:rFonts w:hint="eastAsia"/>
        </w:rPr>
        <w:t>农村</w:t>
      </w:r>
      <w:r>
        <w:t>发展活力</w:t>
      </w:r>
      <w:r>
        <w:rPr>
          <w:rFonts w:hint="eastAsia"/>
        </w:rPr>
        <w:t>。深化财政支农体制机制改革，加快培育低收入农户发展新动能，健全减缓相对贫困机制，巩固拓展脱贫攻坚成果，运用脱贫攻坚成功经验推动乡村振兴，推进规划、政策、产业、组织和人才等有效衔接。深入实施“市民下乡、能人回乡、企业兴乡”工程，引导人才、资金、技术要素向农村流动，鼓励在外创业成功的企业家返乡创业，引导农村籍高校毕业生回乡就业创业，鼓励优秀人才到村任职，鼓励工商资本投资乡村建设。推动生产、供销、信用改革创新，打造为农服务综合平台。实施科技特派员、农村工作指导员制度，推动乡村人才振兴。</w:t>
      </w:r>
    </w:p>
    <w:p>
      <w:pPr>
        <w:ind w:firstLine="600"/>
        <w:rPr>
          <w:rFonts w:ascii="仿宋" w:hAnsi="仿宋" w:cs="仿宋"/>
        </w:rPr>
      </w:pPr>
      <w:r>
        <w:t>推动城乡基本公共服务普惠共享。实施均等化的教育管理制度，将农业转移人口随迁子女义务教育纳入教育发展规划和财政保障范畴。扎实推进医改和分级诊疗工作，构建区、乡（社区）一体的紧密型医联体，持续推</w:t>
      </w:r>
      <w:r>
        <w:rPr>
          <w:rFonts w:ascii="仿宋" w:hAnsi="仿宋"/>
        </w:rPr>
        <w:t>进“五化”</w:t>
      </w:r>
      <w:r>
        <w:t>村卫生</w:t>
      </w:r>
      <w:r>
        <w:rPr>
          <w:rFonts w:hint="eastAsia" w:ascii="仿宋" w:hAnsi="仿宋" w:cs="仿宋"/>
        </w:rPr>
        <w:t>室和“四化”乡镇卫生院创建工作。整合城乡居民基本医疗保险制度，建立一个网络贯通全区的基本医保制度体系和经办服务管理机制。推进农村劳动力跨区域就业和“家门口”就业。</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96" w:type="dxa"/>
          </w:tcPr>
          <w:p>
            <w:pPr>
              <w:widowControl/>
              <w:spacing w:line="400" w:lineRule="exact"/>
              <w:ind w:firstLine="360" w:firstLineChars="0"/>
              <w:jc w:val="center"/>
              <w:rPr>
                <w:rFonts w:cs="Times New Roman"/>
                <w:b/>
                <w:sz w:val="24"/>
                <w:szCs w:val="24"/>
              </w:rPr>
            </w:pPr>
            <w:r>
              <w:rPr>
                <w:rFonts w:cs="Times New Roman"/>
                <w:b/>
                <w:color w:val="000000"/>
                <w:kern w:val="0"/>
                <w:sz w:val="24"/>
                <w:szCs w:val="24"/>
              </w:rPr>
              <w:t>专栏4-3 乡村振兴工程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Pr>
          <w:p>
            <w:pPr>
              <w:spacing w:line="240" w:lineRule="auto"/>
              <w:ind w:firstLine="482"/>
              <w:rPr>
                <w:rFonts w:cs="Times New Roman"/>
                <w:b/>
                <w:sz w:val="24"/>
                <w:szCs w:val="24"/>
              </w:rPr>
            </w:pPr>
            <w:r>
              <w:rPr>
                <w:rFonts w:cs="Times New Roman"/>
                <w:b/>
                <w:sz w:val="24"/>
                <w:szCs w:val="24"/>
              </w:rPr>
              <w:t>美丽乡村建设工程：</w:t>
            </w:r>
            <w:r>
              <w:rPr>
                <w:rFonts w:cs="Times New Roman"/>
                <w:sz w:val="24"/>
                <w:szCs w:val="24"/>
              </w:rPr>
              <w:t>将美丽乡村与发展乡村休闲旅游有机结合，加快建设环红莲湖乡村振兴带，重点推进</w:t>
            </w:r>
            <w:r>
              <w:rPr>
                <w:rFonts w:hint="eastAsia" w:cs="Times New Roman"/>
                <w:sz w:val="24"/>
                <w:szCs w:val="24"/>
              </w:rPr>
              <w:t>孔关村乡村振兴项目</w:t>
            </w:r>
            <w:r>
              <w:rPr>
                <w:rFonts w:cs="Times New Roman"/>
                <w:sz w:val="24"/>
                <w:szCs w:val="24"/>
              </w:rPr>
              <w:t>建设。</w:t>
            </w:r>
          </w:p>
          <w:p>
            <w:pPr>
              <w:spacing w:line="240" w:lineRule="auto"/>
              <w:ind w:firstLine="482"/>
              <w:rPr>
                <w:rFonts w:cs="Times New Roman"/>
                <w:sz w:val="24"/>
                <w:szCs w:val="24"/>
              </w:rPr>
            </w:pPr>
            <w:r>
              <w:rPr>
                <w:rFonts w:cs="Times New Roman"/>
                <w:b/>
                <w:sz w:val="24"/>
                <w:szCs w:val="24"/>
              </w:rPr>
              <w:t>农村人居环境整治工程：</w:t>
            </w:r>
            <w:r>
              <w:rPr>
                <w:rFonts w:cs="Times New Roman"/>
                <w:sz w:val="24"/>
                <w:szCs w:val="24"/>
              </w:rPr>
              <w:t>开展农村垃圾和污水治理，加快农村“厕所革命”整村推进，改善提升村容村貌，重点推进农村人居环境整治工程，支持建设一批美丽宜居村庄。</w:t>
            </w:r>
          </w:p>
          <w:p>
            <w:pPr>
              <w:spacing w:line="240" w:lineRule="auto"/>
              <w:ind w:firstLine="482"/>
              <w:rPr>
                <w:rFonts w:cs="Times New Roman"/>
                <w:sz w:val="24"/>
                <w:szCs w:val="24"/>
              </w:rPr>
            </w:pPr>
            <w:r>
              <w:rPr>
                <w:rFonts w:cs="Times New Roman"/>
                <w:b/>
                <w:sz w:val="24"/>
                <w:szCs w:val="24"/>
              </w:rPr>
              <w:t>农村基础设施和公共服务提升工程：</w:t>
            </w:r>
            <w:r>
              <w:rPr>
                <w:rFonts w:cs="Times New Roman"/>
                <w:sz w:val="24"/>
                <w:szCs w:val="24"/>
              </w:rPr>
              <w:t>全面改善乡村基础设施条件，有序推进农村道路、安全饮水、电网、物流、网络等基础设施建设。重点推进村庄公共基础设施建设工程、农村饮水安全巩固提升工程、LPG微管网建设。</w:t>
            </w:r>
          </w:p>
          <w:p>
            <w:pPr>
              <w:spacing w:line="240" w:lineRule="auto"/>
              <w:ind w:firstLine="482"/>
              <w:rPr>
                <w:rFonts w:ascii="仿宋" w:hAnsi="仿宋" w:cs="仿宋"/>
                <w:sz w:val="24"/>
                <w:szCs w:val="24"/>
              </w:rPr>
            </w:pPr>
            <w:r>
              <w:rPr>
                <w:rFonts w:cs="Times New Roman"/>
                <w:b/>
                <w:sz w:val="24"/>
                <w:szCs w:val="24"/>
              </w:rPr>
              <w:t>粮食生产能力建设工程：</w:t>
            </w:r>
            <w:r>
              <w:rPr>
                <w:rFonts w:cs="Times New Roman"/>
                <w:sz w:val="24"/>
                <w:szCs w:val="24"/>
              </w:rPr>
              <w:t>开展粮食稳定增产行动，集中推广育秧、秸秆还田、耕地地力保护</w:t>
            </w:r>
            <w:r>
              <w:rPr>
                <w:rFonts w:hint="eastAsia" w:ascii="仿宋" w:hAnsi="仿宋" w:cs="仿宋"/>
                <w:sz w:val="24"/>
                <w:szCs w:val="24"/>
              </w:rPr>
              <w:t>和提升行动，推广粮油生产全过程机械化，集中开展高标准基本农田建设。重点推进粮食主产区农田水利示范区建设、吨粮田建设项目、良种繁育基地建设、蒲团乡高标准农田建设、土壤有机质提升项目、华容区农田排涝能力提升工程、华容区补短板项目、农作物生产全程机械化示范项目等项目建设。</w:t>
            </w:r>
          </w:p>
          <w:p>
            <w:pPr>
              <w:spacing w:line="240" w:lineRule="auto"/>
              <w:ind w:firstLine="482"/>
              <w:rPr>
                <w:rFonts w:ascii="仿宋" w:hAnsi="仿宋" w:cs="仿宋"/>
                <w:sz w:val="24"/>
                <w:szCs w:val="24"/>
              </w:rPr>
            </w:pPr>
            <w:r>
              <w:rPr>
                <w:rFonts w:hint="eastAsia" w:ascii="仿宋" w:hAnsi="仿宋" w:cs="仿宋"/>
                <w:b/>
                <w:sz w:val="24"/>
                <w:szCs w:val="24"/>
              </w:rPr>
              <w:t>农业标准化生产基地建设工程：</w:t>
            </w:r>
            <w:r>
              <w:rPr>
                <w:rFonts w:hint="eastAsia" w:ascii="仿宋" w:hAnsi="仿宋" w:cs="仿宋"/>
                <w:sz w:val="24"/>
                <w:szCs w:val="24"/>
              </w:rPr>
              <w:t>推进滴水灌溉工程，建设绿色优质生产基地，打造产业化联合体。重点推进农业科技创新能力条件提升(重点实验室)建设工程、水产基地基础设施提档升级、灌区末系渠道改造项目、节水灌溉开发项目。</w:t>
            </w:r>
          </w:p>
          <w:p>
            <w:pPr>
              <w:spacing w:line="240" w:lineRule="auto"/>
              <w:ind w:firstLine="482"/>
              <w:rPr>
                <w:rFonts w:ascii="仿宋" w:hAnsi="仿宋" w:cs="仿宋"/>
                <w:sz w:val="24"/>
                <w:szCs w:val="24"/>
              </w:rPr>
            </w:pPr>
            <w:r>
              <w:rPr>
                <w:rFonts w:hint="eastAsia" w:ascii="仿宋" w:hAnsi="仿宋" w:cs="仿宋"/>
                <w:b/>
                <w:sz w:val="24"/>
                <w:szCs w:val="24"/>
              </w:rPr>
              <w:t>乡村产业振兴工程</w:t>
            </w:r>
            <w:r>
              <w:rPr>
                <w:rFonts w:hint="eastAsia" w:ascii="仿宋" w:hAnsi="仿宋" w:cs="仿宋"/>
                <w:sz w:val="24"/>
                <w:szCs w:val="24"/>
              </w:rPr>
              <w:t>：发展“一镇一品”，推进镇村联动。做大做强特色农产品优势区，打造特色农业品牌，重点推进农业产业强镇建设。</w:t>
            </w:r>
          </w:p>
          <w:p>
            <w:pPr>
              <w:spacing w:line="240" w:lineRule="auto"/>
              <w:ind w:firstLine="482"/>
              <w:rPr>
                <w:rFonts w:cs="Times New Roman"/>
                <w:sz w:val="24"/>
                <w:szCs w:val="24"/>
              </w:rPr>
            </w:pPr>
            <w:r>
              <w:rPr>
                <w:rFonts w:hint="eastAsia" w:ascii="仿宋" w:hAnsi="仿宋" w:cs="仿宋"/>
                <w:b/>
                <w:sz w:val="24"/>
                <w:szCs w:val="24"/>
              </w:rPr>
              <w:t>农产品物流仓储建设工程：</w:t>
            </w:r>
            <w:r>
              <w:rPr>
                <w:rFonts w:hint="eastAsia" w:ascii="仿宋" w:hAnsi="仿宋" w:cs="仿宋"/>
                <w:sz w:val="24"/>
                <w:szCs w:val="24"/>
              </w:rPr>
              <w:t>实施农产品冷链物流建设工程，大力推动冷链物流发展，促进华容农产品物流园提档升级，支持农</w:t>
            </w:r>
            <w:r>
              <w:rPr>
                <w:rFonts w:cs="Times New Roman"/>
                <w:sz w:val="24"/>
                <w:szCs w:val="24"/>
              </w:rPr>
              <w:t>产品产地仓储冷链物流设施建</w:t>
            </w:r>
            <w:r>
              <w:rPr>
                <w:rFonts w:hint="eastAsia" w:cs="Times New Roman"/>
                <w:sz w:val="24"/>
                <w:szCs w:val="24"/>
              </w:rPr>
              <w:t>设</w:t>
            </w:r>
            <w:r>
              <w:rPr>
                <w:rFonts w:cs="Times New Roman"/>
                <w:sz w:val="24"/>
                <w:szCs w:val="24"/>
              </w:rPr>
              <w:t>，重点建设</w:t>
            </w:r>
            <w:r>
              <w:rPr>
                <w:rFonts w:hint="eastAsia" w:cs="Times New Roman"/>
                <w:sz w:val="24"/>
                <w:szCs w:val="24"/>
              </w:rPr>
              <w:t>明想鲜行君冷链物流产业园、恒阳牛业牛肉加工及冷链物流基地、鄂州市三江港冷链物流基地、鲲宝物流三江港智能仓储</w:t>
            </w:r>
            <w:r>
              <w:rPr>
                <w:rFonts w:cs="Times New Roman"/>
                <w:sz w:val="24"/>
                <w:szCs w:val="24"/>
              </w:rPr>
              <w:t>。</w:t>
            </w:r>
          </w:p>
          <w:p>
            <w:pPr>
              <w:spacing w:line="240" w:lineRule="auto"/>
              <w:ind w:firstLine="482"/>
              <w:rPr>
                <w:rFonts w:cs="Times New Roman"/>
                <w:sz w:val="24"/>
                <w:szCs w:val="24"/>
              </w:rPr>
            </w:pPr>
            <w:r>
              <w:rPr>
                <w:rFonts w:cs="Times New Roman"/>
                <w:b/>
                <w:sz w:val="24"/>
                <w:szCs w:val="24"/>
              </w:rPr>
              <w:t>农业病虫害防治工程：</w:t>
            </w:r>
            <w:r>
              <w:rPr>
                <w:rFonts w:cs="Times New Roman"/>
                <w:sz w:val="24"/>
                <w:szCs w:val="24"/>
              </w:rPr>
              <w:t>实施动植物保护能力提升工程，建设完善的动植物疫情检测防控体系，发展农作物病虫害专业化服务组织，推广水产生态健康养殖模式。</w:t>
            </w:r>
          </w:p>
          <w:p>
            <w:pPr>
              <w:spacing w:line="240" w:lineRule="auto"/>
              <w:ind w:firstLine="482"/>
              <w:rPr>
                <w:rFonts w:cs="Times New Roman"/>
                <w:sz w:val="24"/>
                <w:szCs w:val="24"/>
              </w:rPr>
            </w:pPr>
            <w:r>
              <w:rPr>
                <w:rFonts w:cs="Times New Roman"/>
                <w:b/>
                <w:sz w:val="24"/>
                <w:szCs w:val="24"/>
              </w:rPr>
              <w:t>乡村人才培育工程：</w:t>
            </w:r>
            <w:r>
              <w:rPr>
                <w:rFonts w:cs="Times New Roman"/>
                <w:sz w:val="24"/>
                <w:szCs w:val="24"/>
              </w:rPr>
              <w:t>实施高素质农民培育工程和基层农技培训与推广项目，谋划实施农业科技推广人才、返乡下乡创新创业人才培训活动。</w:t>
            </w:r>
          </w:p>
        </w:tc>
      </w:tr>
      <w:bookmarkEnd w:id="115"/>
    </w:tbl>
    <w:p>
      <w:pPr>
        <w:pStyle w:val="5"/>
        <w:ind w:firstLine="643"/>
      </w:pPr>
      <w:bookmarkStart w:id="124" w:name="_Toc15774"/>
      <w:r>
        <w:t>第三章</w:t>
      </w:r>
      <w:bookmarkStart w:id="125" w:name="_Toc25590017"/>
      <w:r>
        <w:t xml:space="preserve"> </w:t>
      </w:r>
      <w:bookmarkEnd w:id="125"/>
      <w:r>
        <w:rPr>
          <w:rFonts w:hint="eastAsia"/>
        </w:rPr>
        <w:t>全面提升生态环境治理水平</w:t>
      </w:r>
      <w:bookmarkEnd w:id="124"/>
    </w:p>
    <w:p>
      <w:pPr>
        <w:ind w:firstLine="600"/>
        <w:rPr>
          <w:rFonts w:cs="Times New Roman"/>
        </w:rPr>
      </w:pPr>
      <w:bookmarkStart w:id="126" w:name="_Hlk56078567"/>
      <w:r>
        <w:rPr>
          <w:rFonts w:cs="Times New Roman"/>
        </w:rPr>
        <w:t>坚持生态优先、绿色发展原则，共抓长江生态保护。加快构建生态安全格局，努力打好污染防治攻坚战，加强生态保护和修复，加快推进生态环境治理体系和治理能力现代化，积极创建生态文明示范区。</w:t>
      </w:r>
      <w:bookmarkEnd w:id="126"/>
    </w:p>
    <w:p>
      <w:pPr>
        <w:pStyle w:val="6"/>
        <w:ind w:firstLine="602"/>
      </w:pPr>
      <w:bookmarkStart w:id="127" w:name="_Hlk56079597"/>
      <w:bookmarkStart w:id="128" w:name="_Toc59376403"/>
      <w:bookmarkStart w:id="129" w:name="_Toc56094169"/>
      <w:bookmarkStart w:id="130" w:name="_Toc56092498"/>
      <w:bookmarkStart w:id="131" w:name="_Toc7106"/>
      <w:r>
        <w:t>第一节 构建生态安全格局</w:t>
      </w:r>
      <w:bookmarkEnd w:id="127"/>
      <w:bookmarkEnd w:id="128"/>
      <w:bookmarkEnd w:id="129"/>
      <w:bookmarkEnd w:id="130"/>
      <w:bookmarkEnd w:id="131"/>
    </w:p>
    <w:p>
      <w:pPr>
        <w:ind w:firstLine="600"/>
        <w:rPr>
          <w:rFonts w:cs="Times New Roman"/>
          <w:color w:val="000000" w:themeColor="text1"/>
          <w14:textFill>
            <w14:solidFill>
              <w14:schemeClr w14:val="tx1"/>
            </w14:solidFill>
          </w14:textFill>
        </w:rPr>
      </w:pPr>
      <w:bookmarkStart w:id="132" w:name="_Hlk56079371"/>
      <w:r>
        <w:rPr>
          <w:rFonts w:cs="Times New Roman"/>
        </w:rPr>
        <w:t>优化国土空间布局</w:t>
      </w:r>
      <w:bookmarkEnd w:id="132"/>
      <w:r>
        <w:rPr>
          <w:rFonts w:cs="Times New Roman"/>
        </w:rPr>
        <w:t>。坚持底线思维，科学</w:t>
      </w:r>
      <w:bookmarkStart w:id="133" w:name="_Hlk56079167"/>
      <w:r>
        <w:rPr>
          <w:rFonts w:cs="Times New Roman"/>
        </w:rPr>
        <w:t>分解基本农田保护规模各项保护目标</w:t>
      </w:r>
      <w:r>
        <w:rPr>
          <w:rFonts w:hint="eastAsia" w:cs="Times New Roman"/>
        </w:rPr>
        <w:t>到各乡镇</w:t>
      </w:r>
      <w:r>
        <w:rPr>
          <w:rFonts w:cs="Times New Roman"/>
        </w:rPr>
        <w:t>，形成以永久基本农田为基底的生态管控核心区</w:t>
      </w:r>
      <w:bookmarkEnd w:id="133"/>
      <w:r>
        <w:rPr>
          <w:rFonts w:cs="Times New Roman"/>
        </w:rPr>
        <w:t>。</w:t>
      </w:r>
      <w:bookmarkStart w:id="134" w:name="_Hlk56079209"/>
      <w:r>
        <w:rPr>
          <w:rFonts w:cs="Times New Roman"/>
        </w:rPr>
        <w:t>加快划定并严守生态保护红线</w:t>
      </w:r>
      <w:bookmarkEnd w:id="134"/>
      <w:r>
        <w:rPr>
          <w:rFonts w:cs="Times New Roman"/>
        </w:rPr>
        <w:t>，形成生态</w:t>
      </w:r>
      <w:r>
        <w:rPr>
          <w:rFonts w:hint="eastAsia" w:cs="Times New Roman"/>
        </w:rPr>
        <w:t>红线“两屏两带”基本格局，</w:t>
      </w:r>
      <w:bookmarkStart w:id="135" w:name="_Hlk56079214"/>
      <w:r>
        <w:rPr>
          <w:rFonts w:hint="eastAsia" w:cs="Times New Roman"/>
        </w:rPr>
        <w:t>实现基本农田保护红线与生态红线区域保护的“双线保护”</w:t>
      </w:r>
      <w:bookmarkEnd w:id="135"/>
      <w:r>
        <w:rPr>
          <w:rFonts w:hint="eastAsia" w:cs="Times New Roman"/>
        </w:rPr>
        <w:t>。坚持节约优先、保护优先原则，保障中心城区、重点区域和重点乡镇发展合理用地需求，划定城镇开发边界，加</w:t>
      </w:r>
      <w:r>
        <w:rPr>
          <w:rFonts w:cs="Times New Roman"/>
        </w:rPr>
        <w:t>强国土空间开发管制</w:t>
      </w:r>
      <w:r>
        <w:rPr>
          <w:rFonts w:cs="Times New Roman"/>
          <w:color w:val="000000" w:themeColor="text1"/>
          <w14:textFill>
            <w14:solidFill>
              <w14:schemeClr w14:val="tx1"/>
            </w14:solidFill>
          </w14:textFill>
        </w:rPr>
        <w:t>。</w:t>
      </w:r>
    </w:p>
    <w:p>
      <w:pPr>
        <w:ind w:firstLine="600"/>
        <w:rPr>
          <w:rFonts w:cs="Times New Roman"/>
          <w:highlight w:val="yellow"/>
        </w:rPr>
      </w:pPr>
      <w:bookmarkStart w:id="136" w:name="_Hlk56079088"/>
      <w:r>
        <w:rPr>
          <w:rFonts w:cs="Times New Roman"/>
        </w:rPr>
        <w:t>构筑生态空间格局</w:t>
      </w:r>
      <w:bookmarkEnd w:id="136"/>
      <w:r>
        <w:rPr>
          <w:rFonts w:cs="Times New Roman"/>
        </w:rPr>
        <w:t>。实施生态空间用途管制，</w:t>
      </w:r>
      <w:bookmarkStart w:id="137" w:name="_Hlk56079620"/>
      <w:r>
        <w:rPr>
          <w:rFonts w:hint="eastAsia" w:cs="Times New Roman"/>
        </w:rPr>
        <w:t>坚守“三区三线”底线，落实“三线一单”管控</w:t>
      </w:r>
      <w:bookmarkEnd w:id="137"/>
      <w:r>
        <w:rPr>
          <w:rFonts w:hint="eastAsia" w:cs="Times New Roman"/>
        </w:rPr>
        <w:t>，</w:t>
      </w:r>
      <w:bookmarkStart w:id="138" w:name="_Hlk56079637"/>
      <w:r>
        <w:rPr>
          <w:rFonts w:hint="eastAsia" w:cs="Times New Roman"/>
        </w:rPr>
        <w:t>构建生态环境分区管控体系，</w:t>
      </w:r>
      <w:bookmarkEnd w:id="138"/>
      <w:r>
        <w:rPr>
          <w:rFonts w:hint="eastAsia" w:cs="Times New Roman"/>
        </w:rPr>
        <w:t>提高生态产品供给能力和生态系统服务功能，</w:t>
      </w:r>
      <w:bookmarkStart w:id="139" w:name="_Hlk56079666"/>
      <w:r>
        <w:rPr>
          <w:rFonts w:hint="eastAsia" w:cs="Times New Roman"/>
        </w:rPr>
        <w:t>构筑“一区两廊多点”的生态空间安全格局</w:t>
      </w:r>
      <w:bookmarkEnd w:id="139"/>
      <w:r>
        <w:rPr>
          <w:rFonts w:hint="eastAsia" w:cs="Times New Roman"/>
        </w:rPr>
        <w:t>。“一区”即华容区北部区域生态功能区；“两廊”是指连通</w:t>
      </w:r>
      <w:r>
        <w:rPr>
          <w:rFonts w:cs="Times New Roman"/>
        </w:rPr>
        <w:t>长江和五四湖的</w:t>
      </w:r>
      <w:r>
        <w:rPr>
          <w:rFonts w:hint="eastAsia" w:cs="Times New Roman"/>
        </w:rPr>
        <w:t>两条景观生态廊；“多点”指华容区</w:t>
      </w:r>
      <w:r>
        <w:rPr>
          <w:rFonts w:cs="Times New Roman"/>
        </w:rPr>
        <w:t>范围内的各国家级省级森林</w:t>
      </w:r>
      <w:r>
        <w:rPr>
          <w:rFonts w:hint="eastAsia" w:cs="Times New Roman"/>
        </w:rPr>
        <w:t>公园</w:t>
      </w:r>
      <w:r>
        <w:rPr>
          <w:rFonts w:cs="Times New Roman"/>
        </w:rPr>
        <w:t>，重要的生态涵养区等。</w:t>
      </w:r>
    </w:p>
    <w:p>
      <w:pPr>
        <w:pStyle w:val="6"/>
        <w:ind w:firstLine="602"/>
      </w:pPr>
      <w:bookmarkStart w:id="140" w:name="_Toc56094170"/>
      <w:bookmarkStart w:id="141" w:name="_Toc56092499"/>
      <w:bookmarkStart w:id="142" w:name="_Toc59376404"/>
      <w:bookmarkStart w:id="143" w:name="_Toc11070"/>
      <w:r>
        <w:t>第二节 加强</w:t>
      </w:r>
      <w:bookmarkEnd w:id="140"/>
      <w:bookmarkEnd w:id="141"/>
      <w:bookmarkEnd w:id="142"/>
      <w:r>
        <w:rPr>
          <w:rFonts w:hint="eastAsia"/>
        </w:rPr>
        <w:t>生态环境治理</w:t>
      </w:r>
      <w:bookmarkEnd w:id="143"/>
    </w:p>
    <w:p>
      <w:pPr>
        <w:ind w:firstLine="600"/>
        <w:rPr>
          <w:rFonts w:cs="Times New Roman"/>
        </w:rPr>
      </w:pPr>
      <w:r>
        <w:rPr>
          <w:rFonts w:cs="Times New Roman"/>
        </w:rPr>
        <w:t>强化水环境生态治理。</w:t>
      </w:r>
      <w:r>
        <w:rPr>
          <w:rFonts w:hint="eastAsia" w:cs="Times New Roman"/>
        </w:rPr>
        <w:t>统筹抓好“水生态，水风貌，水文化，水安全，水经济”，做好水文章。深入推进长江大保护，重点抓好长江华容段水环境生态治理，持续开展长江经济带生态保护和绿色发展，突出工业、农业、生活、港口船舶污染防治；实施长江岸线综合治理，统筹协调功能布局和空间关系，抓好“留白”“复绿”，因地制宜打造生活岸线、生态岸线、景观岸线；打好长江十年禁捕退捕攻坚战持久战，持续改善长江生态环境和水域生态功能。积极推进华容湖泊水生态环境治理，实施红莲湖、五四湖、南迹湖等水生态环境治理工程，进行湖底泥疏浚、生态护坡、水生植被恢复重建、生态水网构建；强化江河湖生态保护治理，实施河湖健康调查评价，发挥河湖长制作用，推进上下游、左右岸、干支流同管同治。推进水利补短板工程，加强长江沿线防汛通道和哨所建设。系统推进工业、农业、生活污染污水治理，完善华容污水处理管网系统，深入开展全流域全水系污染综合整治，全面建成“污水零直排区”</w:t>
      </w:r>
      <w:r>
        <w:rPr>
          <w:rFonts w:cs="Times New Roman"/>
        </w:rPr>
        <w:t>。</w:t>
      </w:r>
    </w:p>
    <w:p>
      <w:pPr>
        <w:ind w:firstLine="600"/>
        <w:rPr>
          <w:rFonts w:cs="Times New Roman"/>
        </w:rPr>
      </w:pPr>
      <w:r>
        <w:rPr>
          <w:rFonts w:cs="Times New Roman"/>
        </w:rPr>
        <w:t>强化大气污染治理。</w:t>
      </w:r>
      <w:r>
        <w:rPr>
          <w:rFonts w:hint="eastAsia" w:cs="Times New Roman"/>
        </w:rPr>
        <w:t>持续深化大气污染防治，全面建立污染排放源清单，推进工业废气、汽车尾气、建筑扬尘、餐饮油烟、秸秆燃烧等治理，确保空气质量稳步提升。全面开展工业大气污染治理，加强排放大气污染物的重点工业企业监管，推动鸿泰钢铁、华新水泥等传统主导产业技改提质，构建园区在线污染监控体系。持续开展扬尘、秸秆和生活垃圾焚烧综合治理，抓好施工工地裸土绿化和覆盖管理，推行城区道路湿式清扫和高压冲洗，多举措整治城区扬尘治理；扎实推进秸秆禁烧工作，促进秸秆综合利用；创建垃圾分类示范社区，谋划华容医疗废物和危险废物收集转运、餐厨垃圾综合处理厂等项目，实现华容生活垃圾分类，减轻垃圾焚烧污染。</w:t>
      </w:r>
    </w:p>
    <w:p>
      <w:pPr>
        <w:ind w:firstLine="600"/>
        <w:rPr>
          <w:rFonts w:cs="Times New Roman"/>
        </w:rPr>
      </w:pPr>
      <w:r>
        <w:rPr>
          <w:rFonts w:cs="Times New Roman"/>
        </w:rPr>
        <w:t>强化土壤污染治理。</w:t>
      </w:r>
      <w:r>
        <w:rPr>
          <w:rFonts w:hint="eastAsia" w:cs="Times New Roman"/>
        </w:rPr>
        <w:t>大力开展“净土清废”行动，深入推进“五废共治”，不断深化“垃圾革命”，推动生活垃圾、建筑垃圾、农业废弃物等资源化利用，全力打造全域“无废城镇”。</w:t>
      </w:r>
      <w:r>
        <w:rPr>
          <w:rFonts w:cs="Times New Roman"/>
        </w:rPr>
        <w:t>建设土壤环境监测网络</w:t>
      </w:r>
      <w:r>
        <w:rPr>
          <w:rFonts w:hint="eastAsia" w:cs="Times New Roman"/>
        </w:rPr>
        <w:t>，</w:t>
      </w:r>
      <w:r>
        <w:rPr>
          <w:rFonts w:cs="Times New Roman"/>
        </w:rPr>
        <w:t>完成土壤环境质量监测点位设置，抓住污染源头。建立工业土壤污染重点企业监管名单</w:t>
      </w:r>
      <w:r>
        <w:rPr>
          <w:rFonts w:hint="eastAsia" w:cs="Times New Roman"/>
        </w:rPr>
        <w:t>，</w:t>
      </w:r>
      <w:r>
        <w:rPr>
          <w:rFonts w:cs="Times New Roman"/>
        </w:rPr>
        <w:t>促进重点监测企业技改升级，规范固体废弃物安全监管，完善固体废弃物处置体系。加强农业面源污染治理</w:t>
      </w:r>
      <w:r>
        <w:rPr>
          <w:rFonts w:hint="eastAsia" w:cs="Times New Roman"/>
        </w:rPr>
        <w:t>，</w:t>
      </w:r>
      <w:r>
        <w:rPr>
          <w:rFonts w:cs="Times New Roman"/>
        </w:rPr>
        <w:t>推广有机肥代替化肥、生物防治、绿色防控集成等技术，实行雨污分离、固液分离、干湿分离等措施。</w:t>
      </w:r>
    </w:p>
    <w:p>
      <w:pPr>
        <w:ind w:firstLine="600"/>
        <w:rPr>
          <w:rFonts w:cs="Times New Roman"/>
          <w:shd w:val="clear" w:color="auto" w:fill="FFFFFF"/>
        </w:rPr>
      </w:pPr>
      <w:bookmarkStart w:id="144" w:name="_Hlk56079877"/>
      <w:r>
        <w:rPr>
          <w:rFonts w:cs="Times New Roman"/>
          <w:color w:val="000000"/>
        </w:rPr>
        <w:t>注重生态保护与修复</w:t>
      </w:r>
      <w:bookmarkEnd w:id="144"/>
      <w:r>
        <w:rPr>
          <w:rFonts w:cs="Times New Roman"/>
          <w:color w:val="000000"/>
        </w:rPr>
        <w:t>。</w:t>
      </w:r>
      <w:r>
        <w:rPr>
          <w:rFonts w:hint="eastAsia" w:cs="Times New Roman"/>
          <w:color w:val="000000"/>
        </w:rPr>
        <w:t>统筹推进山水林田河湖整体保护和生态修复，大力实施系列生态系统修复重大工程。推广五四湖生态环境保护修复模式，</w:t>
      </w:r>
      <w:r>
        <w:rPr>
          <w:rFonts w:hint="eastAsia" w:cs="Times New Roman"/>
          <w:shd w:val="clear" w:color="auto" w:fill="FFFFFF"/>
        </w:rPr>
        <w:t>连通梧桐湖至红莲湖水系，</w:t>
      </w:r>
      <w:r>
        <w:rPr>
          <w:rFonts w:cs="Times New Roman"/>
          <w:shd w:val="clear" w:color="auto" w:fill="FFFFFF"/>
        </w:rPr>
        <w:t>促进华容镇彭北湖、</w:t>
      </w:r>
      <w:r>
        <w:rPr>
          <w:rFonts w:hint="eastAsia" w:cs="Times New Roman"/>
          <w:shd w:val="clear" w:color="auto" w:fill="FFFFFF"/>
        </w:rPr>
        <w:t>临江乡</w:t>
      </w:r>
      <w:r>
        <w:rPr>
          <w:rFonts w:cs="Times New Roman"/>
          <w:shd w:val="clear" w:color="auto" w:fill="FFFFFF"/>
        </w:rPr>
        <w:t>余湖、蒲团乡断塘湖、吴家大湖实施退垸还湖</w:t>
      </w:r>
      <w:r>
        <w:rPr>
          <w:rFonts w:hint="eastAsia" w:cs="Times New Roman"/>
          <w:color w:val="000000"/>
        </w:rPr>
        <w:t>，加强水生态保护与修复</w:t>
      </w:r>
      <w:r>
        <w:rPr>
          <w:rFonts w:cs="Times New Roman"/>
          <w:shd w:val="clear" w:color="auto" w:fill="FFFFFF"/>
        </w:rPr>
        <w:t>。加强氮氧化物、烟粉尘、挥发性有机物等主要污染物综合防治，推进细颗粒物和臭氧协同控制。加强土壤环境综合治理</w:t>
      </w:r>
      <w:r>
        <w:rPr>
          <w:rFonts w:hint="eastAsia" w:cs="Times New Roman"/>
          <w:shd w:val="clear" w:color="auto" w:fill="FFFFFF"/>
        </w:rPr>
        <w:t>，</w:t>
      </w:r>
      <w:r>
        <w:rPr>
          <w:rFonts w:cs="Times New Roman"/>
          <w:shd w:val="clear" w:color="auto" w:fill="FFFFFF"/>
        </w:rPr>
        <w:t>依据质量跟踪监测结果，划分污染区域和地块，编制实施土壤污染防治方案，开展高污染风险地块综合治理与修复工作。统筹推进山水林田湖草生态保护修复工程，重点实施矿山生态环境治理恢复、耕地土壤质地改良、生物多样性保护等全方位系统综合治理修复。</w:t>
      </w:r>
    </w:p>
    <w:p>
      <w:pPr>
        <w:pStyle w:val="6"/>
        <w:ind w:firstLine="602"/>
      </w:pPr>
      <w:bookmarkStart w:id="145" w:name="_Toc56092500"/>
      <w:bookmarkStart w:id="146" w:name="_Toc59376405"/>
      <w:bookmarkStart w:id="147" w:name="_Toc56094171"/>
      <w:bookmarkStart w:id="148" w:name="_Toc13312"/>
      <w:r>
        <w:t>第三节 推动生态文明治理现代化</w:t>
      </w:r>
      <w:bookmarkEnd w:id="145"/>
      <w:bookmarkEnd w:id="146"/>
      <w:bookmarkEnd w:id="147"/>
      <w:bookmarkEnd w:id="148"/>
    </w:p>
    <w:p>
      <w:pPr>
        <w:ind w:firstLine="600"/>
        <w:rPr>
          <w:rFonts w:cs="Times New Roman"/>
        </w:rPr>
      </w:pPr>
      <w:bookmarkStart w:id="149" w:name="_Hlk56080069"/>
      <w:r>
        <w:rPr>
          <w:rFonts w:cs="Times New Roman"/>
        </w:rPr>
        <w:t>加强环境风险防控</w:t>
      </w:r>
      <w:bookmarkEnd w:id="149"/>
      <w:r>
        <w:rPr>
          <w:rFonts w:cs="Times New Roman"/>
        </w:rPr>
        <w:t>。建设河湖视频监控管理系统</w:t>
      </w:r>
      <w:r>
        <w:rPr>
          <w:rFonts w:hint="eastAsia" w:cs="Times New Roman"/>
        </w:rPr>
        <w:t>，</w:t>
      </w:r>
      <w:r>
        <w:rPr>
          <w:rFonts w:cs="Times New Roman"/>
        </w:rPr>
        <w:t>配置安装监控设备，配备高精度的摄像、定位等信息化设备，监控河湖及周边范围内违法违规行为和污染问</w:t>
      </w:r>
      <w:r>
        <w:rPr>
          <w:rFonts w:hint="eastAsia" w:cs="Times New Roman"/>
        </w:rPr>
        <w:t>题，提高监管能力和效率。加强重点行业重点领域风险管控，持续推进“清废行动”，强化固体废物和危险废物环境监管，提高危险废物环境风险防控能力。探索建立风险监测网络及风险评估体系，提高生态系统监测能力，加强工业园园区风险防范。加快建立环境风险防控机制</w:t>
      </w:r>
      <w:r>
        <w:rPr>
          <w:rFonts w:cs="Times New Roman"/>
        </w:rPr>
        <w:t>，建立全区各类环境隐患的台账</w:t>
      </w:r>
      <w:r>
        <w:rPr>
          <w:rFonts w:hint="eastAsia" w:cs="Times New Roman"/>
        </w:rPr>
        <w:t>，</w:t>
      </w:r>
      <w:r>
        <w:rPr>
          <w:rFonts w:cs="Times New Roman"/>
        </w:rPr>
        <w:t>编制重点污染源环境突发事件应急预案，</w:t>
      </w:r>
      <w:r>
        <w:rPr>
          <w:rFonts w:hint="eastAsia" w:cs="Times New Roman"/>
        </w:rPr>
        <w:t>注重加强突发环境事件应急能力建设，构建与鄂州</w:t>
      </w:r>
      <w:r>
        <w:rPr>
          <w:rFonts w:cs="Times New Roman"/>
        </w:rPr>
        <w:t>环境突发事件</w:t>
      </w:r>
      <w:r>
        <w:rPr>
          <w:rFonts w:hint="eastAsia" w:cs="Times New Roman"/>
        </w:rPr>
        <w:t>联动</w:t>
      </w:r>
      <w:r>
        <w:rPr>
          <w:rFonts w:cs="Times New Roman"/>
        </w:rPr>
        <w:t>机制。</w:t>
      </w:r>
    </w:p>
    <w:p>
      <w:pPr>
        <w:ind w:firstLine="600"/>
        <w:rPr>
          <w:rFonts w:cs="Times New Roman"/>
        </w:rPr>
      </w:pPr>
      <w:bookmarkStart w:id="150" w:name="_Hlk56080123"/>
      <w:r>
        <w:rPr>
          <w:rFonts w:cs="Times New Roman"/>
        </w:rPr>
        <w:t>健全生态环境治理监管机制</w:t>
      </w:r>
      <w:bookmarkEnd w:id="150"/>
      <w:r>
        <w:rPr>
          <w:rFonts w:cs="Times New Roman"/>
        </w:rPr>
        <w:t>。</w:t>
      </w:r>
      <w:r>
        <w:rPr>
          <w:rFonts w:hint="eastAsia" w:cs="Times New Roman"/>
        </w:rPr>
        <w:t>加快构建生态文明制度体系，</w:t>
      </w:r>
      <w:r>
        <w:rPr>
          <w:rFonts w:cs="Times New Roman"/>
        </w:rPr>
        <w:t>坚持年度自然资源存量及变动表编制，</w:t>
      </w:r>
      <w:r>
        <w:rPr>
          <w:rFonts w:hint="eastAsia" w:cs="Times New Roman"/>
        </w:rPr>
        <w:t>建立自然资源资产产权制度。全面实施排污许可制，推进排污权、用能权、用水权、碳排放权市场化交易。持续</w:t>
      </w:r>
      <w:r>
        <w:rPr>
          <w:rFonts w:cs="Times New Roman"/>
        </w:rPr>
        <w:t>开展生态文明示范区创建，健全生态文明建设考核制度，</w:t>
      </w:r>
      <w:r>
        <w:rPr>
          <w:rFonts w:hint="eastAsia" w:cs="Times New Roman"/>
        </w:rPr>
        <w:t>严格落实</w:t>
      </w:r>
      <w:r>
        <w:rPr>
          <w:rFonts w:cs="Times New Roman"/>
        </w:rPr>
        <w:t>领导干部自然资源资产离任审计</w:t>
      </w:r>
      <w:r>
        <w:rPr>
          <w:rFonts w:hint="eastAsia" w:cs="Times New Roman"/>
        </w:rPr>
        <w:t>制度。</w:t>
      </w:r>
      <w:r>
        <w:rPr>
          <w:rFonts w:cs="Times New Roman"/>
        </w:rPr>
        <w:t>全面完成生态环境机构监测监察执法垂直管理制度改革。</w:t>
      </w:r>
      <w:r>
        <w:rPr>
          <w:rFonts w:hint="eastAsia" w:cs="Times New Roman"/>
        </w:rPr>
        <w:t>实施“双随机、一公开”环境监管模式，</w:t>
      </w:r>
      <w:r>
        <w:rPr>
          <w:rFonts w:cs="Times New Roman"/>
        </w:rPr>
        <w:t>健全</w:t>
      </w:r>
      <w:bookmarkStart w:id="151" w:name="_Hlk56080134"/>
      <w:r>
        <w:rPr>
          <w:rFonts w:cs="Times New Roman"/>
        </w:rPr>
        <w:t>生态环境保护责任机制</w:t>
      </w:r>
      <w:bookmarkEnd w:id="151"/>
      <w:r>
        <w:rPr>
          <w:rFonts w:hint="eastAsia" w:cs="Times New Roman"/>
        </w:rPr>
        <w:t>，</w:t>
      </w:r>
      <w:r>
        <w:rPr>
          <w:rFonts w:cs="Times New Roman"/>
        </w:rPr>
        <w:t>严格落实企业生态环境保护主体责任，做好中央环保督察、省级环保督察</w:t>
      </w:r>
      <w:r>
        <w:rPr>
          <w:rFonts w:hint="eastAsia" w:cs="Times New Roman"/>
        </w:rPr>
        <w:t>“回头看”</w:t>
      </w:r>
      <w:r>
        <w:rPr>
          <w:rFonts w:cs="Times New Roman"/>
        </w:rPr>
        <w:t>整改工作。</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widowControl/>
              <w:spacing w:line="400" w:lineRule="exact"/>
              <w:ind w:firstLine="360" w:firstLineChars="0"/>
              <w:jc w:val="center"/>
              <w:rPr>
                <w:rFonts w:cs="Times New Roman"/>
                <w:sz w:val="21"/>
                <w:szCs w:val="21"/>
              </w:rPr>
            </w:pPr>
            <w:r>
              <w:rPr>
                <w:rFonts w:eastAsia="黑体" w:cs="Times New Roman"/>
                <w:color w:val="000000"/>
                <w:kern w:val="0"/>
                <w:sz w:val="21"/>
                <w:szCs w:val="21"/>
              </w:rPr>
              <w:tab/>
            </w:r>
            <w:r>
              <w:rPr>
                <w:rFonts w:cs="Times New Roman"/>
                <w:b/>
                <w:color w:val="000000"/>
                <w:kern w:val="0"/>
                <w:sz w:val="24"/>
                <w:szCs w:val="24"/>
              </w:rPr>
              <w:t>专栏4-4 生态环保重点项目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rFonts w:eastAsia="宋体" w:cs="Times New Roman"/>
                <w:sz w:val="21"/>
                <w:szCs w:val="21"/>
              </w:rPr>
            </w:pPr>
            <w:bookmarkStart w:id="152" w:name="_Hlk59218415"/>
            <w:r>
              <w:rPr>
                <w:rFonts w:cs="Times New Roman"/>
                <w:b/>
                <w:sz w:val="24"/>
                <w:szCs w:val="24"/>
              </w:rPr>
              <w:t>蓝天工程：</w:t>
            </w:r>
            <w:r>
              <w:rPr>
                <w:rFonts w:cs="Times New Roman"/>
                <w:sz w:val="24"/>
                <w:szCs w:val="24"/>
              </w:rPr>
              <w:t>重点实施农村清洁能源建设与利用工程、农作物秸杆综合利用示范等项目。</w:t>
            </w:r>
          </w:p>
          <w:p>
            <w:pPr>
              <w:spacing w:line="300" w:lineRule="exact"/>
              <w:ind w:firstLine="482"/>
              <w:rPr>
                <w:rFonts w:eastAsia="宋体" w:cs="Times New Roman"/>
                <w:sz w:val="21"/>
                <w:szCs w:val="21"/>
              </w:rPr>
            </w:pPr>
            <w:r>
              <w:rPr>
                <w:rFonts w:cs="Times New Roman"/>
                <w:b/>
                <w:sz w:val="24"/>
                <w:szCs w:val="24"/>
              </w:rPr>
              <w:t>碧水工程：</w:t>
            </w:r>
            <w:r>
              <w:rPr>
                <w:rFonts w:cs="Times New Roman"/>
                <w:sz w:val="24"/>
                <w:szCs w:val="24"/>
              </w:rPr>
              <w:t>重点实施南迹湖水生态环境治理工程、南迹湖湿地公园、五四湖环境生态修复工程、</w:t>
            </w:r>
            <w:r>
              <w:rPr>
                <w:rFonts w:hint="eastAsia" w:cs="Times New Roman"/>
                <w:sz w:val="24"/>
                <w:szCs w:val="24"/>
              </w:rPr>
              <w:t>红莲湖旅游度假区环境综合治理工程、</w:t>
            </w:r>
            <w:r>
              <w:rPr>
                <w:rFonts w:cs="Times New Roman"/>
                <w:sz w:val="24"/>
                <w:szCs w:val="24"/>
              </w:rPr>
              <w:t>退垸还湖、梧桐湖大堤加固项目、薛家沟清淤扩挖项目、</w:t>
            </w:r>
            <w:r>
              <w:rPr>
                <w:rFonts w:hint="eastAsia" w:cs="Times New Roman"/>
                <w:sz w:val="24"/>
                <w:szCs w:val="24"/>
              </w:rPr>
              <w:t>临江乡起步区水资源环境治理项目、</w:t>
            </w:r>
            <w:r>
              <w:rPr>
                <w:rFonts w:cs="Times New Roman"/>
                <w:sz w:val="24"/>
                <w:szCs w:val="24"/>
              </w:rPr>
              <w:t>白水塘圩垸南大堤滑坡修复工程、</w:t>
            </w:r>
            <w:r>
              <w:rPr>
                <w:rFonts w:hint="eastAsia" w:cs="Times New Roman"/>
                <w:sz w:val="24"/>
                <w:szCs w:val="24"/>
              </w:rPr>
              <w:t>马桥港水系治理、</w:t>
            </w:r>
            <w:r>
              <w:rPr>
                <w:rFonts w:cs="Times New Roman"/>
                <w:sz w:val="24"/>
                <w:szCs w:val="24"/>
              </w:rPr>
              <w:t>岱家生态修复工程、梧桐湖至红莲湖水系连通项目、鱼池提档升级养殖尾水治理工程、河湖禁渔和增殖放流补贴项目等项目。</w:t>
            </w:r>
          </w:p>
          <w:p>
            <w:pPr>
              <w:spacing w:line="300" w:lineRule="exact"/>
              <w:ind w:firstLine="482"/>
              <w:rPr>
                <w:rFonts w:eastAsia="宋体" w:cs="Times New Roman"/>
                <w:sz w:val="21"/>
                <w:szCs w:val="21"/>
              </w:rPr>
            </w:pPr>
            <w:r>
              <w:rPr>
                <w:rFonts w:cs="Times New Roman"/>
                <w:b/>
                <w:sz w:val="24"/>
                <w:szCs w:val="24"/>
              </w:rPr>
              <w:t>净土工程：</w:t>
            </w:r>
            <w:r>
              <w:rPr>
                <w:rFonts w:cs="Times New Roman"/>
                <w:sz w:val="24"/>
                <w:szCs w:val="24"/>
              </w:rPr>
              <w:t>重点推进沃土工程、渗透液处理站、盐渍化土地治理项目、种质资源保护区建设项目、外来物种监测评估项目、有害生物治理综合示范项目、废弃农膜回收综合利用建设项目、有机肥替代化肥项目、病死畜禽无害化收集处理等项目。</w:t>
            </w:r>
            <w:bookmarkEnd w:id="152"/>
          </w:p>
        </w:tc>
      </w:tr>
    </w:tbl>
    <w:p>
      <w:pPr>
        <w:ind w:firstLine="600"/>
      </w:pPr>
    </w:p>
    <w:p>
      <w:pPr>
        <w:pStyle w:val="2"/>
        <w:ind w:left="600" w:firstLine="600"/>
        <w:rPr>
          <w:rFonts w:eastAsia="黑体"/>
          <w:kern w:val="44"/>
          <w:sz w:val="36"/>
          <w:szCs w:val="44"/>
        </w:rPr>
      </w:pPr>
      <w:r>
        <w:br w:type="page"/>
      </w:r>
    </w:p>
    <w:p>
      <w:pPr>
        <w:pStyle w:val="4"/>
        <w:spacing w:before="408" w:after="408"/>
        <w:ind w:firstLine="640"/>
      </w:pPr>
      <w:bookmarkStart w:id="153" w:name="_Toc5448"/>
      <w:r>
        <w:t xml:space="preserve">第五篇 </w:t>
      </w:r>
      <w:r>
        <w:rPr>
          <w:rFonts w:hint="eastAsia"/>
        </w:rPr>
        <w:t>建设人文新华容，打造社会主义文化强区</w:t>
      </w:r>
      <w:bookmarkEnd w:id="153"/>
    </w:p>
    <w:p>
      <w:pPr>
        <w:ind w:firstLine="600"/>
      </w:pPr>
      <w:r>
        <w:rPr>
          <w:rFonts w:hint="eastAsia"/>
        </w:rPr>
        <w:t>坚持</w:t>
      </w:r>
      <w:r>
        <w:t>不懈用习近平新时代中国特色社会主义思想武装党员、教育群众，坚持以社会主义核心价值观引领文化建设</w:t>
      </w:r>
      <w:r>
        <w:rPr>
          <w:rFonts w:hint="eastAsia"/>
        </w:rPr>
        <w:t>，大力实施新时代“文化华容”工程，积极创建省级公共文化服务体系示范区，弘扬优秀传统文化、红色文化、首义文化、长江文化，唱响“五张名片”，激扬新时代华容精神，打造文化高地。</w:t>
      </w:r>
    </w:p>
    <w:p>
      <w:pPr>
        <w:pStyle w:val="5"/>
        <w:ind w:firstLine="643"/>
      </w:pPr>
      <w:bookmarkStart w:id="154" w:name="_Toc23354"/>
      <w:r>
        <w:t xml:space="preserve">第一章 </w:t>
      </w:r>
      <w:r>
        <w:rPr>
          <w:rFonts w:hint="eastAsia"/>
        </w:rPr>
        <w:t>全面建设文化华容</w:t>
      </w:r>
      <w:bookmarkEnd w:id="154"/>
    </w:p>
    <w:p>
      <w:pPr>
        <w:pStyle w:val="6"/>
        <w:ind w:firstLine="602"/>
      </w:pPr>
      <w:bookmarkStart w:id="155" w:name="_Toc30387"/>
      <w:r>
        <w:t>第一节</w:t>
      </w:r>
      <w:r>
        <w:rPr>
          <w:rFonts w:hint="eastAsia"/>
        </w:rPr>
        <w:t xml:space="preserve"> 构筑共有精神家园</w:t>
      </w:r>
      <w:bookmarkEnd w:id="155"/>
    </w:p>
    <w:p>
      <w:pPr>
        <w:ind w:firstLine="600"/>
      </w:pPr>
      <w:r>
        <w:rPr>
          <w:rFonts w:hint="eastAsia"/>
        </w:rPr>
        <w:t>深化习近平新时代中国特色社会主义思想、中华民族伟大复兴中国梦和社会主义核心价值观宣传教育，筑牢共同思想基础。落实意识形态工作责任制，打好舆论斗争主动仗，掌握意识形态工作领导权。发扬“敢为人先、敢于胜利”的华容精神，持续注入时代内涵，不断增强文化认同和情感认同。推进新时代文明实践体系建设，深化群众性精神文明创建活动，加强社会公德、职业道德、家庭美德、个人品德建设。巩固提升文明城市创建成果，健全文明城市创建长效机制，深入实施“共建家园”行动，打造“华容大姐”系列志愿服务品牌，建设全域文明华容格局。</w:t>
      </w:r>
    </w:p>
    <w:p>
      <w:pPr>
        <w:ind w:firstLine="600"/>
      </w:pPr>
      <w:r>
        <w:rPr>
          <w:rFonts w:hint="eastAsia"/>
        </w:rPr>
        <w:t>积极探索华容区、镇、村新时代文明实践中心（所、站）的规范建设工作，进一步整合各方资源，组建专业知识、专业技能和具有地方特色优势的志愿服务队，常态化、制度化开展志愿服务活动，不断提高新时代文明实践的实效性和吸引力，真正让新时代文明实践各项工作聚人气、有活力</w:t>
      </w:r>
      <w:r>
        <w:t>。</w:t>
      </w:r>
    </w:p>
    <w:p>
      <w:pPr>
        <w:pStyle w:val="6"/>
        <w:ind w:firstLine="602"/>
      </w:pPr>
      <w:bookmarkStart w:id="156" w:name="_Toc7243"/>
      <w:r>
        <w:t>第二节</w:t>
      </w:r>
      <w:r>
        <w:rPr>
          <w:rFonts w:hint="eastAsia"/>
        </w:rPr>
        <w:t xml:space="preserve"> 持续实施文化惠民工程</w:t>
      </w:r>
      <w:bookmarkEnd w:id="156"/>
    </w:p>
    <w:p>
      <w:pPr>
        <w:ind w:firstLine="600"/>
      </w:pPr>
      <w:r>
        <w:t>结合优势资源打造文化名镇、名村、名园、名品</w:t>
      </w:r>
      <w:r>
        <w:rPr>
          <w:rFonts w:hint="eastAsia"/>
        </w:rPr>
        <w:t>，深入开展“书香华容”全民阅读活动，实施文艺精品创作工程，</w:t>
      </w:r>
      <w:r>
        <w:t>创作一批人民群众喜闻乐见、继承优秀传统文化、弘扬时代精神的文艺作品。开展革命传统文化教育，扎实推进</w:t>
      </w:r>
      <w:r>
        <w:rPr>
          <w:rFonts w:hint="eastAsia"/>
        </w:rPr>
        <w:t>“</w:t>
      </w:r>
      <w:r>
        <w:t>文化华容</w:t>
      </w:r>
      <w:r>
        <w:rPr>
          <w:rFonts w:hint="eastAsia"/>
        </w:rPr>
        <w:t>”</w:t>
      </w:r>
      <w:r>
        <w:t>建设，提升全民文化素质。</w:t>
      </w:r>
      <w:r>
        <w:rPr>
          <w:rFonts w:hint="eastAsia"/>
        </w:rPr>
        <w:t>全面实施文化惠民工程，统筹“三馆一场”建设，扩大文化惠民工程覆盖面。定期组织广场舞大赛、送戏下乡、农民运动会、农民丰收节、村晚等大型群体性文体活动，进一步提升人民群众文化生活质量。推进文体活动进农村、进社区、进学校，进一步夯实基层文化阵地建设，织密基层公共文化设施网络。积极参与省市区各类文化比赛，鼓励文体“走出去”，展示“华容风采”</w:t>
      </w:r>
      <w:r>
        <w:t>。</w:t>
      </w:r>
      <w:r>
        <w:rPr>
          <w:rFonts w:hint="eastAsia"/>
        </w:rPr>
        <w:t>积极运用数字技术，推动公共文化资源联网上云，扩大公共文化服务半径和服务品质。推动区级新型主流媒体建设，加强区融媒体中心建设。</w:t>
      </w:r>
    </w:p>
    <w:p>
      <w:pPr>
        <w:pStyle w:val="6"/>
        <w:ind w:firstLine="602"/>
      </w:pPr>
      <w:bookmarkStart w:id="157" w:name="_Toc17323"/>
      <w:r>
        <w:t>第三节 加强文化遗产保护利用</w:t>
      </w:r>
      <w:bookmarkEnd w:id="157"/>
    </w:p>
    <w:p>
      <w:pPr>
        <w:ind w:firstLine="600"/>
      </w:pPr>
      <w:r>
        <w:t>推动文化资源创造性转化、创新性发展</w:t>
      </w:r>
      <w:r>
        <w:rPr>
          <w:rFonts w:hint="eastAsia"/>
        </w:rPr>
        <w:t>，</w:t>
      </w:r>
      <w:r>
        <w:t>充分挖掘</w:t>
      </w:r>
      <w:r>
        <w:rPr>
          <w:rFonts w:hint="eastAsia"/>
        </w:rPr>
        <w:t>和提炼优秀传统文化精神内涵和时代价值</w:t>
      </w:r>
      <w:r>
        <w:t>，有效保护传统文化遗产。积极开发</w:t>
      </w:r>
      <w:r>
        <w:rPr>
          <w:rFonts w:hint="eastAsia"/>
        </w:rPr>
        <w:t>华容土布、布贴、樊湖硪歌、华容刺绣、雕花剪纸等</w:t>
      </w:r>
      <w:r>
        <w:t>具有民间传统和地域特色的民间工艺项目和民间艺术、民俗表演项目，古镇游、生态游、农家乐等民俗文化旅游项目。抓好文物保护</w:t>
      </w:r>
      <w:r>
        <w:rPr>
          <w:rFonts w:hint="eastAsia"/>
        </w:rPr>
        <w:t>利用，推动古村落古民居古建筑保护开发，加大非物质文化遗产传承保护力度，</w:t>
      </w:r>
      <w:r>
        <w:t>重点打造省级文保单位成为参观学习的爱国主义教育基地</w:t>
      </w:r>
      <w:r>
        <w:rPr>
          <w:rFonts w:hint="eastAsia"/>
        </w:rPr>
        <w:t>。</w:t>
      </w:r>
      <w:r>
        <w:t>扩大文保单位开放范围，推动非遗项目产业化传承，实施传统工艺产业化振兴，落实文化文物单位文创产品开发试点，大力发展文博产业</w:t>
      </w:r>
      <w:r>
        <w:rPr>
          <w:rFonts w:hint="eastAsia"/>
        </w:rPr>
        <w:t>，促进文化遗产发挥社会效益与经济效益</w:t>
      </w:r>
      <w:r>
        <w:t>。完善非物质文化遗产代表性项目、传承人和传承基地</w:t>
      </w:r>
      <w:r>
        <w:rPr>
          <w:rFonts w:hint="eastAsia"/>
        </w:rPr>
        <w:t>“</w:t>
      </w:r>
      <w:r>
        <w:t>三位一体</w:t>
      </w:r>
      <w:r>
        <w:rPr>
          <w:rFonts w:hint="eastAsia"/>
        </w:rPr>
        <w:t>”</w:t>
      </w:r>
      <w:r>
        <w:t>保护体系。充分发挥文化职能，挖掘、整理区域内</w:t>
      </w:r>
      <w:r>
        <w:rPr>
          <w:rFonts w:hint="eastAsia"/>
        </w:rPr>
        <w:t>“</w:t>
      </w:r>
      <w:r>
        <w:t>非遗</w:t>
      </w:r>
      <w:r>
        <w:rPr>
          <w:rFonts w:hint="eastAsia"/>
        </w:rPr>
        <w:t>”</w:t>
      </w:r>
      <w:r>
        <w:t>项目，建立完善的非物质文化遗产档案资料数据库。</w:t>
      </w:r>
      <w:r>
        <w:rPr>
          <w:rFonts w:hint="eastAsia"/>
        </w:rPr>
        <w:t>建立文化交流合作和传播机制，全面提升文化传播力和影响力。</w:t>
      </w:r>
    </w:p>
    <w:p>
      <w:pPr>
        <w:pStyle w:val="5"/>
        <w:ind w:firstLine="643"/>
      </w:pPr>
      <w:bookmarkStart w:id="158" w:name="_Toc17536"/>
      <w:r>
        <w:t>第二章 完善公共文体服务</w:t>
      </w:r>
      <w:r>
        <w:rPr>
          <w:rFonts w:hint="eastAsia"/>
        </w:rPr>
        <w:t>体系</w:t>
      </w:r>
      <w:bookmarkEnd w:id="158"/>
    </w:p>
    <w:p>
      <w:pPr>
        <w:pStyle w:val="6"/>
        <w:ind w:firstLine="602"/>
      </w:pPr>
      <w:bookmarkStart w:id="159" w:name="_Toc24276"/>
      <w:r>
        <w:t>第一节</w:t>
      </w:r>
      <w:r>
        <w:rPr>
          <w:rFonts w:hint="eastAsia"/>
        </w:rPr>
        <w:t xml:space="preserve"> 优化公共文体服务设施</w:t>
      </w:r>
      <w:bookmarkEnd w:id="159"/>
    </w:p>
    <w:p>
      <w:pPr>
        <w:ind w:firstLine="600"/>
      </w:pPr>
      <w:r>
        <w:t>完善公共文体服务基础设施网络。</w:t>
      </w:r>
      <w:r>
        <w:rPr>
          <w:rFonts w:hint="eastAsia"/>
        </w:rPr>
        <w:t>改造提升非遗馆、辛亥革命历史展馆等重点文化设施，打造一批文化新地标，</w:t>
      </w:r>
      <w:r>
        <w:t>推进区、街道（乡镇）、社区（村）三级文</w:t>
      </w:r>
      <w:r>
        <w:rPr>
          <w:rFonts w:hint="eastAsia"/>
        </w:rPr>
        <w:t>体</w:t>
      </w:r>
      <w:r>
        <w:t>基础设施建设，形成覆盖</w:t>
      </w:r>
      <w:r>
        <w:rPr>
          <w:rFonts w:hint="eastAsia"/>
        </w:rPr>
        <w:t>全区的文体基础设施</w:t>
      </w:r>
      <w:r>
        <w:t>网络，完善基层文体设施布局，提高人均拥有量，</w:t>
      </w:r>
      <w:r>
        <w:rPr>
          <w:rFonts w:hint="eastAsia"/>
        </w:rPr>
        <w:t>全面实施全民健身工程，打造农村“1</w:t>
      </w:r>
      <w:r>
        <w:t>5</w:t>
      </w:r>
      <w:r>
        <w:rPr>
          <w:rFonts w:hint="eastAsia"/>
        </w:rPr>
        <w:t>分钟文化圈”，</w:t>
      </w:r>
      <w:r>
        <w:t>逐步建立起</w:t>
      </w:r>
      <w:r>
        <w:rPr>
          <w:rFonts w:hint="eastAsia"/>
        </w:rPr>
        <w:t>较为</w:t>
      </w:r>
      <w:r>
        <w:t>完备的公共文</w:t>
      </w:r>
      <w:r>
        <w:rPr>
          <w:rFonts w:hint="eastAsia"/>
        </w:rPr>
        <w:t>体</w:t>
      </w:r>
      <w:r>
        <w:t>服务体系，实现</w:t>
      </w:r>
      <w:r>
        <w:rPr>
          <w:rFonts w:hint="eastAsia"/>
        </w:rPr>
        <w:t>公共文体服务</w:t>
      </w:r>
      <w:r>
        <w:t>量质齐升。</w:t>
      </w:r>
      <w:r>
        <w:rPr>
          <w:rFonts w:hint="eastAsia"/>
        </w:rPr>
        <w:t>以群众</w:t>
      </w:r>
      <w:r>
        <w:t>需求为导向，</w:t>
      </w:r>
      <w:r>
        <w:rPr>
          <w:rFonts w:hint="eastAsia"/>
        </w:rPr>
        <w:t>全面规划</w:t>
      </w:r>
      <w:r>
        <w:t>统筹</w:t>
      </w:r>
      <w:r>
        <w:rPr>
          <w:rFonts w:hint="eastAsia"/>
        </w:rPr>
        <w:t>“</w:t>
      </w:r>
      <w:r>
        <w:t>三馆一场</w:t>
      </w:r>
      <w:r>
        <w:rPr>
          <w:rFonts w:hint="eastAsia"/>
        </w:rPr>
        <w:t>”</w:t>
      </w:r>
      <w:r>
        <w:t>建设，通过新建、改建等方式，</w:t>
      </w:r>
      <w:r>
        <w:rPr>
          <w:rFonts w:hint="eastAsia"/>
        </w:rPr>
        <w:t>规划建设华容体育中心，</w:t>
      </w:r>
      <w:r>
        <w:t>逐步增加能体现城市文化特质的主题文</w:t>
      </w:r>
      <w:r>
        <w:rPr>
          <w:rFonts w:hint="eastAsia"/>
        </w:rPr>
        <w:t>体</w:t>
      </w:r>
      <w:r>
        <w:t>公园、</w:t>
      </w:r>
      <w:r>
        <w:rPr>
          <w:rFonts w:hint="eastAsia"/>
        </w:rPr>
        <w:t>场馆</w:t>
      </w:r>
      <w:r>
        <w:t>数量。建成用好市民文化中心，注重</w:t>
      </w:r>
      <w:r>
        <w:rPr>
          <w:rFonts w:hint="eastAsia"/>
        </w:rPr>
        <w:t>“</w:t>
      </w:r>
      <w:r>
        <w:t>建、管、用、育</w:t>
      </w:r>
      <w:r>
        <w:rPr>
          <w:rFonts w:hint="eastAsia"/>
        </w:rPr>
        <w:t>”</w:t>
      </w:r>
      <w:r>
        <w:t>一体化，以满足群众性文</w:t>
      </w:r>
      <w:r>
        <w:rPr>
          <w:rFonts w:hint="eastAsia"/>
        </w:rPr>
        <w:t>体</w:t>
      </w:r>
      <w:r>
        <w:t>活动的基本需要。启动智慧文化和数字媒体建设，推动线下和线上平台有机融合，不断拓展服务网络和交流平台。以各类创建为抓手，深入推进文化阵地标准化、规范化建设。</w:t>
      </w:r>
    </w:p>
    <w:p>
      <w:pPr>
        <w:pStyle w:val="6"/>
        <w:ind w:firstLine="602"/>
      </w:pPr>
      <w:bookmarkStart w:id="160" w:name="_Toc29778"/>
      <w:r>
        <w:t>第二节 加强公共文化产品服务和供给</w:t>
      </w:r>
      <w:bookmarkEnd w:id="160"/>
    </w:p>
    <w:p>
      <w:pPr>
        <w:ind w:firstLine="600"/>
      </w:pPr>
      <w:r>
        <w:t>推动博物馆、图书馆、纪念馆、文化馆等公共文化服务设施免费向社会开放。鼓励各类社会机构和企业提供文化产品和服务，促进公共文化服务的社会化。实行定点服务与流动服务相结合，推动公共文化服务向基层延伸，</w:t>
      </w:r>
      <w:r>
        <w:rPr>
          <w:rFonts w:hint="eastAsia"/>
        </w:rPr>
        <w:t>依托毛主席视察临江纪念馆、彭楚藩烈士祠、刘伯垂纪念馆、蒲团樊湖抗日烈士纪念园、夏家榜十八烈士纪念碑等打造红色文化教育基地，持续开展蒲团荷花节、段店油菜花节、石竹月季花节等</w:t>
      </w:r>
      <w:r>
        <w:t>农村流动文化服务活动，确保每年公益性文化活动的数量和质量</w:t>
      </w:r>
      <w:r>
        <w:rPr>
          <w:rFonts w:hint="eastAsia"/>
        </w:rPr>
        <w:t>，让群众具有获得感</w:t>
      </w:r>
      <w:r>
        <w:t>。</w:t>
      </w:r>
    </w:p>
    <w:p>
      <w:pPr>
        <w:pStyle w:val="6"/>
        <w:ind w:firstLine="602"/>
      </w:pPr>
      <w:bookmarkStart w:id="161" w:name="_Toc5529"/>
      <w:r>
        <w:t>第三节 健全公共文化服务机制</w:t>
      </w:r>
      <w:bookmarkEnd w:id="161"/>
    </w:p>
    <w:p>
      <w:pPr>
        <w:ind w:firstLine="600"/>
      </w:pPr>
      <w:r>
        <w:t>优化公共文化服务机制。建立健全社会广泛参与的互动机制，大力发展各类文化艺术协会、业余文体团队，加强对协会及业余文体团队的指导，搭建群众文化交流平台，培养群众参与文化活动的兴趣，激发群众文化自觉。设置一批纳入制度化管理的群众性文化活动项目，注重活动的导向性、示范性、带动性和可持续性，努力形成点面结合、上下联动的长效机制。</w:t>
      </w:r>
    </w:p>
    <w:p>
      <w:pPr>
        <w:pStyle w:val="5"/>
        <w:ind w:firstLine="643"/>
      </w:pPr>
      <w:bookmarkStart w:id="162" w:name="_Toc7919"/>
      <w:r>
        <w:t xml:space="preserve">第三章 </w:t>
      </w:r>
      <w:r>
        <w:rPr>
          <w:rFonts w:hint="eastAsia"/>
        </w:rPr>
        <w:t>推动文旅产业融合发展</w:t>
      </w:r>
      <w:bookmarkEnd w:id="162"/>
    </w:p>
    <w:p>
      <w:pPr>
        <w:pStyle w:val="6"/>
        <w:ind w:firstLine="602"/>
      </w:pPr>
      <w:bookmarkStart w:id="163" w:name="_Toc17436"/>
      <w:r>
        <w:t>第一节 打造全域化文旅产品</w:t>
      </w:r>
      <w:bookmarkEnd w:id="163"/>
    </w:p>
    <w:p>
      <w:pPr>
        <w:ind w:firstLine="600"/>
      </w:pPr>
      <w:r>
        <w:t>加快旅游重点项目建设。充分考虑相关旅游项目、设施的空间布局和建设用地要求，彰显旅游元素。同时结合旅游产业发展需要，</w:t>
      </w:r>
      <w:r>
        <w:rPr>
          <w:rFonts w:hint="eastAsia"/>
        </w:rPr>
        <w:t>实施“点亮华容”计划，</w:t>
      </w:r>
      <w:r>
        <w:t>规划建设</w:t>
      </w:r>
      <w:r>
        <w:rPr>
          <w:rFonts w:hint="eastAsia"/>
        </w:rPr>
        <w:t>游客集散中心</w:t>
      </w:r>
      <w:r>
        <w:t>等基础设施和公共服务设施，激活月光经济，并以城乡景区化、项目景点化的要求，对城乡、农村、旅游项目进行打造升级</w:t>
      </w:r>
      <w:r>
        <w:rPr>
          <w:rFonts w:hint="eastAsia"/>
        </w:rPr>
        <w:t>，建设立足湖北、辐射华中的旅游休闲度假城，加大文旅宣传推广力度，放大文旅综合效应，建设武汉城市圈旅游休闲度假中心、赛事活动中心，打造世界级文化旅游胜地、世界顶级童话神话乐园等特色文旅品牌。深入挖掘具有华容特色的文化元素，着力打造一批标志性功能性文化地标，集聚形成“名镇、名村、名街、名居”等文旅发展体系</w:t>
      </w:r>
      <w:r>
        <w:t>，讲好华容故事。加强旅游与产业融合规划，提升旅游产业的带动力</w:t>
      </w:r>
      <w:r>
        <w:rPr>
          <w:rFonts w:hint="eastAsia"/>
        </w:rPr>
        <w:t>。加大台创园4A级景区创建力度，</w:t>
      </w:r>
      <w:r>
        <w:t>打造精品旅游线路</w:t>
      </w:r>
      <w:r>
        <w:rPr>
          <w:rFonts w:hint="eastAsia"/>
        </w:rPr>
        <w:t>，</w:t>
      </w:r>
      <w:r>
        <w:t>形成</w:t>
      </w:r>
      <w:r>
        <w:rPr>
          <w:rFonts w:hint="eastAsia"/>
        </w:rPr>
        <w:t>“</w:t>
      </w:r>
      <w:r>
        <w:t>一主两节三园四线</w:t>
      </w:r>
      <w:r>
        <w:rPr>
          <w:rFonts w:hint="eastAsia"/>
        </w:rPr>
        <w:t>”</w:t>
      </w:r>
      <w:r>
        <w:t>乡村旅游新格局。</w:t>
      </w:r>
    </w:p>
    <w:p>
      <w:pPr>
        <w:pStyle w:val="6"/>
        <w:ind w:firstLine="602"/>
      </w:pPr>
      <w:bookmarkStart w:id="164" w:name="_Toc14068"/>
      <w:r>
        <w:t>第二节 完善文旅市场体系</w:t>
      </w:r>
      <w:bookmarkEnd w:id="164"/>
    </w:p>
    <w:p>
      <w:pPr>
        <w:ind w:firstLine="600"/>
      </w:pPr>
      <w:r>
        <w:t>以重点文旅项目为抓手，助推文旅产业发展。推进恒大</w:t>
      </w:r>
      <w:r>
        <w:rPr>
          <w:rFonts w:hint="eastAsia"/>
        </w:rPr>
        <w:t>童世界</w:t>
      </w:r>
      <w:r>
        <w:t>、</w:t>
      </w:r>
      <w:r>
        <w:rPr>
          <w:rFonts w:hint="eastAsia"/>
        </w:rPr>
        <w:t>湖北杏福农业台创园</w:t>
      </w:r>
      <w:r>
        <w:t>等项目建设，持续引进一批影响力大、带动效应好的企业项目，扩大产业体系。加快文化艺术演出服务行业规范建设，积极谋划建设专业的营业性演艺活动场所，力争整体打造极具华容特色的演艺品牌，壮大华容文化产业的影响力。坚持开展全域乡村旅游季等节庆品牌活动</w:t>
      </w:r>
      <w:r>
        <w:rPr>
          <w:rFonts w:hint="eastAsia"/>
        </w:rPr>
        <w:t>，</w:t>
      </w:r>
      <w:r>
        <w:t>进一步明确把华容作为一个旅游胜地来整体打造，做足</w:t>
      </w:r>
      <w:r>
        <w:rPr>
          <w:rFonts w:hint="eastAsia"/>
        </w:rPr>
        <w:t>“</w:t>
      </w:r>
      <w:r>
        <w:t>生态、文化、乡村、休闲</w:t>
      </w:r>
      <w:r>
        <w:rPr>
          <w:rFonts w:hint="eastAsia"/>
        </w:rPr>
        <w:t>”</w:t>
      </w:r>
      <w:r>
        <w:t>文章，下决心整合各类文化旅游资源，形成一体化的发展效果和整体化的品牌，实现产业融合和区域产业整体带动发展。</w:t>
      </w:r>
    </w:p>
    <w:p>
      <w:pPr>
        <w:pStyle w:val="6"/>
        <w:ind w:firstLine="602"/>
      </w:pPr>
      <w:bookmarkStart w:id="165" w:name="_Toc1410"/>
      <w:r>
        <w:t>第三节 促进旅游产业深度融合</w:t>
      </w:r>
      <w:bookmarkEnd w:id="165"/>
    </w:p>
    <w:p>
      <w:pPr>
        <w:ind w:firstLine="600"/>
      </w:pPr>
      <w:r>
        <w:t>促进旅游业与农业融合</w:t>
      </w:r>
      <w:r>
        <w:rPr>
          <w:rFonts w:hint="eastAsia"/>
        </w:rPr>
        <w:t>，优先发展农业农村，支持蒲团乡现代农业的发展，促进农旅深度融合。</w:t>
      </w:r>
      <w:r>
        <w:t>按照</w:t>
      </w:r>
      <w:r>
        <w:rPr>
          <w:rFonts w:hint="eastAsia"/>
        </w:rPr>
        <w:t>“</w:t>
      </w:r>
      <w:r>
        <w:t>生态抓基地、产品抓质量、旅游增效益</w:t>
      </w:r>
      <w:r>
        <w:rPr>
          <w:rFonts w:hint="eastAsia"/>
        </w:rPr>
        <w:t>”</w:t>
      </w:r>
      <w:r>
        <w:t>的要求，迅速形成一批</w:t>
      </w:r>
      <w:r>
        <w:rPr>
          <w:rFonts w:hint="eastAsia"/>
        </w:rPr>
        <w:t>以段店镇万亩油菜花海为代表的</w:t>
      </w:r>
      <w:r>
        <w:t>影响力大、附加值高的生态观光农业基地</w:t>
      </w:r>
      <w:r>
        <w:rPr>
          <w:rFonts w:hint="eastAsia"/>
        </w:rPr>
        <w:t>和农业旅游线路</w:t>
      </w:r>
      <w:r>
        <w:t>。促进旅游业与文化产业融合</w:t>
      </w:r>
      <w:r>
        <w:rPr>
          <w:rFonts w:hint="eastAsia"/>
        </w:rPr>
        <w:t>，</w:t>
      </w:r>
      <w:r>
        <w:t>充分挖掘</w:t>
      </w:r>
      <w:r>
        <w:rPr>
          <w:rFonts w:hint="eastAsia"/>
        </w:rPr>
        <w:t>三国历史文化，打造三国文化旅游线路，依托</w:t>
      </w:r>
      <w:r>
        <w:t>传统文化、民俗文化、饮食文化、诗词文化和非物质文化遗产，办好特色民俗文化活动</w:t>
      </w:r>
      <w:r>
        <w:rPr>
          <w:rFonts w:hint="eastAsia"/>
        </w:rPr>
        <w:t>。</w:t>
      </w:r>
      <w:r>
        <w:t>持续开展</w:t>
      </w:r>
      <w:r>
        <w:rPr>
          <w:rFonts w:hint="eastAsia"/>
        </w:rPr>
        <w:t>“</w:t>
      </w:r>
      <w:r>
        <w:t>非遗</w:t>
      </w:r>
      <w:r>
        <w:rPr>
          <w:rFonts w:hint="eastAsia"/>
        </w:rPr>
        <w:t>”</w:t>
      </w:r>
      <w:r>
        <w:t>文化进旅游景区活动，以文促旅，以旅彰文，赋予旅游产业更多实物载体</w:t>
      </w:r>
      <w:r>
        <w:rPr>
          <w:rFonts w:hint="eastAsia"/>
        </w:rPr>
        <w:t>，</w:t>
      </w:r>
      <w:r>
        <w:t>进一步加强创意文化产品开发，加大对雕花</w:t>
      </w:r>
      <w:r>
        <w:rPr>
          <w:rFonts w:hint="eastAsia"/>
        </w:rPr>
        <w:t>、</w:t>
      </w:r>
      <w:r>
        <w:t>剪纸、土布印染、布贴画等</w:t>
      </w:r>
      <w:r>
        <w:rPr>
          <w:rFonts w:hint="eastAsia"/>
        </w:rPr>
        <w:t>“</w:t>
      </w:r>
      <w:r>
        <w:t>非遗</w:t>
      </w:r>
      <w:r>
        <w:rPr>
          <w:rFonts w:hint="eastAsia"/>
        </w:rPr>
        <w:t>”</w:t>
      </w:r>
      <w:r>
        <w:t>传承利用，重点运用互联网思维创新文化旅游商业模式和特色文化旅游纪念品生产销售。</w:t>
      </w:r>
    </w:p>
    <w:tbl>
      <w:tblPr>
        <w:tblStyle w:val="5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cs="Times New Roman" w:asciiTheme="minorHAnsi" w:hAnsiTheme="minorHAnsi"/>
                <w:b/>
                <w:sz w:val="24"/>
                <w:szCs w:val="21"/>
              </w:rPr>
            </w:pPr>
            <w:r>
              <w:rPr>
                <w:rFonts w:cs="Times New Roman" w:asciiTheme="minorHAnsi" w:hAnsiTheme="minorHAnsi"/>
                <w:b/>
                <w:color w:val="000000"/>
                <w:kern w:val="0"/>
                <w:sz w:val="24"/>
                <w:szCs w:val="24"/>
              </w:rPr>
              <w:t>专栏5-1 文化旅游重大工程项目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cs="Times New Roman" w:asciiTheme="minorHAnsi" w:hAnsiTheme="minorHAnsi"/>
                <w:sz w:val="24"/>
                <w:szCs w:val="21"/>
              </w:rPr>
            </w:pPr>
            <w:r>
              <w:rPr>
                <w:rFonts w:cs="Times New Roman" w:asciiTheme="minorHAnsi" w:hAnsiTheme="minorHAnsi"/>
                <w:b/>
                <w:sz w:val="24"/>
              </w:rPr>
              <w:t>文化品牌工程：</w:t>
            </w:r>
            <w:r>
              <w:rPr>
                <w:rFonts w:cs="Times New Roman" w:asciiTheme="minorHAnsi" w:hAnsiTheme="minorHAnsi"/>
                <w:sz w:val="24"/>
              </w:rPr>
              <w:t>打造一批历史文化类名镇、名村、名园、名品。</w:t>
            </w:r>
          </w:p>
          <w:p>
            <w:pPr>
              <w:spacing w:line="300" w:lineRule="exact"/>
              <w:ind w:firstLine="482"/>
              <w:rPr>
                <w:rFonts w:cs="Times New Roman" w:asciiTheme="minorHAnsi" w:hAnsiTheme="minorHAnsi"/>
                <w:sz w:val="24"/>
              </w:rPr>
            </w:pPr>
            <w:r>
              <w:rPr>
                <w:rFonts w:cs="Times New Roman" w:asciiTheme="minorHAnsi" w:hAnsiTheme="minorHAnsi"/>
                <w:b/>
                <w:sz w:val="24"/>
              </w:rPr>
              <w:t>文化惠民工程：</w:t>
            </w:r>
            <w:r>
              <w:rPr>
                <w:rFonts w:cs="Times New Roman" w:asciiTheme="minorHAnsi" w:hAnsiTheme="minorHAnsi"/>
                <w:sz w:val="24"/>
              </w:rPr>
              <w:t>深入开展“书香华容”全民阅读活动；实施文艺精品创作工程；每年至少举办</w:t>
            </w:r>
            <w:r>
              <w:rPr>
                <w:rFonts w:cs="Times New Roman" w:asciiTheme="minorHAnsi" w:hAnsiTheme="minorHAnsi"/>
                <w:sz w:val="24"/>
                <w:szCs w:val="21"/>
              </w:rPr>
              <w:t>1~2</w:t>
            </w:r>
            <w:r>
              <w:rPr>
                <w:rFonts w:cs="Times New Roman" w:asciiTheme="minorHAnsi" w:hAnsiTheme="minorHAnsi"/>
                <w:sz w:val="24"/>
              </w:rPr>
              <w:t>次广场文化节、广场舞大赛、农民丰收节、农民运动会、村晚等大型群体性文体活动。</w:t>
            </w:r>
          </w:p>
          <w:p>
            <w:pPr>
              <w:spacing w:line="300" w:lineRule="exact"/>
              <w:ind w:firstLine="482"/>
              <w:rPr>
                <w:rFonts w:cs="Times New Roman" w:asciiTheme="minorHAnsi" w:hAnsiTheme="minorHAnsi"/>
                <w:sz w:val="24"/>
              </w:rPr>
            </w:pPr>
            <w:r>
              <w:rPr>
                <w:rFonts w:cs="Times New Roman" w:asciiTheme="minorHAnsi" w:hAnsiTheme="minorHAnsi"/>
                <w:b/>
                <w:sz w:val="24"/>
              </w:rPr>
              <w:t>公共文化服务提升工程：</w:t>
            </w:r>
            <w:r>
              <w:rPr>
                <w:rFonts w:cs="Times New Roman" w:asciiTheme="minorHAnsi" w:hAnsiTheme="minorHAnsi"/>
                <w:sz w:val="24"/>
              </w:rPr>
              <w:t>华容市民文化中心建设；“三馆一场”建设工程，推动恒大博物馆群、图书馆、纪念馆、文化馆、书画院、非遗馆、辛亥革命历史展馆等公共文化服务设施免费向社会开放。</w:t>
            </w:r>
          </w:p>
          <w:p>
            <w:pPr>
              <w:spacing w:line="300" w:lineRule="exact"/>
              <w:ind w:firstLine="482"/>
              <w:rPr>
                <w:rFonts w:cs="Times New Roman" w:asciiTheme="minorHAnsi" w:hAnsiTheme="minorHAnsi"/>
                <w:sz w:val="24"/>
              </w:rPr>
            </w:pPr>
            <w:r>
              <w:rPr>
                <w:rFonts w:cs="Times New Roman" w:asciiTheme="minorHAnsi" w:hAnsiTheme="minorHAnsi"/>
                <w:b/>
                <w:sz w:val="24"/>
              </w:rPr>
              <w:t>全民健身示范工程：</w:t>
            </w:r>
            <w:r>
              <w:rPr>
                <w:rFonts w:cs="Times New Roman" w:asciiTheme="minorHAnsi" w:hAnsiTheme="minorHAnsi"/>
                <w:sz w:val="24"/>
              </w:rPr>
              <w:t>规划建设华容体育中心，推进全面健身示范工程建设，引导全民健身工程深入发展。</w:t>
            </w:r>
          </w:p>
          <w:p>
            <w:pPr>
              <w:spacing w:line="300" w:lineRule="exact"/>
              <w:ind w:firstLine="482"/>
              <w:rPr>
                <w:rFonts w:cs="Times New Roman" w:asciiTheme="minorHAnsi" w:hAnsiTheme="minorHAnsi"/>
                <w:sz w:val="24"/>
              </w:rPr>
            </w:pPr>
            <w:r>
              <w:rPr>
                <w:rFonts w:cs="Times New Roman" w:asciiTheme="minorHAnsi" w:hAnsiTheme="minorHAnsi"/>
                <w:b/>
                <w:sz w:val="24"/>
              </w:rPr>
              <w:t>非遗文化保护工程：</w:t>
            </w:r>
            <w:r>
              <w:rPr>
                <w:rFonts w:cs="Times New Roman" w:asciiTheme="minorHAnsi" w:hAnsiTheme="minorHAnsi"/>
                <w:sz w:val="24"/>
              </w:rPr>
              <w:t>华容土布、布贴、樊湖硪歌、华容刺绣、华容雕花、剪纸等具有民间传统和地域特色的民间工艺项目保护利用，推进非物质文化遗产代表性项目、传承人和传承基地“三位一体”。</w:t>
            </w:r>
          </w:p>
          <w:p>
            <w:pPr>
              <w:spacing w:line="300" w:lineRule="exact"/>
              <w:ind w:firstLine="482"/>
              <w:rPr>
                <w:rFonts w:cs="Times New Roman" w:asciiTheme="minorHAnsi" w:hAnsiTheme="minorHAnsi"/>
                <w:sz w:val="24"/>
                <w:szCs w:val="21"/>
              </w:rPr>
            </w:pPr>
            <w:r>
              <w:rPr>
                <w:rFonts w:cs="Times New Roman" w:asciiTheme="minorHAnsi" w:hAnsiTheme="minorHAnsi"/>
                <w:b/>
                <w:sz w:val="24"/>
              </w:rPr>
              <w:t>旅游产业建设工程：</w:t>
            </w:r>
            <w:r>
              <w:rPr>
                <w:rFonts w:cs="Times New Roman" w:asciiTheme="minorHAnsi" w:hAnsiTheme="minorHAnsi"/>
                <w:sz w:val="24"/>
              </w:rPr>
              <w:t>蒲团荷花节、段店油菜花节、石竹月季花节等民间艺术、民俗表演项目，生态游、农家乐等民俗文化旅游项目建设工程；恒大文化旅游综合体建设，打造一个集儿童主题公园、文创商业街、博物馆、运动中心、文化娱乐城、生态公园、五星级国际酒店、会议会展等多业态融于一体的大型综合体；湖北杏福农业台创园（建设研学谷、户外教育基地、亲子乐园、戏水池、公共服务区）；打造蒲团乡万亩荷花观光走廊、段店镇万亩油菜花海生态观光农业基地等农旅深度融合发展工程；融创雪世界；鄂州市PVCP国际文化旅游项目、红莲湖国际水上运动中心等。</w:t>
            </w:r>
          </w:p>
        </w:tc>
      </w:tr>
    </w:tbl>
    <w:p>
      <w:pPr>
        <w:widowControl/>
        <w:spacing w:line="240" w:lineRule="auto"/>
        <w:ind w:firstLine="0" w:firstLineChars="0"/>
        <w:jc w:val="left"/>
        <w:rPr>
          <w:b/>
          <w:bCs/>
        </w:rPr>
      </w:pPr>
      <w:r>
        <w:rPr>
          <w:b/>
          <w:bCs/>
        </w:rPr>
        <w:br w:type="page"/>
      </w:r>
    </w:p>
    <w:p>
      <w:pPr>
        <w:pStyle w:val="4"/>
        <w:spacing w:before="408" w:after="408"/>
        <w:ind w:firstLine="640"/>
      </w:pPr>
      <w:bookmarkStart w:id="166" w:name="_Toc31237"/>
      <w:r>
        <w:t xml:space="preserve">第六篇 </w:t>
      </w:r>
      <w:r>
        <w:rPr>
          <w:rFonts w:hint="eastAsia"/>
        </w:rPr>
        <w:t>建设幸福新华容，打造高品质生活宜居地</w:t>
      </w:r>
      <w:bookmarkEnd w:id="166"/>
    </w:p>
    <w:p>
      <w:pPr>
        <w:ind w:firstLine="600"/>
      </w:pPr>
      <w:r>
        <w:rPr>
          <w:rFonts w:hint="eastAsia"/>
        </w:rPr>
        <w:t>深入实施民生保障工程，牢牢守住各项民生基本需求底线，大力提升现代教育、公共卫生、就业创业、社会保障等公共服务水平，加快补齐基本公共服务短板，多办利民实事、多解民生难事，着力打造生态环境优、生活品质好、幸福程度高的生态宜居幸福城镇。</w:t>
      </w:r>
    </w:p>
    <w:p>
      <w:pPr>
        <w:pStyle w:val="5"/>
        <w:ind w:firstLine="643"/>
      </w:pPr>
      <w:bookmarkStart w:id="167" w:name="_Toc15273"/>
      <w:r>
        <w:t>第</w:t>
      </w:r>
      <w:r>
        <w:rPr>
          <w:rFonts w:hint="eastAsia"/>
        </w:rPr>
        <w:t>一</w:t>
      </w:r>
      <w:r>
        <w:t>章</w:t>
      </w:r>
      <w:r>
        <w:rPr>
          <w:rFonts w:hint="eastAsia"/>
        </w:rPr>
        <w:t xml:space="preserve"> 实现更高质量的就业与增收</w:t>
      </w:r>
      <w:bookmarkEnd w:id="167"/>
    </w:p>
    <w:p>
      <w:pPr>
        <w:pStyle w:val="6"/>
        <w:ind w:firstLine="602"/>
      </w:pPr>
      <w:bookmarkStart w:id="168" w:name="_Toc6698"/>
      <w:r>
        <w:t>第一节 充分扩大社会就业</w:t>
      </w:r>
      <w:bookmarkEnd w:id="168"/>
    </w:p>
    <w:p>
      <w:pPr>
        <w:ind w:firstLine="600"/>
      </w:pPr>
      <w:r>
        <w:rPr>
          <w:rFonts w:hint="eastAsia"/>
        </w:rPr>
        <w:t>全面强化就业优先战略，坚持经济发展就业导向，促进大众消费，扩大就业容量。积极引导</w:t>
      </w:r>
      <w:r>
        <w:t>和鼓励城乡居民自主创业，提供各类创业服务支持，激活社会创业</w:t>
      </w:r>
      <w:r>
        <w:rPr>
          <w:rFonts w:hint="eastAsia"/>
        </w:rPr>
        <w:t>主体</w:t>
      </w:r>
      <w:r>
        <w:t>，提高</w:t>
      </w:r>
      <w:r>
        <w:rPr>
          <w:rFonts w:hint="eastAsia"/>
        </w:rPr>
        <w:t>创业</w:t>
      </w:r>
      <w:r>
        <w:t>成功率，实现创业带动就业。推动建材、食品等传统支柱产业延伸产业链，实现提质增效</w:t>
      </w:r>
      <w:r>
        <w:rPr>
          <w:rFonts w:hint="eastAsia"/>
        </w:rPr>
        <w:t>，在</w:t>
      </w:r>
      <w:r>
        <w:t>产业转型</w:t>
      </w:r>
      <w:r>
        <w:rPr>
          <w:rFonts w:hint="eastAsia"/>
        </w:rPr>
        <w:t>发展中</w:t>
      </w:r>
      <w:r>
        <w:t>稳定和扩大就业。推进一二三产业融合发展</w:t>
      </w:r>
      <w:r>
        <w:rPr>
          <w:rFonts w:hint="eastAsia"/>
        </w:rPr>
        <w:t>，</w:t>
      </w:r>
      <w:r>
        <w:t>延长农业产业链，通过进一步壮大农业和服务产业，不断拓展农民就业空间。充分发挥非公有制经济带动就业能力</w:t>
      </w:r>
      <w:r>
        <w:rPr>
          <w:rFonts w:hint="eastAsia"/>
        </w:rPr>
        <w:t>，</w:t>
      </w:r>
      <w:r>
        <w:t>营造有利于民营经济发展的制度和政策环境，鼓励和支持个体、私营、外资等多种所有制经济发展，促进非公有制企业蓬勃发展，扩大就业规模</w:t>
      </w:r>
      <w:r>
        <w:rPr>
          <w:rFonts w:hint="eastAsia"/>
        </w:rPr>
        <w:t>、</w:t>
      </w:r>
      <w:r>
        <w:t>优化就业结构，努力实现</w:t>
      </w:r>
      <w:r>
        <w:rPr>
          <w:rFonts w:hint="eastAsia"/>
        </w:rPr>
        <w:t>更高质量的就业与增收。</w:t>
      </w:r>
    </w:p>
    <w:p>
      <w:pPr>
        <w:pStyle w:val="6"/>
        <w:ind w:firstLine="602"/>
      </w:pPr>
      <w:bookmarkStart w:id="169" w:name="_Toc20877"/>
      <w:r>
        <w:t>第二节 提升就业公共服务能力</w:t>
      </w:r>
      <w:bookmarkEnd w:id="169"/>
    </w:p>
    <w:p>
      <w:pPr>
        <w:ind w:firstLine="600"/>
      </w:pPr>
      <w:r>
        <w:t>健全公共就业服务体系，推动公共就业服务平台建设，</w:t>
      </w:r>
      <w:r>
        <w:rPr>
          <w:rFonts w:hint="eastAsia"/>
        </w:rPr>
        <w:t>做好就业援助与创业帮扶，</w:t>
      </w:r>
      <w:r>
        <w:t>提高公共就业信息化水平，通过线上线下推动招聘会向基层、贫困村延伸，帮助贫困劳动力在家门口找到工作。强化就业失业监测，提升就业创业服务能力。</w:t>
      </w:r>
      <w:r>
        <w:rPr>
          <w:rFonts w:hint="eastAsia"/>
        </w:rPr>
        <w:t>改善人力资源市场供给侧与需求侧结构，引进高端人才服务机构，建设专业性、行业性人力资源市场。</w:t>
      </w:r>
      <w:r>
        <w:t>主动承接落实人才政策，加快创新创业基地、返乡创业基地、大学生实习实训基地建设，全力吸纳优秀科技人才、青年企业家、高校毕业生来华容创新创业。积极构建众创空间、创业协会等服务平台，整合市场资源，</w:t>
      </w:r>
      <w:r>
        <w:rPr>
          <w:rFonts w:hint="eastAsia"/>
        </w:rPr>
        <w:t>千方百计稳定和扩大就业，打造“双创”升级版，积极培育新的就业增长点。</w:t>
      </w:r>
    </w:p>
    <w:p>
      <w:pPr>
        <w:pStyle w:val="6"/>
        <w:ind w:firstLine="602"/>
      </w:pPr>
      <w:bookmarkStart w:id="170" w:name="_Toc15134"/>
      <w:r>
        <w:t>第三节 加大就业扶持力度</w:t>
      </w:r>
      <w:bookmarkEnd w:id="170"/>
    </w:p>
    <w:p>
      <w:pPr>
        <w:ind w:firstLine="600"/>
      </w:pPr>
      <w:r>
        <w:rPr>
          <w:rFonts w:hint="eastAsia"/>
        </w:rPr>
        <w:t>完善就业公共服务体系，扩大政府购买公共就业创业服务项目范围，加大对农民工等重点群体特别是困难群体就业帮扶力度，确保基本生活有保障。</w:t>
      </w:r>
      <w:r>
        <w:t>促进退役军人就业</w:t>
      </w:r>
      <w:r>
        <w:rPr>
          <w:rFonts w:hint="eastAsia"/>
        </w:rPr>
        <w:t>，</w:t>
      </w:r>
      <w:r>
        <w:t>加强教育培训和就业指导服务，落实各项优惠政策，扶持自主择业军转干部、自主就业退役士兵就业创业。做好城镇零就业家庭、最低生活保障家庭等困难家庭就业援助工作，确保每个家庭有劳动能力成员至少1人实现就业。推进各类用人单位按比例安排残疾人就业，积极开发适合残疾人就业的公益性岗位，扶持残疾人自主创业和灵活就业。对就业困难人员较集中的</w:t>
      </w:r>
      <w:r>
        <w:rPr>
          <w:rFonts w:hint="eastAsia"/>
        </w:rPr>
        <w:t>村镇</w:t>
      </w:r>
      <w:r>
        <w:t>，上级政府要强化帮扶责任，加大产业、项目、资金、人才等支持力度。规范劳动力市场秩序，强化劳动监察和执法力度，优化人事工资管理，完善劳动关系三方协商协调机制，切实维护劳动者合法权益，构建和谐劳动关系。</w:t>
      </w:r>
    </w:p>
    <w:tbl>
      <w:tblPr>
        <w:tblStyle w:val="5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asciiTheme="minorHAnsi" w:hAnsiTheme="minorHAnsi"/>
                <w:b/>
                <w:szCs w:val="21"/>
              </w:rPr>
            </w:pPr>
            <w:r>
              <w:rPr>
                <w:rFonts w:cs="Times New Roman" w:asciiTheme="minorHAnsi" w:hAnsiTheme="minorHAnsi"/>
                <w:b/>
                <w:color w:val="000000"/>
                <w:kern w:val="0"/>
                <w:sz w:val="24"/>
                <w:szCs w:val="24"/>
              </w:rPr>
              <w:t>专栏6-1 就业工程项目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产教融合工程：</w:t>
            </w:r>
            <w:r>
              <w:rPr>
                <w:rFonts w:cs="Times New Roman" w:asciiTheme="minorHAnsi" w:hAnsiTheme="minorHAnsi"/>
                <w:sz w:val="24"/>
              </w:rPr>
              <w:t>加快推进产学研一体化，重点实施航空航天工程产教融合实训基地项目、湖北通用航空科技创新中心。</w:t>
            </w:r>
          </w:p>
          <w:p>
            <w:pPr>
              <w:spacing w:line="300" w:lineRule="exact"/>
              <w:ind w:firstLine="482"/>
              <w:rPr>
                <w:rFonts w:eastAsia="宋体" w:cs="Times New Roman" w:asciiTheme="minorHAnsi" w:hAnsiTheme="minorHAnsi"/>
                <w:szCs w:val="21"/>
              </w:rPr>
            </w:pPr>
            <w:r>
              <w:rPr>
                <w:rFonts w:cs="Times New Roman" w:asciiTheme="minorHAnsi" w:hAnsiTheme="minorHAnsi"/>
                <w:b/>
                <w:sz w:val="24"/>
              </w:rPr>
              <w:t>就业帮扶工程：</w:t>
            </w:r>
            <w:r>
              <w:rPr>
                <w:rFonts w:cs="Times New Roman" w:asciiTheme="minorHAnsi" w:hAnsiTheme="minorHAnsi"/>
                <w:sz w:val="24"/>
              </w:rPr>
              <w:t>针对残疾人、退役军人、低保家庭进行就业帮扶和培训支持，建设华容区就业实训基地、华容区人才市场。</w:t>
            </w:r>
          </w:p>
        </w:tc>
      </w:tr>
    </w:tbl>
    <w:p>
      <w:pPr>
        <w:pStyle w:val="5"/>
        <w:ind w:firstLine="643"/>
      </w:pPr>
      <w:bookmarkStart w:id="171" w:name="_Toc30189"/>
      <w:r>
        <w:t>第二章 全面建设高质量教育体系</w:t>
      </w:r>
      <w:bookmarkEnd w:id="171"/>
    </w:p>
    <w:p>
      <w:pPr>
        <w:pStyle w:val="6"/>
        <w:ind w:firstLine="602"/>
      </w:pPr>
      <w:bookmarkStart w:id="172" w:name="_Toc10986"/>
      <w:r>
        <w:t>第</w:t>
      </w:r>
      <w:r>
        <w:rPr>
          <w:rFonts w:hint="eastAsia"/>
        </w:rPr>
        <w:t>一</w:t>
      </w:r>
      <w:r>
        <w:t>节 促进高水平教学质量提升</w:t>
      </w:r>
      <w:bookmarkEnd w:id="172"/>
    </w:p>
    <w:p>
      <w:pPr>
        <w:ind w:firstLine="600"/>
      </w:pPr>
      <w:r>
        <w:t>加强整合教育资源，抢抓武鄂协同化发展机遇，引进武汉优质教育资源，推行</w:t>
      </w:r>
      <w:r>
        <w:rPr>
          <w:rFonts w:hint="eastAsia"/>
        </w:rPr>
        <w:t>“</w:t>
      </w:r>
      <w:r>
        <w:t>名校办分校</w:t>
      </w:r>
      <w:r>
        <w:rPr>
          <w:rFonts w:hint="eastAsia"/>
        </w:rPr>
        <w:t>”“</w:t>
      </w:r>
      <w:r>
        <w:t>强校带弱校</w:t>
      </w:r>
      <w:r>
        <w:rPr>
          <w:rFonts w:hint="eastAsia"/>
        </w:rPr>
        <w:t>”“义务教育学区制”“集团化办学”</w:t>
      </w:r>
      <w:r>
        <w:t>的办学模式改革，提高基本公共教育服务均等化水平。进一步加强教师职业理想和职业道德教育，提高教师专业化水平，</w:t>
      </w:r>
      <w:r>
        <w:rPr>
          <w:rFonts w:hint="eastAsia"/>
        </w:rPr>
        <w:t>加强高质量师资队伍建设，打造高素质教育人才聚集地，</w:t>
      </w:r>
      <w:r>
        <w:t>建设高素质教师队伍。促进教育健康发展</w:t>
      </w:r>
      <w:r>
        <w:rPr>
          <w:rFonts w:hint="eastAsia"/>
        </w:rPr>
        <w:t>，办人民满意的高质量教育</w:t>
      </w:r>
      <w:r>
        <w:t>。</w:t>
      </w:r>
    </w:p>
    <w:p>
      <w:pPr>
        <w:pStyle w:val="6"/>
        <w:ind w:firstLine="602"/>
      </w:pPr>
      <w:bookmarkStart w:id="173" w:name="_Toc14311"/>
      <w:r>
        <w:t>第</w:t>
      </w:r>
      <w:r>
        <w:rPr>
          <w:rFonts w:hint="eastAsia"/>
        </w:rPr>
        <w:t>二</w:t>
      </w:r>
      <w:r>
        <w:t>节 均衡配置教育资源</w:t>
      </w:r>
      <w:bookmarkEnd w:id="173"/>
    </w:p>
    <w:p>
      <w:pPr>
        <w:ind w:firstLine="600"/>
      </w:pPr>
      <w:r>
        <w:rPr>
          <w:rFonts w:hint="eastAsia"/>
        </w:rPr>
        <w:t>加快推进学前</w:t>
      </w:r>
      <w:r>
        <w:t>和高中教育发展，努力构建一个</w:t>
      </w:r>
      <w:r>
        <w:rPr>
          <w:rFonts w:hint="eastAsia"/>
        </w:rPr>
        <w:t>以</w:t>
      </w:r>
      <w:r>
        <w:t>公办园为主体</w:t>
      </w:r>
      <w:r>
        <w:rPr>
          <w:rFonts w:hint="eastAsia"/>
        </w:rPr>
        <w:t>，</w:t>
      </w:r>
      <w:r>
        <w:t>普及、普惠、优质的学前教育公共服务体系</w:t>
      </w:r>
      <w:r>
        <w:rPr>
          <w:rFonts w:hint="eastAsia"/>
        </w:rPr>
        <w:t>。“十四五”期间，</w:t>
      </w:r>
      <w:r>
        <w:t>整体新建庙岭中学、红莲湖实验小学，对</w:t>
      </w:r>
      <w:r>
        <w:rPr>
          <w:rFonts w:hint="eastAsia"/>
        </w:rPr>
        <w:t>华容</w:t>
      </w:r>
      <w:r>
        <w:t>区内10所小学的教学楼进行撤除重建，对区内中心小学全面完成学校提质改造，建设好乡村小规模学校和寄宿制学校，进一步改善办学条件，全面推进办学条件标准化</w:t>
      </w:r>
      <w:r>
        <w:rPr>
          <w:rFonts w:hint="eastAsia"/>
        </w:rPr>
        <w:t>、</w:t>
      </w:r>
      <w:r>
        <w:t>现代化。到2025年，小学适龄儿童入学率达100%，初中适龄少年入学率达100%，九年义务教育巩固率达到98%以上，随迁子女平等接受义务教育比例达100%，义务教育阶段大班额比例为零，初中学业水平考试成绩合格率达95%，高中学业水平考试成绩合格率达90%，</w:t>
      </w:r>
      <w:r>
        <w:rPr>
          <w:rFonts w:hint="eastAsia"/>
        </w:rPr>
        <w:t>进一步提升</w:t>
      </w:r>
      <w:r>
        <w:t>高考一本、本科达线率。</w:t>
      </w:r>
      <w:r>
        <w:rPr>
          <w:rFonts w:hint="eastAsia"/>
        </w:rPr>
        <w:t>新增劳动力平均受教育年限达到13.5年以上，高等教育毛入学率达到60%以上。</w:t>
      </w:r>
    </w:p>
    <w:p>
      <w:pPr>
        <w:pStyle w:val="6"/>
        <w:ind w:firstLine="602"/>
      </w:pPr>
      <w:bookmarkStart w:id="174" w:name="_Toc14466"/>
      <w:r>
        <w:t>第</w:t>
      </w:r>
      <w:r>
        <w:rPr>
          <w:rFonts w:hint="eastAsia"/>
        </w:rPr>
        <w:t>三</w:t>
      </w:r>
      <w:r>
        <w:t>节 提升教育现代化水平</w:t>
      </w:r>
      <w:bookmarkEnd w:id="174"/>
    </w:p>
    <w:p>
      <w:pPr>
        <w:ind w:firstLine="600"/>
      </w:pPr>
      <w:r>
        <w:t>实施</w:t>
      </w:r>
      <w:r>
        <w:rPr>
          <w:rFonts w:hint="eastAsia"/>
        </w:rPr>
        <w:t>“</w:t>
      </w:r>
      <w:r>
        <w:t>网络强教</w:t>
      </w:r>
      <w:r>
        <w:rPr>
          <w:rFonts w:hint="eastAsia"/>
        </w:rPr>
        <w:t>”</w:t>
      </w:r>
      <w:r>
        <w:t>战略。加强教育信息化建设的组织领导，统筹制定全</w:t>
      </w:r>
      <w:r>
        <w:rPr>
          <w:rFonts w:hint="eastAsia"/>
        </w:rPr>
        <w:t>区</w:t>
      </w:r>
      <w:r>
        <w:t>教育信息化发展规划和标准，将教育信息化作为教育现代化的重要内容、重要标志、重要推力加以着力提升。支持建设鄂州教育大数据中心，促进</w:t>
      </w:r>
      <w:r>
        <w:rPr>
          <w:rFonts w:hint="eastAsia"/>
        </w:rPr>
        <w:t>“</w:t>
      </w:r>
      <w:r>
        <w:t>数字校园</w:t>
      </w:r>
      <w:r>
        <w:rPr>
          <w:rFonts w:hint="eastAsia"/>
        </w:rPr>
        <w:t>”“</w:t>
      </w:r>
      <w:r>
        <w:t>智慧校园</w:t>
      </w:r>
      <w:r>
        <w:rPr>
          <w:rFonts w:hint="eastAsia"/>
        </w:rPr>
        <w:t>”</w:t>
      </w:r>
      <w:r>
        <w:t>建设全面普及，形成覆盖城乡的信息化学习网络。优化</w:t>
      </w:r>
      <w:r>
        <w:rPr>
          <w:rFonts w:hint="eastAsia"/>
        </w:rPr>
        <w:t>“</w:t>
      </w:r>
      <w:r>
        <w:t>互联网+教育</w:t>
      </w:r>
      <w:r>
        <w:rPr>
          <w:rFonts w:hint="eastAsia"/>
        </w:rPr>
        <w:t>”</w:t>
      </w:r>
      <w:r>
        <w:t>服务模式与能力，充分利用云计算、大数据、人工智能等新技术，助力教育教学、管理和服务的改革发展。实施基于5G+千兆光网的数字化校园扩容提速工程，开展5G+远程互动教学、增强现实/虚拟现实沉浸式教学、实训教学，探索建设基于5G网络的教育实时监管与服务体系，提升教育管理与服务水平。</w:t>
      </w:r>
    </w:p>
    <w:tbl>
      <w:tblPr>
        <w:tblStyle w:val="5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asciiTheme="minorHAnsi" w:hAnsiTheme="minorHAnsi"/>
                <w:b/>
                <w:sz w:val="24"/>
                <w:szCs w:val="21"/>
              </w:rPr>
            </w:pPr>
            <w:r>
              <w:rPr>
                <w:rFonts w:cs="Times New Roman" w:asciiTheme="minorHAnsi" w:hAnsiTheme="minorHAnsi"/>
                <w:b/>
                <w:color w:val="000000"/>
                <w:kern w:val="0"/>
                <w:sz w:val="24"/>
                <w:szCs w:val="24"/>
              </w:rPr>
              <w:t>专栏6-2 教育发展工程项目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cs="Times New Roman" w:asciiTheme="minorHAnsi" w:hAnsiTheme="minorHAnsi"/>
                <w:b/>
                <w:sz w:val="24"/>
              </w:rPr>
            </w:pPr>
            <w:r>
              <w:rPr>
                <w:rFonts w:cs="Times New Roman" w:asciiTheme="minorHAnsi" w:hAnsiTheme="minorHAnsi"/>
                <w:b/>
                <w:sz w:val="24"/>
              </w:rPr>
              <w:t>（一）义务教育现代化推进工程</w:t>
            </w:r>
          </w:p>
          <w:p>
            <w:pPr>
              <w:spacing w:line="300" w:lineRule="exact"/>
              <w:ind w:firstLine="482"/>
              <w:rPr>
                <w:rFonts w:cs="Times New Roman" w:asciiTheme="minorHAnsi" w:hAnsiTheme="minorHAnsi"/>
                <w:b/>
                <w:sz w:val="24"/>
              </w:rPr>
            </w:pPr>
            <w:r>
              <w:rPr>
                <w:rFonts w:cs="Times New Roman" w:asciiTheme="minorHAnsi" w:hAnsiTheme="minorHAnsi"/>
                <w:b/>
                <w:sz w:val="24"/>
              </w:rPr>
              <w:t>小学：</w:t>
            </w:r>
          </w:p>
          <w:p>
            <w:pPr>
              <w:spacing w:line="300" w:lineRule="exact"/>
              <w:ind w:firstLine="480"/>
              <w:rPr>
                <w:rFonts w:cs="Times New Roman" w:asciiTheme="minorHAnsi" w:hAnsiTheme="minorHAnsi"/>
                <w:sz w:val="24"/>
              </w:rPr>
            </w:pPr>
            <w:r>
              <w:rPr>
                <w:rFonts w:cs="Times New Roman" w:asciiTheme="minorHAnsi" w:hAnsiTheme="minorHAnsi"/>
                <w:sz w:val="24"/>
              </w:rPr>
              <w:t>红莲湖实验小学新建、            华容镇实验小学运动场改扩建、</w:t>
            </w:r>
          </w:p>
          <w:p>
            <w:pPr>
              <w:spacing w:line="300" w:lineRule="exact"/>
              <w:ind w:firstLine="480"/>
              <w:rPr>
                <w:rFonts w:cs="Times New Roman" w:asciiTheme="minorHAnsi" w:hAnsiTheme="minorHAnsi"/>
                <w:sz w:val="24"/>
              </w:rPr>
            </w:pPr>
            <w:r>
              <w:rPr>
                <w:rFonts w:cs="Times New Roman" w:asciiTheme="minorHAnsi" w:hAnsiTheme="minorHAnsi"/>
                <w:sz w:val="24"/>
              </w:rPr>
              <w:t>华容镇华容小学教学楼拆建、      华容镇包王小学教学楼拆建、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华容镇芦花小学食堂运动场改造、   段店镇刘弄小学教学楼改扩建工程、</w:t>
            </w:r>
          </w:p>
          <w:p>
            <w:pPr>
              <w:spacing w:line="300" w:lineRule="exact"/>
              <w:ind w:firstLine="480"/>
              <w:rPr>
                <w:rFonts w:cs="Times New Roman" w:asciiTheme="minorHAnsi" w:hAnsiTheme="minorHAnsi"/>
                <w:sz w:val="24"/>
              </w:rPr>
            </w:pPr>
            <w:r>
              <w:rPr>
                <w:rFonts w:cs="Times New Roman" w:asciiTheme="minorHAnsi" w:hAnsiTheme="minorHAnsi"/>
                <w:sz w:val="24"/>
              </w:rPr>
              <w:t>段店镇中湾小学教学楼改扩建工程、临江乡临江小学教学楼拆建、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临江中心小学教学楼拆建、        临江乡王埠小学教学楼拆建、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临江乡新港小学运动场改扩建、    临江乡马桥小学运动场改扩建、</w:t>
            </w:r>
          </w:p>
          <w:p>
            <w:pPr>
              <w:spacing w:line="300" w:lineRule="exact"/>
              <w:ind w:firstLine="480"/>
              <w:rPr>
                <w:rFonts w:cs="Times New Roman" w:asciiTheme="minorHAnsi" w:hAnsiTheme="minorHAnsi"/>
                <w:sz w:val="24"/>
              </w:rPr>
            </w:pPr>
            <w:r>
              <w:rPr>
                <w:rFonts w:cs="Times New Roman" w:asciiTheme="minorHAnsi" w:hAnsiTheme="minorHAnsi"/>
                <w:sz w:val="24"/>
              </w:rPr>
              <w:t>蒲团乡横山中心小学教学楼建设、  蒲团乡横山中心小学食堂改建、</w:t>
            </w:r>
          </w:p>
          <w:p>
            <w:pPr>
              <w:spacing w:line="300" w:lineRule="exact"/>
              <w:ind w:firstLine="480"/>
              <w:rPr>
                <w:rFonts w:cs="Times New Roman" w:asciiTheme="minorHAnsi" w:hAnsiTheme="minorHAnsi"/>
                <w:sz w:val="24"/>
              </w:rPr>
            </w:pPr>
            <w:r>
              <w:rPr>
                <w:rFonts w:cs="Times New Roman" w:asciiTheme="minorHAnsi" w:hAnsiTheme="minorHAnsi"/>
                <w:sz w:val="24"/>
              </w:rPr>
              <w:t>蒲团乡上倪小学教学楼建设、      蒲团乡小港小学教学楼建设、</w:t>
            </w:r>
          </w:p>
          <w:p>
            <w:pPr>
              <w:spacing w:line="300" w:lineRule="exact"/>
              <w:ind w:firstLine="480"/>
              <w:rPr>
                <w:rFonts w:cs="Times New Roman" w:asciiTheme="minorHAnsi" w:hAnsiTheme="minorHAnsi"/>
                <w:sz w:val="24"/>
              </w:rPr>
            </w:pPr>
            <w:r>
              <w:rPr>
                <w:rFonts w:cs="Times New Roman" w:asciiTheme="minorHAnsi" w:hAnsiTheme="minorHAnsi"/>
                <w:sz w:val="24"/>
              </w:rPr>
              <w:t>蒲团乡大庙小学运动场建设、      蒲团乡大庙小学教学楼工程建设。</w:t>
            </w:r>
          </w:p>
          <w:p>
            <w:pPr>
              <w:spacing w:line="300" w:lineRule="exact"/>
              <w:ind w:firstLine="482"/>
              <w:rPr>
                <w:rFonts w:cs="Times New Roman" w:asciiTheme="minorHAnsi" w:hAnsiTheme="minorHAnsi"/>
                <w:b/>
                <w:sz w:val="24"/>
              </w:rPr>
            </w:pPr>
            <w:r>
              <w:rPr>
                <w:rFonts w:cs="Times New Roman" w:asciiTheme="minorHAnsi" w:hAnsiTheme="minorHAnsi"/>
                <w:b/>
                <w:sz w:val="24"/>
              </w:rPr>
              <w:t>中学：</w:t>
            </w:r>
          </w:p>
          <w:p>
            <w:pPr>
              <w:spacing w:line="300" w:lineRule="exact"/>
              <w:ind w:firstLine="480"/>
              <w:rPr>
                <w:rFonts w:cs="Times New Roman" w:asciiTheme="minorHAnsi" w:hAnsiTheme="minorHAnsi"/>
                <w:sz w:val="24"/>
              </w:rPr>
            </w:pPr>
            <w:r>
              <w:rPr>
                <w:rFonts w:cs="Times New Roman" w:asciiTheme="minorHAnsi" w:hAnsiTheme="minorHAnsi"/>
                <w:sz w:val="24"/>
              </w:rPr>
              <w:t>华容区庙岭镇庙岭中学整体新建、   临江乡胡林中学教学楼拆建、</w:t>
            </w:r>
          </w:p>
          <w:p>
            <w:pPr>
              <w:spacing w:line="300" w:lineRule="exact"/>
              <w:ind w:firstLine="480"/>
              <w:rPr>
                <w:rFonts w:cs="Times New Roman" w:asciiTheme="minorHAnsi" w:hAnsiTheme="minorHAnsi"/>
                <w:sz w:val="24"/>
              </w:rPr>
            </w:pPr>
            <w:r>
              <w:rPr>
                <w:rFonts w:cs="Times New Roman" w:asciiTheme="minorHAnsi" w:hAnsiTheme="minorHAnsi"/>
                <w:sz w:val="24"/>
              </w:rPr>
              <w:t>蒲团乡蒲团中学室内运动馆、       蒲团乡蒲团中学教学楼、</w:t>
            </w:r>
          </w:p>
          <w:p>
            <w:pPr>
              <w:spacing w:line="300" w:lineRule="exact"/>
              <w:ind w:firstLine="480"/>
              <w:rPr>
                <w:rFonts w:cs="Times New Roman" w:asciiTheme="minorHAnsi" w:hAnsiTheme="minorHAnsi"/>
                <w:sz w:val="24"/>
              </w:rPr>
            </w:pPr>
            <w:r>
              <w:rPr>
                <w:rFonts w:cs="Times New Roman" w:asciiTheme="minorHAnsi" w:hAnsiTheme="minorHAnsi"/>
                <w:sz w:val="24"/>
              </w:rPr>
              <w:t>蒲团乡蒲团中学教师周转房、       华容镇华容中学教学楼、</w:t>
            </w:r>
          </w:p>
          <w:p>
            <w:pPr>
              <w:spacing w:line="300" w:lineRule="exact"/>
              <w:ind w:firstLine="480"/>
              <w:rPr>
                <w:rFonts w:cs="Times New Roman" w:asciiTheme="minorHAnsi" w:hAnsiTheme="minorHAnsi"/>
                <w:sz w:val="24"/>
              </w:rPr>
            </w:pPr>
            <w:r>
              <w:rPr>
                <w:rFonts w:cs="Times New Roman" w:asciiTheme="minorHAnsi" w:hAnsiTheme="minorHAnsi"/>
                <w:sz w:val="24"/>
              </w:rPr>
              <w:t>段店镇段店中学运动场建设、       临江乡胡林中学男生宿舍建设</w:t>
            </w:r>
          </w:p>
          <w:p>
            <w:pPr>
              <w:spacing w:line="300" w:lineRule="exact"/>
              <w:ind w:firstLine="480"/>
              <w:rPr>
                <w:rFonts w:cs="Times New Roman" w:asciiTheme="minorHAnsi" w:hAnsiTheme="minorHAnsi"/>
                <w:sz w:val="24"/>
              </w:rPr>
            </w:pPr>
            <w:r>
              <w:rPr>
                <w:rFonts w:cs="Times New Roman" w:asciiTheme="minorHAnsi" w:hAnsiTheme="minorHAnsi"/>
                <w:sz w:val="24"/>
              </w:rPr>
              <w:t>红莲湖中学初高中一体式中学建设、 恒大配套学校建设。</w:t>
            </w:r>
          </w:p>
          <w:p>
            <w:pPr>
              <w:spacing w:line="300" w:lineRule="exact"/>
              <w:ind w:firstLine="482"/>
              <w:rPr>
                <w:rFonts w:cs="Times New Roman" w:asciiTheme="minorHAnsi" w:hAnsiTheme="minorHAnsi"/>
                <w:b/>
                <w:sz w:val="24"/>
              </w:rPr>
            </w:pPr>
          </w:p>
          <w:p>
            <w:pPr>
              <w:spacing w:line="300" w:lineRule="exact"/>
              <w:ind w:firstLine="482"/>
              <w:rPr>
                <w:rFonts w:cs="Times New Roman" w:asciiTheme="minorHAnsi" w:hAnsiTheme="minorHAnsi"/>
                <w:b/>
                <w:sz w:val="24"/>
              </w:rPr>
            </w:pPr>
            <w:r>
              <w:rPr>
                <w:rFonts w:cs="Times New Roman" w:asciiTheme="minorHAnsi" w:hAnsiTheme="minorHAnsi"/>
                <w:b/>
                <w:sz w:val="24"/>
              </w:rPr>
              <w:t>（二）学前教育普及普惠工程</w:t>
            </w:r>
          </w:p>
          <w:p>
            <w:pPr>
              <w:spacing w:line="300" w:lineRule="exact"/>
              <w:ind w:firstLine="480"/>
              <w:rPr>
                <w:rFonts w:cs="Times New Roman" w:asciiTheme="minorHAnsi" w:hAnsiTheme="minorHAnsi"/>
                <w:sz w:val="24"/>
              </w:rPr>
            </w:pPr>
            <w:r>
              <w:rPr>
                <w:rFonts w:cs="Times New Roman" w:asciiTheme="minorHAnsi" w:hAnsiTheme="minorHAnsi"/>
                <w:sz w:val="24"/>
              </w:rPr>
              <w:t>华容第二幼儿园项目、           华容镇第三幼儿园新建工程、</w:t>
            </w:r>
          </w:p>
          <w:p>
            <w:pPr>
              <w:spacing w:line="300" w:lineRule="exact"/>
              <w:ind w:firstLine="480"/>
              <w:rPr>
                <w:rFonts w:cs="Times New Roman" w:asciiTheme="minorHAnsi" w:hAnsiTheme="minorHAnsi"/>
                <w:sz w:val="24"/>
              </w:rPr>
            </w:pPr>
            <w:r>
              <w:rPr>
                <w:rFonts w:cs="Times New Roman" w:asciiTheme="minorHAnsi" w:hAnsiTheme="minorHAnsi"/>
                <w:sz w:val="24"/>
              </w:rPr>
              <w:t>蒲团乡蒲团二幼新建工程、       蒲团乡上倪社区幼儿园、</w:t>
            </w:r>
          </w:p>
          <w:p>
            <w:pPr>
              <w:spacing w:line="300" w:lineRule="exact"/>
              <w:ind w:firstLine="480"/>
              <w:rPr>
                <w:rFonts w:cs="Times New Roman" w:asciiTheme="minorHAnsi" w:hAnsiTheme="minorHAnsi"/>
                <w:sz w:val="24"/>
              </w:rPr>
            </w:pPr>
            <w:r>
              <w:rPr>
                <w:rFonts w:cs="Times New Roman" w:asciiTheme="minorHAnsi" w:hAnsiTheme="minorHAnsi"/>
                <w:sz w:val="24"/>
              </w:rPr>
              <w:t>临江乡胡林社区幼儿园改扩建、   蒲团乡上倪小学幼儿园、</w:t>
            </w:r>
          </w:p>
          <w:p>
            <w:pPr>
              <w:spacing w:line="300" w:lineRule="exact"/>
              <w:ind w:firstLine="480"/>
              <w:rPr>
                <w:rFonts w:cs="Times New Roman" w:asciiTheme="minorHAnsi" w:hAnsiTheme="minorHAnsi"/>
                <w:sz w:val="24"/>
              </w:rPr>
            </w:pPr>
            <w:r>
              <w:rPr>
                <w:rFonts w:cs="Times New Roman" w:asciiTheme="minorHAnsi" w:hAnsiTheme="minorHAnsi"/>
                <w:sz w:val="24"/>
              </w:rPr>
              <w:t>红莲湖第二幼儿园新建、         段店镇骆李小学校中幼儿园、</w:t>
            </w:r>
          </w:p>
          <w:p>
            <w:pPr>
              <w:spacing w:line="300" w:lineRule="exact"/>
              <w:ind w:firstLine="480"/>
              <w:rPr>
                <w:rFonts w:cs="Times New Roman" w:asciiTheme="minorHAnsi" w:hAnsiTheme="minorHAnsi"/>
                <w:sz w:val="24"/>
              </w:rPr>
            </w:pPr>
            <w:r>
              <w:rPr>
                <w:rFonts w:cs="Times New Roman" w:asciiTheme="minorHAnsi" w:hAnsiTheme="minorHAnsi"/>
                <w:sz w:val="24"/>
              </w:rPr>
              <w:t>段店镇孙彭小学校中幼儿园。</w:t>
            </w:r>
          </w:p>
          <w:p>
            <w:pPr>
              <w:spacing w:line="300" w:lineRule="exact"/>
              <w:ind w:firstLine="482"/>
              <w:rPr>
                <w:rFonts w:cs="Times New Roman" w:asciiTheme="minorHAnsi" w:hAnsiTheme="minorHAnsi"/>
                <w:b/>
                <w:sz w:val="24"/>
              </w:rPr>
            </w:pPr>
            <w:r>
              <w:rPr>
                <w:rFonts w:cs="Times New Roman" w:asciiTheme="minorHAnsi" w:hAnsiTheme="minorHAnsi"/>
                <w:b/>
                <w:sz w:val="24"/>
              </w:rPr>
              <w:t>（三）职业教育产教融合工程</w:t>
            </w:r>
          </w:p>
          <w:p>
            <w:pPr>
              <w:spacing w:line="300" w:lineRule="exact"/>
              <w:ind w:firstLine="480"/>
              <w:rPr>
                <w:rFonts w:cs="Times New Roman" w:asciiTheme="minorHAnsi" w:hAnsiTheme="minorHAnsi"/>
                <w:sz w:val="24"/>
              </w:rPr>
            </w:pPr>
            <w:r>
              <w:rPr>
                <w:rFonts w:cs="Times New Roman" w:asciiTheme="minorHAnsi" w:hAnsiTheme="minorHAnsi"/>
                <w:sz w:val="24"/>
              </w:rPr>
              <w:t>推进航空航天职教园区建设项目、湖北航空技术学校航空实训基地、鄂州市经贸学校学生宿舍楼等项目建设。</w:t>
            </w:r>
          </w:p>
          <w:p>
            <w:pPr>
              <w:spacing w:line="300" w:lineRule="exact"/>
              <w:ind w:firstLine="482"/>
              <w:rPr>
                <w:rFonts w:cs="Times New Roman" w:asciiTheme="minorHAnsi" w:hAnsiTheme="minorHAnsi"/>
                <w:b/>
                <w:sz w:val="24"/>
              </w:rPr>
            </w:pPr>
            <w:r>
              <w:rPr>
                <w:rFonts w:cs="Times New Roman" w:asciiTheme="minorHAnsi" w:hAnsiTheme="minorHAnsi"/>
                <w:b/>
                <w:sz w:val="24"/>
              </w:rPr>
              <w:t>（四）智慧校园建设工程</w:t>
            </w:r>
          </w:p>
          <w:p>
            <w:pPr>
              <w:spacing w:line="300" w:lineRule="exact"/>
              <w:ind w:firstLine="480"/>
              <w:rPr>
                <w:rFonts w:cs="Times New Roman" w:asciiTheme="minorHAnsi" w:hAnsiTheme="minorHAnsi"/>
                <w:sz w:val="24"/>
              </w:rPr>
            </w:pPr>
            <w:r>
              <w:rPr>
                <w:rFonts w:cs="Times New Roman" w:asciiTheme="minorHAnsi" w:hAnsiTheme="minorHAnsi"/>
                <w:sz w:val="24"/>
              </w:rPr>
              <w:t>建设一批智慧校园工程，推动“数字校园”“智慧校园”提档升级。</w:t>
            </w:r>
          </w:p>
          <w:p>
            <w:pPr>
              <w:spacing w:line="300" w:lineRule="exact"/>
              <w:ind w:firstLine="482"/>
              <w:rPr>
                <w:rFonts w:cs="Times New Roman" w:asciiTheme="minorHAnsi" w:hAnsiTheme="minorHAnsi"/>
                <w:b/>
                <w:sz w:val="24"/>
              </w:rPr>
            </w:pPr>
            <w:r>
              <w:rPr>
                <w:rFonts w:cs="Times New Roman" w:asciiTheme="minorHAnsi" w:hAnsiTheme="minorHAnsi"/>
                <w:b/>
                <w:sz w:val="24"/>
              </w:rPr>
              <w:t>（五）终生学习建设工程</w:t>
            </w:r>
          </w:p>
          <w:p>
            <w:pPr>
              <w:spacing w:line="300" w:lineRule="exact"/>
              <w:ind w:firstLine="480"/>
              <w:rPr>
                <w:rFonts w:eastAsia="宋体" w:cs="Times New Roman" w:asciiTheme="minorHAnsi" w:hAnsiTheme="minorHAnsi"/>
                <w:sz w:val="24"/>
                <w:szCs w:val="21"/>
              </w:rPr>
            </w:pPr>
            <w:r>
              <w:rPr>
                <w:rFonts w:cs="Times New Roman" w:asciiTheme="minorHAnsi" w:hAnsiTheme="minorHAnsi"/>
                <w:sz w:val="24"/>
              </w:rPr>
              <w:t>建好老年大学，构建全民学习、终生学习的学习型社会。</w:t>
            </w:r>
          </w:p>
        </w:tc>
      </w:tr>
    </w:tbl>
    <w:p>
      <w:pPr>
        <w:pStyle w:val="5"/>
        <w:ind w:firstLine="643"/>
      </w:pPr>
      <w:bookmarkStart w:id="175" w:name="_Toc32167"/>
      <w:r>
        <w:t>第</w:t>
      </w:r>
      <w:r>
        <w:rPr>
          <w:rFonts w:hint="eastAsia"/>
        </w:rPr>
        <w:t>三</w:t>
      </w:r>
      <w:r>
        <w:t>章</w:t>
      </w:r>
      <w:r>
        <w:rPr>
          <w:rFonts w:hint="eastAsia"/>
        </w:rPr>
        <w:t xml:space="preserve"> 全面推进健康建设</w:t>
      </w:r>
      <w:bookmarkEnd w:id="175"/>
    </w:p>
    <w:p>
      <w:pPr>
        <w:pStyle w:val="6"/>
        <w:ind w:firstLine="602"/>
      </w:pPr>
      <w:bookmarkStart w:id="176" w:name="_Toc24651"/>
      <w:r>
        <w:t>第一节 优化卫生服务体系</w:t>
      </w:r>
      <w:bookmarkEnd w:id="176"/>
    </w:p>
    <w:p>
      <w:pPr>
        <w:ind w:firstLine="600"/>
      </w:pPr>
      <w:r>
        <w:rPr>
          <w:rFonts w:hint="eastAsia"/>
        </w:rPr>
        <w:t>加快区公共卫生临床服务中心建设，</w:t>
      </w:r>
      <w:r>
        <w:t>建立健全疾病预防控制、妇幼保健、精神卫生、应急救治、卫生监督和计划生育等公共卫生服务体系，加强</w:t>
      </w:r>
      <w:r>
        <w:rPr>
          <w:rFonts w:hint="eastAsia"/>
        </w:rPr>
        <w:t>基层医疗卫生服务机构建设，积极推进实施卫生服务体系一体化管理。完善重大疾病防控体系和突发公共卫生事件应急机制，加强卫生监督监测与疾病预防控制工作。健全现代医院管理制度和分级诊疗制度，完善公共卫生服务体系，优化医疗卫生资源投入结构，加强农村、社区等基层防控能力建设。加强公共卫生队伍建设，健全执业人员培养、准入、使用、待遇保障、考核评价和激励机制。持续加强全科医生培养、分级诊疗等制度建设，推动公共卫生服务与医疗服务高效协同、无缝衔接，健全防治结合、联防联控、群防群治工作机制。</w:t>
      </w:r>
    </w:p>
    <w:p>
      <w:pPr>
        <w:pStyle w:val="6"/>
        <w:ind w:firstLine="602"/>
      </w:pPr>
      <w:bookmarkStart w:id="177" w:name="_Toc19803"/>
      <w:r>
        <w:t>第二节 提升医疗服务</w:t>
      </w:r>
      <w:r>
        <w:rPr>
          <w:rFonts w:hint="eastAsia"/>
        </w:rPr>
        <w:t>救治</w:t>
      </w:r>
      <w:r>
        <w:t>水平</w:t>
      </w:r>
      <w:bookmarkEnd w:id="177"/>
    </w:p>
    <w:p>
      <w:pPr>
        <w:ind w:firstLine="600"/>
      </w:pPr>
      <w:r>
        <w:t>按照</w:t>
      </w:r>
      <w:r>
        <w:rPr>
          <w:rFonts w:hint="eastAsia"/>
        </w:rPr>
        <w:t>“</w:t>
      </w:r>
      <w:r>
        <w:t>总体达标、适度超前</w:t>
      </w:r>
      <w:r>
        <w:rPr>
          <w:rFonts w:hint="eastAsia"/>
        </w:rPr>
        <w:t>”</w:t>
      </w:r>
      <w:r>
        <w:t>的原则，科学布局医疗资源，</w:t>
      </w:r>
      <w:r>
        <w:rPr>
          <w:rFonts w:hint="eastAsia"/>
        </w:rPr>
        <w:t>深入开展区、镇、村三级医疗卫生服务机构以及社区卫生服务机构标准化、规范化、信息化建设，构建布局合理、定位清晰的基层医疗服务体系，促进基本公共服务均等化。</w:t>
      </w:r>
      <w:r>
        <w:t>强化卫生</w:t>
      </w:r>
      <w:r>
        <w:rPr>
          <w:rFonts w:hint="eastAsia"/>
        </w:rPr>
        <w:t>健康</w:t>
      </w:r>
      <w:r>
        <w:t>部门医疗服务监管职能，引导各级各类医疗机构切实履行医疗质量和医疗安全管理职责。健全医疗质量控制体系，建立科学的监督质控工作体制机制。完善医疗纠纷调解机制，构建和谐</w:t>
      </w:r>
      <w:r>
        <w:rPr>
          <w:rFonts w:hint="eastAsia"/>
        </w:rPr>
        <w:t>融洽的</w:t>
      </w:r>
      <w:r>
        <w:t>医患关系。重点实施疑难病症诊治能力建设工程和医疗服务改进项目。实施卫生计生人才支撑行动计划，努力在临床复杂疑难疾病救治、重大疾病预防控制、中医药继承发展等领域造就一批高层次人才。</w:t>
      </w:r>
      <w:r>
        <w:rPr>
          <w:rFonts w:hint="eastAsia"/>
        </w:rPr>
        <w:t>着力解决“村医老化”问题，</w:t>
      </w:r>
      <w:r>
        <w:t>多渠道引进和培养医疗卫生技术人才，培养精通医疗信息化建设的复合型医疗人才，</w:t>
      </w:r>
      <w:r>
        <w:rPr>
          <w:rFonts w:hint="eastAsia"/>
        </w:rPr>
        <w:t>并向农村地区倾斜，提高农村医疗服务水平，促进</w:t>
      </w:r>
      <w:r>
        <w:t>城乡医疗卫生服务质量</w:t>
      </w:r>
      <w:r>
        <w:rPr>
          <w:rFonts w:hint="eastAsia"/>
        </w:rPr>
        <w:t>均衡化发展</w:t>
      </w:r>
      <w:r>
        <w:t>。</w:t>
      </w:r>
    </w:p>
    <w:p>
      <w:pPr>
        <w:pStyle w:val="6"/>
        <w:ind w:firstLine="602"/>
      </w:pPr>
      <w:bookmarkStart w:id="178" w:name="_Toc1442"/>
      <w:r>
        <w:t>第三节 强化公共卫生保障</w:t>
      </w:r>
      <w:bookmarkEnd w:id="178"/>
    </w:p>
    <w:p>
      <w:pPr>
        <w:ind w:firstLine="600"/>
      </w:pPr>
      <w:r>
        <w:rPr>
          <w:rFonts w:hint="eastAsia"/>
        </w:rPr>
        <w:t>加强公共卫生保障体系建设。深化城乡医疗卫生服务和保障制度改革，建立城乡一体化的公共卫生、基本医疗和药品供应服务保障体系，筑牢区域卫生高地，建立覆盖城乡、全民共享的基本医疗卫生制度。深化医药卫生体制改革，统筹优化医疗资源布局，积极探索以公益性为前提的合作办医模式，鼓励和引导社会资本投资健康服务业，大力发展“医养融合”服务。落实重大公共卫生服务项目，加强基层医疗卫生服务机构建设，积极推进实施卫生服务体系一体化管理。</w:t>
      </w:r>
    </w:p>
    <w:p>
      <w:pPr>
        <w:pStyle w:val="6"/>
        <w:ind w:firstLine="602"/>
      </w:pPr>
      <w:bookmarkStart w:id="179" w:name="_Toc25361"/>
      <w:r>
        <w:t>第四节 推进智慧医疗发展</w:t>
      </w:r>
      <w:bookmarkEnd w:id="179"/>
    </w:p>
    <w:p>
      <w:pPr>
        <w:ind w:firstLine="600"/>
      </w:pPr>
      <w:r>
        <w:t>促进</w:t>
      </w:r>
      <w:r>
        <w:rPr>
          <w:rFonts w:hint="eastAsia"/>
        </w:rPr>
        <w:t>“</w:t>
      </w:r>
      <w:r>
        <w:t>互联网+医疗</w:t>
      </w:r>
      <w:r>
        <w:rPr>
          <w:rFonts w:hint="eastAsia"/>
        </w:rPr>
        <w:t>”</w:t>
      </w:r>
      <w:r>
        <w:t>服务新模式，积极探索人工智能技术在智能导医、电子病历、辅助诊断、医疗影像识别、健康管理等领域的应用，推动互联网健康咨询、远程治疗、预约就诊、诊间结算、医保联网、移动支付发展，提升医疗机构的信息化管理水平和服务能力。</w:t>
      </w:r>
      <w:r>
        <w:rPr>
          <w:rFonts w:hint="eastAsia"/>
        </w:rPr>
        <w:t>依托</w:t>
      </w:r>
      <w:r>
        <w:t>健康大数据平台和云计算平台</w:t>
      </w:r>
      <w:r>
        <w:rPr>
          <w:rFonts w:hint="eastAsia"/>
        </w:rPr>
        <w:t>，加强公共卫生信息化建设，推进以居民电子健康档案和患者电子病历为核心的卫生信息化建设，健全医疗救治网络，强化院前医疗急救网络体系、突发公共卫生事件医疗救治体系建设和管理。加快体教体医融合，完善全民健身公共服务体系，深入开展爱国卫生运动。</w:t>
      </w:r>
    </w:p>
    <w:tbl>
      <w:tblPr>
        <w:tblStyle w:val="5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400" w:lineRule="exact"/>
              <w:ind w:firstLine="360" w:firstLineChars="0"/>
              <w:jc w:val="center"/>
              <w:rPr>
                <w:rFonts w:eastAsia="黑体" w:cs="Times New Roman" w:asciiTheme="minorHAnsi" w:hAnsiTheme="minorHAnsi"/>
                <w:b/>
                <w:szCs w:val="21"/>
              </w:rPr>
            </w:pPr>
            <w:r>
              <w:rPr>
                <w:rFonts w:cs="Times New Roman" w:asciiTheme="minorHAnsi" w:hAnsiTheme="minorHAnsi"/>
                <w:b/>
                <w:color w:val="000000"/>
                <w:kern w:val="0"/>
                <w:sz w:val="24"/>
                <w:szCs w:val="24"/>
              </w:rPr>
              <w:t>专栏6-3 医疗保障服务工程项目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医疗救治能力提升工程：</w:t>
            </w:r>
            <w:r>
              <w:rPr>
                <w:rFonts w:cs="Times New Roman" w:asciiTheme="minorHAnsi" w:hAnsiTheme="minorHAnsi"/>
                <w:sz w:val="24"/>
              </w:rPr>
              <w:t>建设区公共卫生临床服务中心、红莲湖医院。支持区人民医院等医疗机构建立一批胸痛中心、创伤中心、危重孕产妇救治中心、危重儿童和新生儿救治中心，建成覆盖城乡、优质高效的医疗卫生救治服务体系。</w:t>
            </w:r>
          </w:p>
          <w:p>
            <w:pPr>
              <w:spacing w:line="300" w:lineRule="exact"/>
              <w:ind w:firstLine="482"/>
              <w:rPr>
                <w:rFonts w:eastAsia="宋体" w:cs="Times New Roman" w:asciiTheme="minorHAnsi" w:hAnsiTheme="minorHAnsi"/>
                <w:szCs w:val="21"/>
              </w:rPr>
            </w:pPr>
            <w:r>
              <w:rPr>
                <w:rFonts w:cs="Times New Roman" w:asciiTheme="minorHAnsi" w:hAnsiTheme="minorHAnsi"/>
                <w:b/>
                <w:sz w:val="24"/>
              </w:rPr>
              <w:t>医疗信息化建设工程：</w:t>
            </w:r>
            <w:r>
              <w:rPr>
                <w:rFonts w:cs="Times New Roman" w:asciiTheme="minorHAnsi" w:hAnsiTheme="minorHAnsi"/>
                <w:sz w:val="24"/>
              </w:rPr>
              <w:t>加快推进区医疗保障经办网络及信息系统建设项目、区智慧医疗建设项目、区基层医疗卫生服务体系能力提升项目。</w:t>
            </w:r>
          </w:p>
        </w:tc>
      </w:tr>
    </w:tbl>
    <w:p>
      <w:pPr>
        <w:pStyle w:val="5"/>
        <w:ind w:firstLine="643"/>
      </w:pPr>
      <w:bookmarkStart w:id="180" w:name="_Toc27113"/>
      <w:r>
        <w:t>第四章 健全多层次社会保障体系</w:t>
      </w:r>
      <w:bookmarkEnd w:id="180"/>
    </w:p>
    <w:p>
      <w:pPr>
        <w:pStyle w:val="6"/>
        <w:ind w:firstLine="602"/>
      </w:pPr>
      <w:bookmarkStart w:id="181" w:name="_Toc8740"/>
      <w:r>
        <w:t>第一节 完善基本保障体系</w:t>
      </w:r>
      <w:bookmarkEnd w:id="181"/>
    </w:p>
    <w:p>
      <w:pPr>
        <w:ind w:firstLine="600"/>
      </w:pPr>
      <w:r>
        <w:rPr>
          <w:rFonts w:hint="eastAsia"/>
        </w:rPr>
        <w:t>完善</w:t>
      </w:r>
      <w:r>
        <w:t>以基本养老保险、医疗保险和最低生活保障为主的保障制度</w:t>
      </w:r>
      <w:r>
        <w:rPr>
          <w:rFonts w:hint="eastAsia"/>
        </w:rPr>
        <w:t>，</w:t>
      </w:r>
      <w:r>
        <w:t>探索建立实现社会保障制度稳定运行的长效机制。</w:t>
      </w:r>
      <w:r>
        <w:rPr>
          <w:rFonts w:hint="eastAsia"/>
        </w:rPr>
        <w:t>协调推进</w:t>
      </w:r>
      <w:r>
        <w:t>城乡居民基本养老保险制度改革，发展多层次补充养老保险，提高城乡居民基本养老保险待遇</w:t>
      </w:r>
      <w:r>
        <w:rPr>
          <w:rFonts w:hint="eastAsia"/>
        </w:rPr>
        <w:t>。完善</w:t>
      </w:r>
      <w:r>
        <w:t>被征地农民养老保险政策，全面落实补贴资金。完善</w:t>
      </w:r>
      <w:r>
        <w:rPr>
          <w:rFonts w:hint="eastAsia"/>
        </w:rPr>
        <w:t>失业保险制度</w:t>
      </w:r>
      <w:r>
        <w:t>，</w:t>
      </w:r>
      <w:r>
        <w:rPr>
          <w:rFonts w:hint="eastAsia"/>
        </w:rPr>
        <w:t>落实好</w:t>
      </w:r>
      <w:r>
        <w:t>失业保险基金省级统筹，适度提高失业保险待遇水平</w:t>
      </w:r>
      <w:r>
        <w:rPr>
          <w:rFonts w:hint="eastAsia"/>
        </w:rPr>
        <w:t>。</w:t>
      </w:r>
      <w:r>
        <w:t>推进</w:t>
      </w:r>
      <w:r>
        <w:rPr>
          <w:rFonts w:hint="eastAsia"/>
        </w:rPr>
        <w:t>工伤预防</w:t>
      </w:r>
      <w:r>
        <w:t>和工伤康复，完善工伤保险待遇正常调整机制</w:t>
      </w:r>
      <w:r>
        <w:rPr>
          <w:rFonts w:hint="eastAsia"/>
        </w:rPr>
        <w:t>，</w:t>
      </w:r>
      <w:r>
        <w:t>适度</w:t>
      </w:r>
      <w:r>
        <w:rPr>
          <w:rFonts w:hint="eastAsia"/>
        </w:rPr>
        <w:t>提高</w:t>
      </w:r>
      <w:r>
        <w:t>工伤保险待遇水平</w:t>
      </w:r>
      <w:r>
        <w:rPr>
          <w:rFonts w:hint="eastAsia"/>
        </w:rPr>
        <w:t>。</w:t>
      </w:r>
    </w:p>
    <w:p>
      <w:pPr>
        <w:pStyle w:val="6"/>
        <w:ind w:firstLine="602"/>
      </w:pPr>
      <w:bookmarkStart w:id="182" w:name="_Toc21663"/>
      <w:r>
        <w:t>第二节 提高社会救助水平</w:t>
      </w:r>
      <w:bookmarkEnd w:id="182"/>
    </w:p>
    <w:p>
      <w:pPr>
        <w:ind w:firstLine="600"/>
      </w:pPr>
      <w:r>
        <w:rPr>
          <w:rFonts w:hint="eastAsia"/>
        </w:rPr>
        <w:t>加强社会救助体系建设，健全完善各项社会救助政策，发展专项救助，完善阶梯式社会救助体系，实现对生活困难家庭的分类救助。加强最低生活保障、特困人员供养、受灾人员救助以及医疗、教育、住房、就业等各项社会救助制度的衔接。建立健全社会救助服务体系和平台建设，健全临时救助制度，设立社会温暖救助基金，建立化解急难问题的“绿色通道”，有针对性地帮助特殊困难人员解决实际困难。强化社会救助规范管理，建立社会救助综合服务中心，提高基层社会救助经办能力和信息化水平。全面建立起“救助标准科学化、困难程度系数化、管理服务规范化”的城乡居民最低生活保障制度，保障人民基本生活需求。持续开展根治农民工工资欠薪行动，创建省级和谐劳动关系示范区。加强双拥优抚和退役军人事务管理服务，争创省级“双拥模范城”。</w:t>
      </w:r>
      <w:r>
        <w:t>加大临时救助力度，提升医疗救助水平，积极开展重特大疾病医疗救助，完善农村贫困残疾人康复服务项目和医疗救助机制，扩大纳入基本医疗保险范围的残疾人医疗康复项目。健全完善特困供养制度，提高特困供养人员供养水平，改善供养条件。</w:t>
      </w:r>
    </w:p>
    <w:p>
      <w:pPr>
        <w:pStyle w:val="6"/>
        <w:ind w:firstLine="602"/>
      </w:pPr>
      <w:bookmarkStart w:id="183" w:name="_Toc10075"/>
      <w:r>
        <w:t>第三节 切实加强住房保障</w:t>
      </w:r>
      <w:bookmarkEnd w:id="183"/>
    </w:p>
    <w:p>
      <w:pPr>
        <w:ind w:firstLine="600"/>
      </w:pPr>
      <w:r>
        <w:t>住房保障是重要的民生工程。深化城镇住房制度改革，继续完善住房保障体系。逐步构建多层次住房保障体系，积极促进城市公共服务设施和基础设施均等化，提高人民居住水平。建立租购并举的住房制度，把符合条件的新市民逐步纳入公共租赁住房保障范围。将保障性住房建设与改善民生、提高居民生活幸福感相结合，推行政府、社会力量、企业投资的多渠道、多样化的保障性住房筹集模式。大力发展和规范租赁补贴、棚户区改造货币化安置等货币化保障方式</w:t>
      </w:r>
      <w:r>
        <w:rPr>
          <w:rFonts w:hint="eastAsia"/>
        </w:rPr>
        <w:t>，</w:t>
      </w:r>
      <w:r>
        <w:t>逐步提高租赁补贴发放比例。强化货币化保障方式的制度建设，完善备案手续，加强对相关工作的监管。货币化保障应根据需要实行动态调整，增加住房保障工作的灵活性，扩大惠及面。</w:t>
      </w:r>
    </w:p>
    <w:tbl>
      <w:tblPr>
        <w:tblStyle w:val="5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0" w:firstLineChars="0"/>
              <w:jc w:val="center"/>
              <w:rPr>
                <w:rFonts w:eastAsia="黑体" w:cs="Times New Roman" w:asciiTheme="minorHAnsi" w:hAnsiTheme="minorHAnsi"/>
                <w:b/>
                <w:sz w:val="24"/>
                <w:szCs w:val="21"/>
              </w:rPr>
            </w:pPr>
            <w:r>
              <w:rPr>
                <w:rFonts w:cs="Times New Roman" w:asciiTheme="minorHAnsi" w:hAnsiTheme="minorHAnsi"/>
                <w:b/>
                <w:sz w:val="24"/>
              </w:rPr>
              <w:t>专栏6-4 住房保障工程项目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安置房与棚户区改造工程：</w:t>
            </w:r>
            <w:r>
              <w:rPr>
                <w:rFonts w:cs="Times New Roman" w:asciiTheme="minorHAnsi" w:hAnsiTheme="minorHAnsi"/>
                <w:sz w:val="24"/>
              </w:rPr>
              <w:t>铁咀社区安置房一期、铁咀社区二期、胡林社区二期、骆李社区续建；红莲湖棚户区改造三期工程；红莲湖棚户区配套道路、管网工程。</w:t>
            </w:r>
          </w:p>
        </w:tc>
      </w:tr>
    </w:tbl>
    <w:p>
      <w:pPr>
        <w:pStyle w:val="6"/>
        <w:ind w:firstLine="602"/>
      </w:pPr>
      <w:bookmarkStart w:id="184" w:name="_Toc15755"/>
      <w:r>
        <w:t>第四节</w:t>
      </w:r>
      <w:r>
        <w:rPr>
          <w:rFonts w:hint="eastAsia"/>
        </w:rPr>
        <w:t xml:space="preserve"> 大力发展养老服务业</w:t>
      </w:r>
      <w:bookmarkEnd w:id="184"/>
    </w:p>
    <w:p>
      <w:pPr>
        <w:ind w:firstLine="600"/>
      </w:pPr>
      <w:r>
        <w:rPr>
          <w:rFonts w:hint="eastAsia"/>
        </w:rPr>
        <w:t>大力发展居家养老服务，建成以居家为基础、社区为依托、机构为补充，医养融合、功能完善、布局合理、覆盖城乡的健康养老服务体系。依托社区服务平台和社会组织，健全居家养老服务网络平台。提高社区居家养老服务能力和服务质量，扩大对居家和社区养老的康复辅助器具配备支持力度，实施社区老年人无障碍环境改造。鼓励和支持各类企业、社会组织和个人从事居家和社区养老服务。统筹社区范围内的各类养老服务机构、医疗卫生服务机构、社会工作服务机构、志愿服务组织和服务性企业，鼓励开展居家智慧养老服务。加大政府购买养老服务力度，建立农村老年人代养服务机制，鼓励农村发展具有当地特点的养老服务。</w:t>
      </w:r>
    </w:p>
    <w:p>
      <w:pPr>
        <w:ind w:firstLine="600"/>
      </w:pPr>
      <w:r>
        <w:rPr>
          <w:rFonts w:hint="eastAsia"/>
        </w:rPr>
        <w:t>加强养老服务机构建设。全面放开养老服务市场，重点支持和扶持建设一批民营医养结合型养老机构和养护型、医护型养老床位，大幅提高服务有效供给能力。充分发挥公办养老机构托底作用，全面</w:t>
      </w:r>
      <w:r>
        <w:t>构建区、镇、村（社区）三级综合性养老服务网络。完善养老服务体系。</w:t>
      </w:r>
      <w:r>
        <w:rPr>
          <w:rFonts w:hint="eastAsia"/>
        </w:rPr>
        <w:t>落实好社会办养老机构在资本金、场地、人员、税费、土地等方面的优惠政策，鼓励民间资本对企业厂房、商业设施及其他可利用的社会资源进行整合和改造，用于养老服务。加大对基层和农村养老服务的资金投入，完善农村养老服务托底的措施，新建一批农村“老年之家”项目，实现村级养老服务设施“全覆盖”。</w:t>
      </w:r>
    </w:p>
    <w:p>
      <w:pPr>
        <w:ind w:firstLine="600"/>
      </w:pPr>
      <w:r>
        <w:rPr>
          <w:rFonts w:hint="eastAsia"/>
        </w:rPr>
        <w:t>推进养老服务与医疗卫生相结合。统筹医疗卫生与养老服务资源布局，重点加强医养结合型养老机构建设。积极开展“医养结合”试点并逐步推广，鼓励养老机构与周边的医疗卫生机构开展多种形式的协议合作。支持养老机构开展医疗服务，符合条件的可按规定与城乡基本医疗保险经办机构签订基本医疗保险定点服务协议。鼓励医疗机构将护理服务延伸至家庭、城乡社区和养老机构。实施养老服务信息惠民和养老机构远程医疗等试点项目，推进智慧医养护一体化发展</w:t>
      </w:r>
      <w:r>
        <w:t>。</w:t>
      </w:r>
    </w:p>
    <w:tbl>
      <w:tblPr>
        <w:tblStyle w:val="21"/>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20" w:type="dxa"/>
          </w:tcPr>
          <w:p>
            <w:pPr>
              <w:spacing w:line="300" w:lineRule="exact"/>
              <w:ind w:firstLine="0" w:firstLineChars="0"/>
              <w:jc w:val="center"/>
              <w:rPr>
                <w:b/>
                <w:sz w:val="24"/>
                <w:szCs w:val="21"/>
              </w:rPr>
            </w:pPr>
            <w:r>
              <w:rPr>
                <w:b/>
                <w:sz w:val="24"/>
              </w:rPr>
              <w:t>专栏6-5 健康养老服务重点项目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920" w:type="dxa"/>
          </w:tcPr>
          <w:p>
            <w:pPr>
              <w:spacing w:line="300" w:lineRule="exact"/>
              <w:ind w:firstLine="482"/>
              <w:rPr>
                <w:b/>
                <w:sz w:val="24"/>
              </w:rPr>
            </w:pPr>
            <w:r>
              <w:rPr>
                <w:rFonts w:hint="eastAsia"/>
                <w:b/>
                <w:sz w:val="24"/>
              </w:rPr>
              <w:t>医养结合</w:t>
            </w:r>
            <w:r>
              <w:rPr>
                <w:b/>
                <w:sz w:val="24"/>
              </w:rPr>
              <w:t>工程：</w:t>
            </w:r>
          </w:p>
          <w:p>
            <w:pPr>
              <w:spacing w:line="300" w:lineRule="exact"/>
              <w:ind w:firstLine="480"/>
              <w:rPr>
                <w:sz w:val="24"/>
              </w:rPr>
            </w:pPr>
            <w:r>
              <w:rPr>
                <w:sz w:val="24"/>
              </w:rPr>
              <w:t>蒲团乡石竹养老院扩建项目</w:t>
            </w:r>
          </w:p>
          <w:p>
            <w:pPr>
              <w:spacing w:line="300" w:lineRule="exact"/>
              <w:ind w:firstLine="480"/>
              <w:rPr>
                <w:sz w:val="24"/>
              </w:rPr>
            </w:pPr>
            <w:r>
              <w:rPr>
                <w:sz w:val="24"/>
              </w:rPr>
              <w:t>兆甫颐养中心</w:t>
            </w:r>
            <w:r>
              <w:rPr>
                <w:rFonts w:hint="eastAsia"/>
                <w:sz w:val="24"/>
              </w:rPr>
              <w:t>等项目建设</w:t>
            </w:r>
          </w:p>
          <w:p>
            <w:pPr>
              <w:spacing w:line="300" w:lineRule="exact"/>
              <w:ind w:firstLine="480"/>
              <w:rPr>
                <w:sz w:val="24"/>
              </w:rPr>
            </w:pPr>
            <w:r>
              <w:rPr>
                <w:sz w:val="24"/>
              </w:rPr>
              <w:t>华容区医养服务中心</w:t>
            </w:r>
          </w:p>
          <w:p>
            <w:pPr>
              <w:spacing w:line="300" w:lineRule="exact"/>
              <w:ind w:firstLine="480"/>
              <w:rPr>
                <w:sz w:val="24"/>
              </w:rPr>
            </w:pPr>
            <w:r>
              <w:rPr>
                <w:sz w:val="24"/>
              </w:rPr>
              <w:t>康养小镇</w:t>
            </w:r>
          </w:p>
          <w:p>
            <w:pPr>
              <w:spacing w:line="300" w:lineRule="exact"/>
              <w:ind w:firstLine="482"/>
              <w:rPr>
                <w:b/>
                <w:sz w:val="24"/>
              </w:rPr>
            </w:pPr>
            <w:r>
              <w:rPr>
                <w:b/>
                <w:sz w:val="24"/>
              </w:rPr>
              <w:t>养老服务工程：</w:t>
            </w:r>
          </w:p>
          <w:p>
            <w:pPr>
              <w:spacing w:line="300" w:lineRule="exact"/>
              <w:ind w:firstLine="480"/>
              <w:rPr>
                <w:sz w:val="24"/>
              </w:rPr>
            </w:pPr>
            <w:r>
              <w:rPr>
                <w:rFonts w:hint="eastAsia"/>
                <w:sz w:val="24"/>
              </w:rPr>
              <w:t>华容区社会福利中心二期项目</w:t>
            </w:r>
          </w:p>
          <w:p>
            <w:pPr>
              <w:spacing w:line="300" w:lineRule="exact"/>
              <w:ind w:firstLine="480"/>
              <w:rPr>
                <w:sz w:val="24"/>
              </w:rPr>
            </w:pPr>
            <w:r>
              <w:rPr>
                <w:sz w:val="24"/>
              </w:rPr>
              <w:t>红莲湖高端养老院项目</w:t>
            </w:r>
          </w:p>
        </w:tc>
      </w:tr>
    </w:tbl>
    <w:p>
      <w:pPr>
        <w:pStyle w:val="6"/>
        <w:ind w:firstLine="602"/>
      </w:pPr>
      <w:bookmarkStart w:id="185" w:name="_Toc10495"/>
      <w:r>
        <w:rPr>
          <w:rFonts w:hint="eastAsia"/>
        </w:rPr>
        <w:t>第五节 坚实巩固脱贫成果</w:t>
      </w:r>
      <w:bookmarkEnd w:id="185"/>
    </w:p>
    <w:p>
      <w:pPr>
        <w:ind w:firstLine="600"/>
      </w:pPr>
      <w:r>
        <w:t>全面夯实增收基础，坚实巩固脱贫成果。按照</w:t>
      </w:r>
      <w:r>
        <w:rPr>
          <w:rFonts w:hint="eastAsia"/>
        </w:rPr>
        <w:t>“</w:t>
      </w:r>
      <w:r>
        <w:t>六个精准</w:t>
      </w:r>
      <w:r>
        <w:rPr>
          <w:rFonts w:hint="eastAsia"/>
        </w:rPr>
        <w:t>”</w:t>
      </w:r>
      <w:r>
        <w:t>的基本要求和</w:t>
      </w:r>
      <w:r>
        <w:rPr>
          <w:rFonts w:hint="eastAsia"/>
        </w:rPr>
        <w:t>“</w:t>
      </w:r>
      <w:r>
        <w:t>五个一批</w:t>
      </w:r>
      <w:r>
        <w:rPr>
          <w:rFonts w:hint="eastAsia"/>
        </w:rPr>
        <w:t>”</w:t>
      </w:r>
      <w:r>
        <w:t>的主要途径，坚持产业突破，片区推进，政策兜底，积极巩固脱贫成果，建立健全长效机制，大力推进群众增收，大幅提升群众生活质量和幸福指数，共享发展新成果。建立完善新指标体系下动态监管和分类帮扶机制，</w:t>
      </w:r>
      <w:r>
        <w:rPr>
          <w:rFonts w:hint="eastAsia"/>
        </w:rPr>
        <w:t>开展数字乡村智慧扶贫，建设“扶贫发数据监管”系统，持续跟踪脱贫人口收入变化和“两不愁三保障”巩固情况，常态监测农村常住人口因病因灾治贫风险情况，变事后帮扶为事前预防与事后帮扶相结合，运用“防贫保险”，实现动态清零</w:t>
      </w:r>
      <w:r>
        <w:t>。全力巩固脱贫攻坚成果，及时做好返贫人口和新发生贫困人口的监测和帮扶。因灾返贫方面，完善临时救助政策和各类社会救助资金统筹救助机制，重点落实自然灾害救助制度；因病返贫方面，推进医疗救助与其他医疗保障制度衔接，突出重点救助对象；因学返贫方面，加大教育资助力度</w:t>
      </w:r>
      <w:r>
        <w:rPr>
          <w:rFonts w:hint="eastAsia"/>
        </w:rPr>
        <w:t>。</w:t>
      </w:r>
    </w:p>
    <w:p>
      <w:pPr>
        <w:ind w:firstLine="600"/>
      </w:pPr>
      <w:r>
        <w:br w:type="page"/>
      </w:r>
    </w:p>
    <w:p>
      <w:pPr>
        <w:pStyle w:val="4"/>
        <w:spacing w:before="408" w:after="408"/>
        <w:ind w:firstLine="640"/>
      </w:pPr>
      <w:bookmarkStart w:id="186" w:name="_Toc4364"/>
      <w:r>
        <w:t>第七篇 全面深化改革</w:t>
      </w:r>
      <w:r>
        <w:rPr>
          <w:rFonts w:hint="eastAsia"/>
        </w:rPr>
        <w:t>开放</w:t>
      </w:r>
      <w:r>
        <w:t>，</w:t>
      </w:r>
      <w:r>
        <w:rPr>
          <w:rFonts w:hint="eastAsia"/>
        </w:rPr>
        <w:t>激发高质量发展新动能</w:t>
      </w:r>
      <w:bookmarkEnd w:id="186"/>
    </w:p>
    <w:p>
      <w:pPr>
        <w:ind w:firstLine="600"/>
      </w:pPr>
      <w:r>
        <w:rPr>
          <w:rFonts w:hint="eastAsia"/>
        </w:rPr>
        <w:t>充分发挥市场在资源配置中的决定性作用，更好发挥政府作用，推进政府职能转变，持续优化营商环境，提升对外开放水平，为构建新发展格局提供有力支撑。</w:t>
      </w:r>
    </w:p>
    <w:p>
      <w:pPr>
        <w:pStyle w:val="5"/>
        <w:ind w:firstLine="643"/>
      </w:pPr>
      <w:bookmarkStart w:id="187" w:name="_Toc31833"/>
      <w:r>
        <w:t>第一章</w:t>
      </w:r>
      <w:r>
        <w:rPr>
          <w:rFonts w:hint="eastAsia"/>
        </w:rPr>
        <w:t xml:space="preserve"> 打造一流营商环境</w:t>
      </w:r>
      <w:bookmarkEnd w:id="187"/>
    </w:p>
    <w:p>
      <w:pPr>
        <w:pStyle w:val="6"/>
        <w:ind w:firstLine="602"/>
      </w:pPr>
      <w:bookmarkStart w:id="188" w:name="_Toc10243"/>
      <w:r>
        <w:t xml:space="preserve">第一节 </w:t>
      </w:r>
      <w:r>
        <w:rPr>
          <w:rFonts w:hint="eastAsia"/>
        </w:rPr>
        <w:t>构建便民</w:t>
      </w:r>
      <w:r>
        <w:t>高效政务</w:t>
      </w:r>
      <w:r>
        <w:rPr>
          <w:rFonts w:hint="eastAsia"/>
        </w:rPr>
        <w:t>服务</w:t>
      </w:r>
      <w:r>
        <w:t>环境</w:t>
      </w:r>
      <w:bookmarkEnd w:id="188"/>
    </w:p>
    <w:p>
      <w:pPr>
        <w:ind w:firstLine="600"/>
      </w:pPr>
      <w:r>
        <w:rPr>
          <w:rFonts w:hint="eastAsia"/>
        </w:rPr>
        <w:t>组建综合性招商服务中心、大数据服务中心和效能督查考评中心，统筹推进“放管服”改革、“最多跑一次”改革，加快政务流程再造，完善“企呼我应”工作机制，推行“一网通办、一窗通办、一事联办”，全面提升“掌上办事”“掌上办公”水平，不断提升企业办事的便利度和满意率。唱响</w:t>
      </w:r>
      <w:r>
        <w:rPr>
          <w:rFonts w:ascii="仿宋" w:hAnsi="仿宋"/>
        </w:rPr>
        <w:t>“</w:t>
      </w:r>
      <w:r>
        <w:rPr>
          <w:rFonts w:hint="eastAsia" w:ascii="仿宋" w:hAnsi="仿宋"/>
        </w:rPr>
        <w:t>有</w:t>
      </w:r>
      <w:r>
        <w:rPr>
          <w:rFonts w:ascii="仿宋" w:hAnsi="仿宋"/>
        </w:rPr>
        <w:t>呼必应、无事不扰”</w:t>
      </w:r>
      <w:r>
        <w:rPr>
          <w:rFonts w:hint="eastAsia"/>
        </w:rPr>
        <w:t>的</w:t>
      </w:r>
      <w:r>
        <w:t>店小二精神，</w:t>
      </w:r>
      <w:r>
        <w:rPr>
          <w:rFonts w:hint="eastAsia"/>
        </w:rPr>
        <w:t>提供</w:t>
      </w:r>
      <w:r>
        <w:t>优质公共服务，打造优质政务服务环境。</w:t>
      </w:r>
      <w:r>
        <w:rPr>
          <w:rFonts w:hint="eastAsia"/>
        </w:rPr>
        <w:t>推进</w:t>
      </w:r>
      <w:r>
        <w:t>政务服务</w:t>
      </w:r>
      <w:r>
        <w:rPr>
          <w:rFonts w:hint="eastAsia"/>
        </w:rPr>
        <w:t>标准化</w:t>
      </w:r>
      <w:r>
        <w:t>建设，建立</w:t>
      </w:r>
      <w:r>
        <w:rPr>
          <w:rFonts w:hint="eastAsia"/>
        </w:rPr>
        <w:t>统一</w:t>
      </w:r>
      <w:r>
        <w:t>的政务服务功能区域、业务流程和服务范围</w:t>
      </w:r>
      <w:r>
        <w:rPr>
          <w:rFonts w:hint="eastAsia"/>
        </w:rPr>
        <w:t>。</w:t>
      </w:r>
      <w:r>
        <w:t>细化和量化政务服务标准，编制办事指南</w:t>
      </w:r>
      <w:r>
        <w:rPr>
          <w:rFonts w:hint="eastAsia"/>
        </w:rPr>
        <w:t>，</w:t>
      </w:r>
      <w:r>
        <w:t>推动政务服务大厅</w:t>
      </w:r>
      <w:r>
        <w:rPr>
          <w:rFonts w:hint="eastAsia"/>
        </w:rPr>
        <w:t>和</w:t>
      </w:r>
      <w:r>
        <w:t>政务服务窗口全面接入一体化政务服务平台</w:t>
      </w:r>
      <w:r>
        <w:rPr>
          <w:rFonts w:hint="eastAsia"/>
        </w:rPr>
        <w:t>。</w:t>
      </w:r>
      <w:r>
        <w:t>加大</w:t>
      </w:r>
      <w:r>
        <w:rPr>
          <w:rFonts w:hint="eastAsia"/>
        </w:rPr>
        <w:t>推动</w:t>
      </w:r>
      <w:r>
        <w:t>政务服务信息化基础设施建设和数据</w:t>
      </w:r>
      <w:r>
        <w:rPr>
          <w:rFonts w:hint="eastAsia"/>
        </w:rPr>
        <w:t>资源</w:t>
      </w:r>
      <w:r>
        <w:t>共享利用，</w:t>
      </w:r>
      <w:r>
        <w:rPr>
          <w:rFonts w:hint="eastAsia"/>
        </w:rPr>
        <w:t>努力</w:t>
      </w:r>
      <w:r>
        <w:t>实现政务信息系统整合共享。</w:t>
      </w:r>
      <w:r>
        <w:rPr>
          <w:rFonts w:hint="eastAsia"/>
        </w:rPr>
        <w:t>精简</w:t>
      </w:r>
      <w:r>
        <w:t>税费办理流程，推广</w:t>
      </w:r>
      <w:r>
        <w:rPr>
          <w:rFonts w:hint="eastAsia"/>
        </w:rPr>
        <w:t>使用</w:t>
      </w:r>
      <w:r>
        <w:t>电子发票</w:t>
      </w:r>
      <w:r>
        <w:rPr>
          <w:rFonts w:hint="eastAsia"/>
        </w:rPr>
        <w:t>，推动全程</w:t>
      </w:r>
      <w:r>
        <w:t>网上办税，提升</w:t>
      </w:r>
      <w:r>
        <w:rPr>
          <w:rFonts w:hint="eastAsia"/>
        </w:rPr>
        <w:t>纳税</w:t>
      </w:r>
      <w:r>
        <w:t>便利度。</w:t>
      </w:r>
      <w:r>
        <w:rPr>
          <w:rFonts w:hint="eastAsia"/>
        </w:rPr>
        <w:t>推进</w:t>
      </w:r>
      <w:r>
        <w:t>不动产登记信息平台建设</w:t>
      </w:r>
      <w:r>
        <w:rPr>
          <w:rFonts w:hint="eastAsia"/>
        </w:rPr>
        <w:t>，加强</w:t>
      </w:r>
      <w:r>
        <w:t>不动产登记信息共享</w:t>
      </w:r>
      <w:r>
        <w:rPr>
          <w:rFonts w:hint="eastAsia"/>
        </w:rPr>
        <w:t>。</w:t>
      </w:r>
      <w:r>
        <w:t>构建</w:t>
      </w:r>
      <w:r>
        <w:rPr>
          <w:rFonts w:hint="eastAsia"/>
        </w:rPr>
        <w:t>一体化</w:t>
      </w:r>
      <w:r>
        <w:t>政务服务平台</w:t>
      </w:r>
      <w:r>
        <w:rPr>
          <w:rFonts w:hint="eastAsia"/>
        </w:rPr>
        <w:t>“好差评”管理系统</w:t>
      </w:r>
      <w:r>
        <w:t>，</w:t>
      </w:r>
      <w:r>
        <w:rPr>
          <w:rFonts w:hint="eastAsia"/>
        </w:rPr>
        <w:t>形成评价</w:t>
      </w:r>
      <w:r>
        <w:t>、反馈、</w:t>
      </w:r>
      <w:r>
        <w:rPr>
          <w:rFonts w:hint="eastAsia"/>
        </w:rPr>
        <w:t>整改、监督</w:t>
      </w:r>
      <w:r>
        <w:t>、复核、追评全流程闭环工作机制</w:t>
      </w:r>
      <w:r>
        <w:rPr>
          <w:rFonts w:hint="eastAsia"/>
        </w:rPr>
        <w:t>，</w:t>
      </w:r>
      <w:r>
        <w:t>促进政务服务质量持续提升，</w:t>
      </w:r>
      <w:r>
        <w:rPr>
          <w:rFonts w:hint="eastAsia"/>
        </w:rPr>
        <w:t>不断提升企业办事的便利度和满意率。</w:t>
      </w:r>
    </w:p>
    <w:p>
      <w:pPr>
        <w:pStyle w:val="6"/>
        <w:ind w:firstLine="602"/>
      </w:pPr>
      <w:bookmarkStart w:id="189" w:name="_Toc5252"/>
      <w:r>
        <w:rPr>
          <w:rFonts w:hint="eastAsia"/>
        </w:rPr>
        <w:t>第二节 营造公平竞争市场环境</w:t>
      </w:r>
      <w:bookmarkEnd w:id="189"/>
    </w:p>
    <w:p>
      <w:pPr>
        <w:ind w:firstLine="600"/>
      </w:pPr>
      <w:r>
        <w:rPr>
          <w:rFonts w:hint="eastAsia"/>
        </w:rPr>
        <w:t>加强市场监管</w:t>
      </w:r>
      <w:r>
        <w:t>和</w:t>
      </w:r>
      <w:r>
        <w:rPr>
          <w:rFonts w:hint="eastAsia"/>
        </w:rPr>
        <w:t>反不正当竞争执法，</w:t>
      </w:r>
      <w:r>
        <w:t>在市场准入、</w:t>
      </w:r>
      <w:r>
        <w:rPr>
          <w:rFonts w:hint="eastAsia"/>
        </w:rPr>
        <w:t>生产经营、市场退出</w:t>
      </w:r>
      <w:r>
        <w:t>、公平竞争</w:t>
      </w:r>
      <w:r>
        <w:rPr>
          <w:rFonts w:hint="eastAsia"/>
        </w:rPr>
        <w:t>、融资信贷</w:t>
      </w:r>
      <w:r>
        <w:t>、市场主体保护等方面不断</w:t>
      </w:r>
      <w:r>
        <w:rPr>
          <w:rFonts w:hint="eastAsia"/>
        </w:rPr>
        <w:t>完善</w:t>
      </w:r>
      <w:r>
        <w:t>营商环境。</w:t>
      </w:r>
      <w:r>
        <w:rPr>
          <w:rFonts w:hint="eastAsia"/>
        </w:rPr>
        <w:t>依法保护市场主体</w:t>
      </w:r>
      <w:r>
        <w:t>的经营自主权、财产权等合法权益，</w:t>
      </w:r>
      <w:r>
        <w:rPr>
          <w:rFonts w:hint="eastAsia"/>
        </w:rPr>
        <w:t>完善</w:t>
      </w:r>
      <w:r>
        <w:t>中小投资者权益保护机制，</w:t>
      </w:r>
      <w:r>
        <w:rPr>
          <w:rFonts w:hint="eastAsia"/>
        </w:rPr>
        <w:t>切实保障中小投资者权益，为中小投资者维护合法权益</w:t>
      </w:r>
      <w:r>
        <w:t>提供便利。</w:t>
      </w:r>
      <w:r>
        <w:rPr>
          <w:rFonts w:hint="eastAsia"/>
        </w:rPr>
        <w:t>建立健全</w:t>
      </w:r>
      <w:r>
        <w:t>公共资源交易平台，优化交易服务</w:t>
      </w:r>
      <w:r>
        <w:rPr>
          <w:rFonts w:hint="eastAsia"/>
        </w:rPr>
        <w:t>流程，依法公开</w:t>
      </w:r>
      <w:r>
        <w:t>公共资源交易规则、流程、结果、监管和</w:t>
      </w:r>
      <w:r>
        <w:rPr>
          <w:rFonts w:hint="eastAsia"/>
        </w:rPr>
        <w:t>信用等信息</w:t>
      </w:r>
      <w:r>
        <w:t>。严格</w:t>
      </w:r>
      <w:r>
        <w:rPr>
          <w:rFonts w:hint="eastAsia"/>
        </w:rPr>
        <w:t>落实</w:t>
      </w:r>
      <w:r>
        <w:t>国家</w:t>
      </w:r>
      <w:r>
        <w:rPr>
          <w:rFonts w:hint="eastAsia"/>
        </w:rPr>
        <w:t>规定</w:t>
      </w:r>
      <w:r>
        <w:t>的各项减税降费政策和湖北省涉企降费减负政策，</w:t>
      </w:r>
      <w:r>
        <w:rPr>
          <w:rFonts w:hint="eastAsia"/>
        </w:rPr>
        <w:t>及时公布收费标准目录清单，确保清单之外无政府定价收费。支持金融业发展，强化政银企信息互通，构建以市场主体信用为核心的信息服务体系，为金融机构服务市场主体提供良好环境，鼓励支持符合条件的民营企业、中小企业拓宽融资渠道。</w:t>
      </w:r>
    </w:p>
    <w:p>
      <w:pPr>
        <w:pStyle w:val="6"/>
        <w:ind w:firstLine="602"/>
      </w:pPr>
      <w:bookmarkStart w:id="190" w:name="_Toc6133"/>
      <w:r>
        <w:rPr>
          <w:rFonts w:hint="eastAsia"/>
        </w:rPr>
        <w:t>第三节 健全公正优质法治环境</w:t>
      </w:r>
      <w:bookmarkEnd w:id="190"/>
    </w:p>
    <w:p>
      <w:pPr>
        <w:ind w:firstLine="600"/>
      </w:pPr>
      <w:r>
        <w:rPr>
          <w:rFonts w:hint="eastAsia"/>
        </w:rPr>
        <w:t>健全</w:t>
      </w:r>
      <w:r>
        <w:t>政企沟通机制，</w:t>
      </w:r>
      <w:r>
        <w:rPr>
          <w:rFonts w:hint="eastAsia"/>
        </w:rPr>
        <w:t>塑造亲清新型政商关系，健全</w:t>
      </w:r>
      <w:r>
        <w:t>公正优质法制环境。</w:t>
      </w:r>
      <w:r>
        <w:rPr>
          <w:rFonts w:hint="eastAsia"/>
        </w:rPr>
        <w:t>编制监管事项目录清单，明确监管主体、监管对象、监管措施、处理方式等内容，实行动态管理并定期向社会公布。推进“互联网+监管”执法工作机制，提升监管规范化、精准化、智能化水平。推行远程监管、移动监管、联合监管、预警防控等非现场监管，减少重复检查、多头执法和涉企现场检查，实现行政检查、行政处罚、行政强制等监管网上流转、全程留痕、闭环管理。推动建立健全调解、仲裁、行政裁决、行政复议、诉讼等有机衔接、相互协调的多元化纠纷解决机制，支持行业性、专业性人民调解组织和商事仲裁机构、商事调解机构建设发展，为市场主体提供高效、便捷的纠纷解决途径。落实“谁执法谁普法”责任制，组织开展适合市场主体的法治宣传教育，引导市场主体合法经营、依法维护自身合法权益，增强全社会的法治意识，营造法治化营商环境。</w:t>
      </w:r>
    </w:p>
    <w:p>
      <w:pPr>
        <w:pStyle w:val="6"/>
        <w:ind w:firstLine="602"/>
      </w:pPr>
      <w:bookmarkStart w:id="191" w:name="_Toc11385"/>
      <w:r>
        <w:t>第四节</w:t>
      </w:r>
      <w:r>
        <w:rPr>
          <w:rFonts w:hint="eastAsia"/>
        </w:rPr>
        <w:t xml:space="preserve"> 提升对外开放平台能级</w:t>
      </w:r>
      <w:bookmarkEnd w:id="191"/>
    </w:p>
    <w:p>
      <w:pPr>
        <w:ind w:firstLine="600"/>
      </w:pPr>
      <w:r>
        <w:rPr>
          <w:rFonts w:hint="eastAsia"/>
        </w:rPr>
        <w:t>推动三江港片区纳入湖北自贸区武汉片区，构建更加开放的投资贸易便利化政策体系，推动跨境电商供应链创新，加速形成集制造、交易、物流、结算、结汇等全链条生态圈。加快优化出口产品结构，大力培育发展外贸新业态。实施“城市合伙人计划”，依托省联投、省交投、恒大集团等重大平台公司，创新利用外资方式，加大招商引资力度，强化以商招商、产业招商、精准招商，发挥招商大使作用，瞄准世界500强、央企国企、上市公司，积极招引引领性、标杆性的高大上项目和高能级企业。实施“知智回华容计划”，加快华容籍企业家资源转化，促进情感回归、智力回归、项目回归、资金回归。</w:t>
      </w:r>
    </w:p>
    <w:p>
      <w:pPr>
        <w:pStyle w:val="6"/>
        <w:ind w:firstLine="602"/>
      </w:pPr>
      <w:bookmarkStart w:id="192" w:name="_Toc25942"/>
      <w:r>
        <w:rPr>
          <w:rFonts w:hint="eastAsia"/>
        </w:rPr>
        <w:t>第五</w:t>
      </w:r>
      <w:r>
        <w:t>节</w:t>
      </w:r>
      <w:r>
        <w:rPr>
          <w:rFonts w:hint="eastAsia"/>
        </w:rPr>
        <w:t xml:space="preserve"> 完善</w:t>
      </w:r>
      <w:r>
        <w:t>社会</w:t>
      </w:r>
      <w:r>
        <w:rPr>
          <w:rFonts w:hint="eastAsia"/>
        </w:rPr>
        <w:t>信用</w:t>
      </w:r>
      <w:r>
        <w:t>体系</w:t>
      </w:r>
      <w:bookmarkEnd w:id="192"/>
    </w:p>
    <w:p>
      <w:pPr>
        <w:ind w:firstLine="600"/>
      </w:pPr>
      <w:r>
        <w:rPr>
          <w:rFonts w:hint="eastAsia"/>
        </w:rPr>
        <w:t>加快建设</w:t>
      </w:r>
      <w:r>
        <w:t>一体化信用信息共享</w:t>
      </w:r>
      <w:r>
        <w:rPr>
          <w:rFonts w:hint="eastAsia"/>
        </w:rPr>
        <w:t>服务平台</w:t>
      </w:r>
      <w:r>
        <w:t>，实现信用信息</w:t>
      </w:r>
      <w:r>
        <w:rPr>
          <w:rFonts w:hint="eastAsia"/>
        </w:rPr>
        <w:t>实时</w:t>
      </w:r>
      <w:r>
        <w:t>归集、共享</w:t>
      </w:r>
      <w:r>
        <w:rPr>
          <w:rFonts w:hint="eastAsia"/>
        </w:rPr>
        <w:t>。</w:t>
      </w:r>
      <w:r>
        <w:t>建立信用信息数据库，为各类</w:t>
      </w:r>
      <w:r>
        <w:rPr>
          <w:rFonts w:hint="eastAsia"/>
        </w:rPr>
        <w:t>主体</w:t>
      </w:r>
      <w:r>
        <w:t>提供信用信息查询、信用监管、风险预警</w:t>
      </w:r>
      <w:r>
        <w:rPr>
          <w:rFonts w:hint="eastAsia"/>
        </w:rPr>
        <w:t>、联合奖惩等</w:t>
      </w:r>
      <w:r>
        <w:t>应用服务。</w:t>
      </w:r>
      <w:r>
        <w:rPr>
          <w:rFonts w:hint="eastAsia"/>
        </w:rPr>
        <w:t>加强政务诚信建设，加大政务信用信息公开力度，提升政府公信力。坚持“以公开为常态、不公开为例外”原则，依法公开政务信息。建立健全政务失信惩戒机制，加大对政务失信行为的惩处和曝光力度。强化商务诚信建设，采取“互联网+监管”措施，建立守信联合激励和失信联合惩戒协同机制，完善激励和惩戒措施清单、信用红黑名单等制度，推行信用分级分类监管，将红黑名单和奖惩规则融入各政府部门的审批、监管、服务等业务流程</w:t>
      </w:r>
      <w:r>
        <w:t>，助推</w:t>
      </w:r>
      <w:r>
        <w:rPr>
          <w:rFonts w:hint="eastAsia"/>
        </w:rPr>
        <w:t>“</w:t>
      </w:r>
      <w:r>
        <w:t>放管服</w:t>
      </w:r>
      <w:r>
        <w:rPr>
          <w:rFonts w:hint="eastAsia"/>
        </w:rPr>
        <w:t>”</w:t>
      </w:r>
      <w:r>
        <w:t>改革和营商环境优化</w:t>
      </w:r>
      <w:r>
        <w:rPr>
          <w:rFonts w:hint="eastAsia"/>
        </w:rPr>
        <w:t>。</w:t>
      </w:r>
    </w:p>
    <w:p>
      <w:pPr>
        <w:pStyle w:val="5"/>
        <w:ind w:firstLine="643"/>
      </w:pPr>
      <w:bookmarkStart w:id="193" w:name="_Toc7861"/>
      <w:r>
        <w:t>第二章 深化</w:t>
      </w:r>
      <w:r>
        <w:rPr>
          <w:rFonts w:hint="eastAsia"/>
        </w:rPr>
        <w:t>要素</w:t>
      </w:r>
      <w:r>
        <w:t>市场化改革</w:t>
      </w:r>
      <w:bookmarkEnd w:id="193"/>
    </w:p>
    <w:p>
      <w:pPr>
        <w:pStyle w:val="6"/>
        <w:ind w:firstLine="602"/>
      </w:pPr>
      <w:bookmarkStart w:id="194" w:name="_Toc12576"/>
      <w:r>
        <w:t>第一节 深化要素市场化配置</w:t>
      </w:r>
      <w:bookmarkEnd w:id="194"/>
    </w:p>
    <w:p>
      <w:pPr>
        <w:ind w:firstLine="600"/>
      </w:pPr>
      <w:r>
        <w:t>深化要素市场化配置改革势在必行。建设统一开放、竞争有序的市场体系，使市场在资源配置中起决定性作用。加快完善社会主义市场经济体制，充分发挥市场配置资源的功能，提高资源配置效率和全要素生产率，推动经济高质量发展，必须深化要素市场化配置改革，推进要素市场制度建设，清除要素自由流动的体制机制障碍，实现要素价格市场决定、流动自主有序、配置高效公平。推进要素市场制度建设，增强市场配置资源的功能，从而推动经济发展质量变革、效率变革、动力变革，为</w:t>
      </w:r>
      <w:r>
        <w:rPr>
          <w:rFonts w:hint="eastAsia"/>
        </w:rPr>
        <w:t>华容</w:t>
      </w:r>
      <w:r>
        <w:t>建设高标准市场体系、推动经济高质量发展、推进高水平对外开放打下坚实基础。</w:t>
      </w:r>
    </w:p>
    <w:p>
      <w:pPr>
        <w:pStyle w:val="6"/>
        <w:ind w:firstLine="602"/>
      </w:pPr>
      <w:bookmarkStart w:id="195" w:name="_Toc16119"/>
      <w:r>
        <w:t>第二节</w:t>
      </w:r>
      <w:r>
        <w:rPr>
          <w:rFonts w:hint="eastAsia"/>
        </w:rPr>
        <w:t xml:space="preserve"> </w:t>
      </w:r>
      <w:r>
        <w:t>分类推进</w:t>
      </w:r>
      <w:r>
        <w:rPr>
          <w:rFonts w:hint="eastAsia"/>
        </w:rPr>
        <w:t>要素市场化</w:t>
      </w:r>
      <w:r>
        <w:t>改革</w:t>
      </w:r>
      <w:bookmarkEnd w:id="195"/>
    </w:p>
    <w:p>
      <w:pPr>
        <w:ind w:firstLine="600"/>
      </w:pPr>
      <w:r>
        <w:t>针对土地要素市场化配置改革，在符合国土空间规划和用途管制要求前提下，推动不同产业用地类型合理转换，探索增加混合产业用地供给。鼓励盘活存量建设用地</w:t>
      </w:r>
      <w:r>
        <w:rPr>
          <w:rFonts w:hint="eastAsia"/>
        </w:rPr>
        <w:t>，</w:t>
      </w:r>
      <w:r>
        <w:t>完善城乡建设用地增减挂钩政策，为乡村振兴和城乡融合发展提供土地要素保障</w:t>
      </w:r>
      <w:r>
        <w:rPr>
          <w:rFonts w:hint="eastAsia"/>
        </w:rPr>
        <w:t>；</w:t>
      </w:r>
      <w:r>
        <w:t>针对劳动力要素市场化配置改革，建立城镇教育、就业创业、医疗卫生等基本公共服务与常住人口挂钩机制，推动公共资源按常住人口规模配置</w:t>
      </w:r>
      <w:r>
        <w:rPr>
          <w:rFonts w:hint="eastAsia"/>
        </w:rPr>
        <w:t>，</w:t>
      </w:r>
      <w:r>
        <w:t>畅通劳动力和人才社会性流动渠道</w:t>
      </w:r>
      <w:r>
        <w:rPr>
          <w:rFonts w:hint="eastAsia"/>
        </w:rPr>
        <w:t>；</w:t>
      </w:r>
      <w:r>
        <w:t>针对资本要素市场化配置改革，放开金融服务业市场准入，构建多层次、广覆盖、有差异、大中小合理分工的银行机构体系</w:t>
      </w:r>
      <w:r>
        <w:rPr>
          <w:rFonts w:hint="eastAsia"/>
        </w:rPr>
        <w:t>和</w:t>
      </w:r>
      <w:r>
        <w:t>激励约束机制</w:t>
      </w:r>
      <w:r>
        <w:rPr>
          <w:rFonts w:hint="eastAsia"/>
        </w:rPr>
        <w:t>；</w:t>
      </w:r>
      <w:r>
        <w:t>针对技术和数据要素市场化配置改革，加快培育技术和数据要素市场</w:t>
      </w:r>
      <w:r>
        <w:rPr>
          <w:rFonts w:hint="eastAsia"/>
        </w:rPr>
        <w:t>。</w:t>
      </w:r>
      <w:r>
        <w:t>开展赋予科研人员职务科技成果所有权或长期使用权试点，培育数字经济新产业、新业态和新模式等举措</w:t>
      </w:r>
      <w:r>
        <w:rPr>
          <w:rFonts w:hint="eastAsia"/>
        </w:rPr>
        <w:t>，</w:t>
      </w:r>
      <w:r>
        <w:t>增强</w:t>
      </w:r>
      <w:r>
        <w:rPr>
          <w:rFonts w:hint="eastAsia"/>
        </w:rPr>
        <w:t>华容区经济</w:t>
      </w:r>
      <w:r>
        <w:t>竞争力和推动经济高质量发展。</w:t>
      </w:r>
    </w:p>
    <w:p>
      <w:pPr>
        <w:pStyle w:val="6"/>
        <w:ind w:firstLine="602"/>
      </w:pPr>
      <w:bookmarkStart w:id="196" w:name="_Toc1053"/>
      <w:r>
        <w:t>第三节 健全要素市场化</w:t>
      </w:r>
      <w:r>
        <w:rPr>
          <w:rFonts w:hint="eastAsia"/>
        </w:rPr>
        <w:t>体系</w:t>
      </w:r>
      <w:bookmarkEnd w:id="196"/>
    </w:p>
    <w:p>
      <w:pPr>
        <w:ind w:firstLine="600"/>
      </w:pPr>
      <w:r>
        <w:t>加快要素价格市场化改革，通过市场竞争形成价格，进而调节供求关系，优化资源配置。完善城乡基准地价、标定地价的制定与发布制度，逐步形成与市场价格挂钩的动态调整机制</w:t>
      </w:r>
      <w:r>
        <w:rPr>
          <w:rFonts w:hint="eastAsia"/>
        </w:rPr>
        <w:t>；</w:t>
      </w:r>
      <w:r>
        <w:t>健全最低工资标准调整、工资集体协商和企业薪酬调查制度</w:t>
      </w:r>
      <w:r>
        <w:rPr>
          <w:rFonts w:hint="eastAsia"/>
        </w:rPr>
        <w:t>；</w:t>
      </w:r>
      <w:r>
        <w:t>稳妥推进存贷款基准利率与市场利率并轨等改革举措</w:t>
      </w:r>
      <w:r>
        <w:rPr>
          <w:rFonts w:hint="eastAsia"/>
        </w:rPr>
        <w:t>。加快</w:t>
      </w:r>
      <w:r>
        <w:t>要素市场交易机制</w:t>
      </w:r>
      <w:r>
        <w:rPr>
          <w:rFonts w:hint="eastAsia"/>
        </w:rPr>
        <w:t>建设</w:t>
      </w:r>
      <w:r>
        <w:t>。拓展公共资源交易平台功能，健全科技成果交易平台，培育大数据交易市场</w:t>
      </w:r>
      <w:r>
        <w:rPr>
          <w:rFonts w:hint="eastAsia"/>
        </w:rPr>
        <w:t>。</w:t>
      </w:r>
      <w:r>
        <w:t>制定土地市场交易管理制度</w:t>
      </w:r>
      <w:r>
        <w:rPr>
          <w:rFonts w:hint="eastAsia"/>
        </w:rPr>
        <w:t>，实行土地集约化发展。</w:t>
      </w:r>
      <w:r>
        <w:t>加强反垄断和反不正当竞争执法，完善失信行为认定、失信联合惩戒、信用修复等机制。</w:t>
      </w:r>
    </w:p>
    <w:p>
      <w:pPr>
        <w:pStyle w:val="5"/>
        <w:ind w:firstLine="643"/>
      </w:pPr>
      <w:bookmarkStart w:id="197" w:name="_Toc28376"/>
      <w:r>
        <w:rPr>
          <w:rFonts w:hint="eastAsia"/>
        </w:rPr>
        <w:t>第三章 完善现代地方财税金融体制</w:t>
      </w:r>
      <w:bookmarkEnd w:id="197"/>
    </w:p>
    <w:p>
      <w:pPr>
        <w:pStyle w:val="6"/>
        <w:ind w:firstLine="602"/>
      </w:pPr>
      <w:bookmarkStart w:id="198" w:name="_Toc11666"/>
      <w:r>
        <w:rPr>
          <w:rFonts w:hint="eastAsia"/>
        </w:rPr>
        <w:t>第一节 加快</w:t>
      </w:r>
      <w:r>
        <w:t>财税体制改革</w:t>
      </w:r>
      <w:bookmarkEnd w:id="198"/>
    </w:p>
    <w:p>
      <w:pPr>
        <w:ind w:firstLine="600"/>
      </w:pPr>
      <w:r>
        <w:rPr>
          <w:rFonts w:hint="eastAsia"/>
        </w:rPr>
        <w:t>构建以绩效为核心的集中财力办大事制度，强化中长期财政规划约束力，增强重大任务财力保障。加大预算公开改革力度，全面实施预算绩效管理，完善预算绩效管理制度办法和业务流程，强化绩效管理责任，建立健全绩效评价结果应用激励约束机制，提升预算的全面性、规范性和透明度，拓展预算公开的范围和内容。打好财税政策“组合拳”，充分发挥财政投资的示范效应和乘数效应，引导和撬动社会资本投向新经济领域。深入推进“结构生财”改革，按照“多予、少取、放活”方针，加强税源培育，夯实税源基础，优化税源结构。遵循事权和支出责任相适应</w:t>
      </w:r>
      <w:r>
        <w:t>的原则，积极推进财税管理制度改革</w:t>
      </w:r>
      <w:r>
        <w:rPr>
          <w:rFonts w:hint="eastAsia"/>
        </w:rPr>
        <w:t>。落实各项</w:t>
      </w:r>
      <w:r>
        <w:t>结构性</w:t>
      </w:r>
      <w:r>
        <w:rPr>
          <w:rFonts w:hint="eastAsia"/>
        </w:rPr>
        <w:t>减税政策，</w:t>
      </w:r>
      <w:r>
        <w:t>加强财政资源统筹使用</w:t>
      </w:r>
      <w:r>
        <w:rPr>
          <w:rFonts w:hint="eastAsia"/>
        </w:rPr>
        <w:t>，</w:t>
      </w:r>
      <w:r>
        <w:t>增强重点工作</w:t>
      </w:r>
      <w:r>
        <w:rPr>
          <w:rFonts w:hint="eastAsia"/>
        </w:rPr>
        <w:t>和</w:t>
      </w:r>
      <w:r>
        <w:t>重大项目财力保障。</w:t>
      </w:r>
      <w:r>
        <w:rPr>
          <w:rFonts w:hint="eastAsia"/>
        </w:rPr>
        <w:t>建立健全</w:t>
      </w:r>
      <w:r>
        <w:t>资金</w:t>
      </w:r>
      <w:r>
        <w:rPr>
          <w:rFonts w:hint="eastAsia"/>
        </w:rPr>
        <w:t>分配</w:t>
      </w:r>
      <w:r>
        <w:t>、定期评估和退出机制，提高财政资金使用效率。推进</w:t>
      </w:r>
      <w:r>
        <w:rPr>
          <w:rFonts w:hint="eastAsia"/>
        </w:rPr>
        <w:t>财政</w:t>
      </w:r>
      <w:r>
        <w:t>事权</w:t>
      </w:r>
      <w:r>
        <w:rPr>
          <w:rFonts w:hint="eastAsia"/>
        </w:rPr>
        <w:t>和</w:t>
      </w:r>
      <w:r>
        <w:t>支出责任</w:t>
      </w:r>
      <w:r>
        <w:rPr>
          <w:rFonts w:hint="eastAsia"/>
        </w:rPr>
        <w:t>划分改革</w:t>
      </w:r>
      <w:r>
        <w:t>，完善转移支付制度。</w:t>
      </w:r>
    </w:p>
    <w:p>
      <w:pPr>
        <w:pStyle w:val="6"/>
        <w:ind w:firstLine="602"/>
      </w:pPr>
      <w:bookmarkStart w:id="199" w:name="_Toc11348"/>
      <w:r>
        <w:rPr>
          <w:rFonts w:hint="eastAsia"/>
        </w:rPr>
        <w:t>第二节 深化</w:t>
      </w:r>
      <w:r>
        <w:t>金融体制</w:t>
      </w:r>
      <w:r>
        <w:rPr>
          <w:rFonts w:hint="eastAsia"/>
        </w:rPr>
        <w:t>改革</w:t>
      </w:r>
      <w:bookmarkEnd w:id="199"/>
    </w:p>
    <w:p>
      <w:pPr>
        <w:ind w:firstLine="600"/>
      </w:pPr>
      <w:r>
        <w:rPr>
          <w:rFonts w:hint="eastAsia"/>
        </w:rPr>
        <w:t>聚焦</w:t>
      </w:r>
      <w:r>
        <w:t>金融服务实体经济，增强金融服务</w:t>
      </w:r>
      <w:r>
        <w:rPr>
          <w:rFonts w:hint="eastAsia"/>
        </w:rPr>
        <w:t>实体经济能力</w:t>
      </w:r>
      <w:r>
        <w:t>。制定</w:t>
      </w:r>
      <w:r>
        <w:rPr>
          <w:rFonts w:hint="eastAsia" w:ascii="仿宋" w:hAnsi="仿宋"/>
        </w:rPr>
        <w:t>“</w:t>
      </w:r>
      <w:r>
        <w:rPr>
          <w:rFonts w:ascii="仿宋" w:hAnsi="仿宋"/>
        </w:rPr>
        <w:t>一企一</w:t>
      </w:r>
      <w:r>
        <w:rPr>
          <w:rFonts w:hint="eastAsia" w:ascii="仿宋" w:hAnsi="仿宋"/>
        </w:rPr>
        <w:t>策</w:t>
      </w:r>
      <w:r>
        <w:rPr>
          <w:rFonts w:ascii="仿宋" w:hAnsi="仿宋"/>
        </w:rPr>
        <w:t>”</w:t>
      </w:r>
      <w:r>
        <w:rPr>
          <w:rFonts w:hint="eastAsia"/>
        </w:rPr>
        <w:t>和</w:t>
      </w:r>
      <w:r>
        <w:rPr>
          <w:rFonts w:hint="eastAsia" w:ascii="仿宋" w:hAnsi="仿宋"/>
        </w:rPr>
        <w:t>“</w:t>
      </w:r>
      <w:r>
        <w:rPr>
          <w:rFonts w:ascii="仿宋" w:hAnsi="仿宋"/>
        </w:rPr>
        <w:t>一企</w:t>
      </w:r>
      <w:r>
        <w:rPr>
          <w:rFonts w:hint="eastAsia" w:ascii="仿宋" w:hAnsi="仿宋"/>
        </w:rPr>
        <w:t>多策</w:t>
      </w:r>
      <w:r>
        <w:rPr>
          <w:rFonts w:ascii="仿宋" w:hAnsi="仿宋"/>
        </w:rPr>
        <w:t>”</w:t>
      </w:r>
      <w:r>
        <w:rPr>
          <w:rFonts w:hint="eastAsia"/>
        </w:rPr>
        <w:t>的</w:t>
      </w:r>
      <w:r>
        <w:t>融资方案，提升金融服务供给能力，加强与国家、省级和市级</w:t>
      </w:r>
      <w:r>
        <w:rPr>
          <w:rFonts w:hint="eastAsia"/>
        </w:rPr>
        <w:t>投融资</w:t>
      </w:r>
      <w:r>
        <w:t>平台合作，解决企业的融资难题。</w:t>
      </w:r>
      <w:r>
        <w:rPr>
          <w:rFonts w:hint="eastAsia"/>
        </w:rPr>
        <w:t>重点</w:t>
      </w:r>
      <w:r>
        <w:t>支持企业多元化融资，扩大债券融资规模。加强</w:t>
      </w:r>
      <w:r>
        <w:rPr>
          <w:rFonts w:hint="eastAsia"/>
        </w:rPr>
        <w:t>专利</w:t>
      </w:r>
      <w:r>
        <w:t>权、商标专用</w:t>
      </w:r>
      <w:r>
        <w:rPr>
          <w:rFonts w:hint="eastAsia"/>
        </w:rPr>
        <w:t>权</w:t>
      </w:r>
      <w:r>
        <w:t>、著作权等知识产权质押风险管控，培育</w:t>
      </w:r>
      <w:r>
        <w:rPr>
          <w:rFonts w:hint="eastAsia"/>
        </w:rPr>
        <w:t>著名</w:t>
      </w:r>
      <w:r>
        <w:t>商标，提高</w:t>
      </w:r>
      <w:r>
        <w:rPr>
          <w:rFonts w:hint="eastAsia"/>
        </w:rPr>
        <w:t>知识</w:t>
      </w:r>
      <w:r>
        <w:t>产权质押、商标权质押等无形资产贷款比重。</w:t>
      </w:r>
      <w:r>
        <w:rPr>
          <w:rFonts w:hint="eastAsia"/>
        </w:rPr>
        <w:t>建立</w:t>
      </w:r>
      <w:r>
        <w:t>多层次、多渠道、可持续的投融资体系，持续解决信贷机构对中小微企业</w:t>
      </w:r>
      <w:r>
        <w:rPr>
          <w:rFonts w:ascii="仿宋" w:hAnsi="仿宋"/>
        </w:rPr>
        <w:t>“</w:t>
      </w:r>
      <w:r>
        <w:rPr>
          <w:rFonts w:hint="eastAsia" w:ascii="仿宋" w:hAnsi="仿宋"/>
        </w:rPr>
        <w:t>不愿贷</w:t>
      </w:r>
      <w:r>
        <w:rPr>
          <w:rFonts w:ascii="仿宋" w:hAnsi="仿宋"/>
        </w:rPr>
        <w:t>、不能贷、不敢贷”</w:t>
      </w:r>
      <w:r>
        <w:t>的问题</w:t>
      </w:r>
      <w:r>
        <w:rPr>
          <w:rFonts w:hint="eastAsia"/>
        </w:rPr>
        <w:t>，增加对中小微企业、“三农”的金融供给，落实小微企业</w:t>
      </w:r>
      <w:r>
        <w:t>贷款</w:t>
      </w:r>
      <w:r>
        <w:rPr>
          <w:rFonts w:hint="eastAsia"/>
        </w:rPr>
        <w:t>续贷</w:t>
      </w:r>
      <w:r>
        <w:t>政策，降低小微企业贷款利率之外的附加成本。</w:t>
      </w:r>
      <w:r>
        <w:rPr>
          <w:rFonts w:hint="eastAsia"/>
        </w:rPr>
        <w:t>积极对接国家政策，用好专项债、产业基金、政策性贷款等工具，最大限度争取上级资金资源支持，切实强化资金要素保障。</w:t>
      </w:r>
    </w:p>
    <w:p>
      <w:pPr>
        <w:pStyle w:val="4"/>
        <w:spacing w:before="408" w:after="408"/>
        <w:ind w:firstLine="640"/>
      </w:pPr>
      <w:r>
        <w:br w:type="page"/>
      </w:r>
      <w:bookmarkStart w:id="200" w:name="_Toc6187"/>
      <w:r>
        <w:t xml:space="preserve">第八篇 </w:t>
      </w:r>
      <w:r>
        <w:rPr>
          <w:rFonts w:hint="eastAsia"/>
        </w:rPr>
        <w:t>全面统筹发展与安全，维护社会平安稳定</w:t>
      </w:r>
      <w:bookmarkEnd w:id="200"/>
    </w:p>
    <w:p>
      <w:pPr>
        <w:ind w:firstLine="600"/>
      </w:pPr>
      <w:r>
        <w:rPr>
          <w:rFonts w:hint="eastAsia"/>
        </w:rPr>
        <w:t>全面落实国家总体安全观，统筹发展和安全，把安全发展贯穿经济社会发展各领域和全过程，实现稳增长和防风险长期均衡，确保政治更安全、社会更安定、人民更安宁、网络更安靖，努力打造全省平安建设示范区。</w:t>
      </w:r>
    </w:p>
    <w:p>
      <w:pPr>
        <w:pStyle w:val="5"/>
        <w:ind w:firstLine="643"/>
      </w:pPr>
      <w:bookmarkStart w:id="201" w:name="_Toc4482"/>
      <w:r>
        <w:rPr>
          <w:rFonts w:hint="eastAsia"/>
        </w:rPr>
        <w:t>第一章 健全公共安全体系</w:t>
      </w:r>
      <w:bookmarkEnd w:id="201"/>
    </w:p>
    <w:p>
      <w:pPr>
        <w:pStyle w:val="6"/>
        <w:ind w:firstLine="602"/>
      </w:pPr>
      <w:bookmarkStart w:id="202" w:name="_Toc20309"/>
      <w:r>
        <w:rPr>
          <w:rFonts w:hint="eastAsia"/>
        </w:rPr>
        <w:t>第一节 维护国家政治安全</w:t>
      </w:r>
      <w:bookmarkEnd w:id="202"/>
    </w:p>
    <w:p>
      <w:pPr>
        <w:ind w:firstLine="600"/>
      </w:pPr>
      <w:r>
        <w:rPr>
          <w:rFonts w:hint="eastAsia"/>
        </w:rPr>
        <w:t>坚持法治导向，把握规律特点，主动进攻、抓早抓小、综合施策，深化反恐怖反渗透反分裂斗争。牢记宗旨，抓好事关群众利益的问题解决、源头预防、制度完善，切实筑牢维护政治安全的群众基础。紧紧依靠党的领导政治优势和社会主义制度优势，推动构建党委领导、多方参与、社会协同的维护国家政治安全工作机制。坚定政治立场，健全工作体系，加强国际合作，不断提高维护国家政治安全工作能力和水平。</w:t>
      </w:r>
    </w:p>
    <w:p>
      <w:pPr>
        <w:pStyle w:val="6"/>
        <w:ind w:firstLine="602"/>
      </w:pPr>
      <w:bookmarkStart w:id="203" w:name="_Toc14084"/>
      <w:r>
        <w:rPr>
          <w:rFonts w:hint="eastAsia"/>
        </w:rPr>
        <w:t>第二节 防范化解金融风险</w:t>
      </w:r>
      <w:bookmarkEnd w:id="203"/>
    </w:p>
    <w:p>
      <w:pPr>
        <w:ind w:firstLine="600"/>
      </w:pPr>
      <w:r>
        <w:rPr>
          <w:rFonts w:hint="eastAsia"/>
        </w:rPr>
        <w:t>完善经济安全治理体系，加强经济安全风险预警、防控机制和能力建设，做好社保基金风险、债务风险等防控工作，坚决守住不发生区域性经济金融风险底线。不断增强风险防范意识，主动融入金融防控大格局，发挥司法职能作用。切实维护金融秩序安全，要充分发挥刑事审判职能，严厉打击涉金融犯罪，维护金融秩序和人民财产安全。积极促进金融市场发展，要审理和执行好各类涉金融民商事案件，维护金融企业与案件相对人的合法权益。提供便捷高效诉讼服务，大力推进现代化诉讼服务体系建设，用好信息化手段破解影响涉金融案件审判执行效率的难题。推进金融风险综合治理，要建立健全与金融机构的沟通协调机制，力争形成覆盖金融全行业的多元化纠纷解决协调机制。打造高素质防范风险队伍，要进一步加强金融审判的专业化建设，努力培养锻造一支既懂法律又懂金融的专业人才队伍。</w:t>
      </w:r>
    </w:p>
    <w:p>
      <w:pPr>
        <w:pStyle w:val="6"/>
        <w:ind w:firstLine="602"/>
      </w:pPr>
      <w:bookmarkStart w:id="204" w:name="_Toc112"/>
      <w:r>
        <w:t>第</w:t>
      </w:r>
      <w:r>
        <w:rPr>
          <w:rFonts w:hint="eastAsia"/>
        </w:rPr>
        <w:t>三</w:t>
      </w:r>
      <w:r>
        <w:t>节</w:t>
      </w:r>
      <w:r>
        <w:rPr>
          <w:rFonts w:hint="eastAsia"/>
        </w:rPr>
        <w:t xml:space="preserve"> 加强社会治安综合治理</w:t>
      </w:r>
      <w:bookmarkEnd w:id="204"/>
    </w:p>
    <w:p>
      <w:pPr>
        <w:ind w:firstLine="600"/>
      </w:pPr>
      <w:r>
        <w:rPr>
          <w:rFonts w:hint="eastAsia"/>
        </w:rPr>
        <w:t>严厉打击黑恶霸、盗抢骗、刀枪爆、黄赌毒等违法犯罪行为。健全社会心理服务体系和危机干预机制。完善社会治安综合治理机制，以信息化为支撑、以网格化为抓手，加快建设社会治安立体防控体系。巩固壮大治安队伍，加强专职群防群治队伍建设。加快推进全区公共安全视频监控系统建设整合联网应用，利用物联网、大数据、云计算和人工智能等现代技术，提高视频图像信息的综合应用水平，实现全区公共安全视频监控管理服务平台信息收置全覆盖。抓好高清视频监控补点扩面、更新换代、提档升级工作。到 2025 年力争实现城区重点交通路段、公共治安复杂场所和涉及国计民生的重点单位高清视频监控覆盖率达到 100%。深化“雪亮工程”建设，加强对重点区域、重点场所、重点人员等管控应用。强化校车安全管理，建设平安校园。健全全区公共安全体系，加强安全宣传教育。</w:t>
      </w:r>
    </w:p>
    <w:p>
      <w:pPr>
        <w:pStyle w:val="6"/>
        <w:ind w:firstLine="602"/>
      </w:pPr>
      <w:bookmarkStart w:id="205" w:name="_Toc14069"/>
      <w:r>
        <w:rPr>
          <w:rFonts w:hint="eastAsia"/>
        </w:rPr>
        <w:t>第四节 强化安全生产能力建设</w:t>
      </w:r>
      <w:bookmarkEnd w:id="205"/>
    </w:p>
    <w:p>
      <w:pPr>
        <w:ind w:firstLine="600"/>
      </w:pPr>
      <w:r>
        <w:rPr>
          <w:rFonts w:hint="eastAsia"/>
        </w:rPr>
        <w:t>落实安全生产责任制，深入推进专项整治三年行动，建立健全安全生产监管体系，</w:t>
      </w:r>
      <w:r>
        <w:t>落实安全生产工作目标考核责任制</w:t>
      </w:r>
      <w:r>
        <w:rPr>
          <w:rFonts w:hint="eastAsia"/>
        </w:rPr>
        <w:t>，推广华新水泥“金银铜工作法”，加强风险评估“红橙黄蓝”预警管理，</w:t>
      </w:r>
      <w:r>
        <w:t>建立重大事故隐患排查治理机制，防范和遏制重特大事故的发生，完善重大安全生产事故预警、预防控制体系和应急救援体系。</w:t>
      </w:r>
      <w:r>
        <w:rPr>
          <w:rFonts w:hint="eastAsia"/>
        </w:rPr>
        <w:t>强化乡镇（街道）安全生产监管队伍和能力建设，确保基层执法力量配齐配强。完善危险物品“一体化”安全监管信息平台，强化全流程、无隙监管。</w:t>
      </w:r>
      <w:r>
        <w:t>增强消防安全意识，切实做好消防工作。推进人防、物防、技防保障能力建设，有效防范、化解、管控影响社会安定的问题，保障人民生命财产安全。</w:t>
      </w:r>
    </w:p>
    <w:p>
      <w:pPr>
        <w:pStyle w:val="6"/>
        <w:ind w:firstLine="602"/>
      </w:pPr>
      <w:bookmarkStart w:id="206" w:name="_Toc24185"/>
      <w:r>
        <w:rPr>
          <w:rFonts w:hint="eastAsia"/>
        </w:rPr>
        <w:t>第五节 维护新型领域安全</w:t>
      </w:r>
      <w:bookmarkEnd w:id="206"/>
    </w:p>
    <w:p>
      <w:pPr>
        <w:ind w:firstLine="600"/>
      </w:pPr>
      <w:r>
        <w:rPr>
          <w:rFonts w:hint="eastAsia"/>
        </w:rPr>
        <w:t>保障粮食安全、能源安全、食品药品安全、生物安全，维护新型领域安全。建立生物安全风险防控和治理体系，提高生物安全治理能力。</w:t>
      </w:r>
      <w:r>
        <w:t>加强食品源头、生产加工环节、流通环节、餐饮服务环节监管，严格药品和医疗器械生产质量管理，规范经营和使用行为</w:t>
      </w:r>
      <w:r>
        <w:rPr>
          <w:rFonts w:hint="eastAsia"/>
        </w:rPr>
        <w:t>，推进质量诚信体系建设。加强农产品、食品、药品质量安全主流体系建设，建立智慧监管体系，建成全区食品药品监管全程追溯信息平台，提高食品药品监管现代化水平，全力守护人民群众“舌尖上的安全”，争创省级食品安全示范区。</w:t>
      </w:r>
    </w:p>
    <w:p>
      <w:pPr>
        <w:pStyle w:val="5"/>
        <w:ind w:firstLine="643"/>
      </w:pPr>
      <w:bookmarkStart w:id="207" w:name="_Toc15463"/>
      <w:r>
        <w:rPr>
          <w:rFonts w:hint="eastAsia"/>
        </w:rPr>
        <w:t>第二章 加强创新社会治理</w:t>
      </w:r>
      <w:bookmarkEnd w:id="207"/>
    </w:p>
    <w:p>
      <w:pPr>
        <w:pStyle w:val="6"/>
        <w:ind w:firstLine="602"/>
      </w:pPr>
      <w:bookmarkStart w:id="208" w:name="_Toc17437"/>
      <w:r>
        <w:rPr>
          <w:rFonts w:hint="eastAsia"/>
        </w:rPr>
        <w:t>第一节 创新社会治理体系</w:t>
      </w:r>
      <w:bookmarkEnd w:id="208"/>
    </w:p>
    <w:p>
      <w:pPr>
        <w:ind w:firstLine="600"/>
      </w:pPr>
      <w:r>
        <w:rPr>
          <w:rFonts w:hint="eastAsia"/>
        </w:rPr>
        <w:t>推动社会治理重心向基层下移，健全党组织领导的自治、法治、德治、智治相结合的基层治理体系，构建新型基层治理共同体。深化“区镇一体，条抓块统”高效协同治理模式，推进“最多跑一地”改革。完善“扁平化”治理体系。积极适应“一肩挑”新形势新要求，全面推进新时代村社组织规范运行，着力构建党组织领导下的村（居）民自治新格局，打造乡村治理新机制。完善网格化服务管理体系，推动基层基本公共服务与管理重心下移，构建源头治理、动态管理、应急处置、标本兼治新格局。加强和完善重大决策社会风险评估机制，健全社会矛盾纠纷排查预警等机制，加快建立健全智慧治理机制，构建“基础设施智慧、数据互通共享、信息处置专业、运行安全可靠”的社会“智治”体系，提升社会“智治”效能。推进智慧安防小区建设，构建社区智能管控平台。创新群团组织和社会组织参与社会治理的制度化渠道。推动宗教基层治理体系创新，依法加强宗教事务管理，积极引导宗教与社会主义社会相适应。</w:t>
      </w:r>
    </w:p>
    <w:p>
      <w:pPr>
        <w:pStyle w:val="6"/>
        <w:ind w:firstLine="602"/>
      </w:pPr>
      <w:bookmarkStart w:id="209" w:name="_Toc11179"/>
      <w:r>
        <w:rPr>
          <w:rFonts w:hint="eastAsia"/>
        </w:rPr>
        <w:t>第二节 健全社会治理方式</w:t>
      </w:r>
      <w:bookmarkEnd w:id="209"/>
    </w:p>
    <w:p>
      <w:pPr>
        <w:ind w:firstLine="600"/>
      </w:pPr>
      <w:r>
        <w:rPr>
          <w:rFonts w:hint="eastAsia"/>
        </w:rPr>
        <w:t>创新完善基层治理体系。进一步完善巩固党委领导、政府负责、社会协同、公众参与、法治保障的社会治理体制，推进社会治理精细化，构建全民共建共治共享的社会治理格局。改进社会治理方式，完善人口管理、实名登记等社会治理基础性制度，完善网格化服务管理体系，推动基层基本公共服务与管理重心下移，构建源头治理、动态管理、应急处置、标本兼治新格局。增强社会自我调节功能，加强行业规范、社会组织章程、村规民约、社区居民公约等社会规范建设，引导公众修身律己，自觉遵守和维护社会秩序。创新完善基层治理体系，完善基层群众自治制度，改进公众参与机制，健全村民委员会等村民自治组织民主制度，积极推进村务公开信息化建设。加强村“两委”组织建设，建立村党组织书记动态调整优化机制，加强支部标准化、规范化建设。加强对社会组织的管理，推动社会组织健康有序发展，形成政社分开、权责明确、依法自治的现代社会组织体制。积极防范和化解社会矛盾，打造社会治理“枫桥经验”华容版。</w:t>
      </w:r>
    </w:p>
    <w:p>
      <w:pPr>
        <w:pStyle w:val="5"/>
        <w:ind w:firstLine="643"/>
      </w:pPr>
      <w:bookmarkStart w:id="210" w:name="_Toc3929"/>
      <w:r>
        <w:rPr>
          <w:rFonts w:hint="eastAsia"/>
        </w:rPr>
        <w:t>第三章 加强应急管理体系和能力建设</w:t>
      </w:r>
      <w:bookmarkEnd w:id="210"/>
    </w:p>
    <w:p>
      <w:pPr>
        <w:pStyle w:val="6"/>
        <w:ind w:firstLine="602"/>
      </w:pPr>
      <w:bookmarkStart w:id="211" w:name="_Toc4602"/>
      <w:r>
        <w:t>第</w:t>
      </w:r>
      <w:r>
        <w:rPr>
          <w:rFonts w:hint="eastAsia"/>
        </w:rPr>
        <w:t>一</w:t>
      </w:r>
      <w:r>
        <w:t xml:space="preserve">节 </w:t>
      </w:r>
      <w:r>
        <w:rPr>
          <w:rFonts w:hint="eastAsia"/>
        </w:rPr>
        <w:t>完善应急管理体系</w:t>
      </w:r>
      <w:bookmarkEnd w:id="211"/>
    </w:p>
    <w:p>
      <w:pPr>
        <w:ind w:firstLine="600"/>
      </w:pPr>
      <w:r>
        <w:t>建立健全应急管理能力体系。</w:t>
      </w:r>
      <w:r>
        <w:rPr>
          <w:rFonts w:hint="eastAsia"/>
        </w:rPr>
        <w:t>建立统一高效的应急指挥体系，完善应急管理工作机制，建立应急督导协调机制。</w:t>
      </w:r>
      <w:r>
        <w:t>完善和落实应急预案，加快城市重大危险源监控与应急救援体系建设，有效应对自然灾害、事故灾难、社会安全等突发公共事件，提高危机管理和抗风险能力。</w:t>
      </w:r>
    </w:p>
    <w:p>
      <w:pPr>
        <w:ind w:firstLine="600"/>
      </w:pPr>
      <w:r>
        <w:t>着力增强疫情防控能力。健全疫情监测预警和应急响应机制，落实医疗机构和疾控机构传染病疫情、突发公共卫生事件报告与审核责任，巩固现有监测系统早发现、早预警功能。加强智慧化疫情监预警能力建设，建立并运行智能触发预警机制，提高疫情预告及时性、灵敏度，强化监测预警、风险评估、流行病学调查、检验检测、应急处置等职能。深化紧密型联体建设，</w:t>
      </w:r>
      <w:r>
        <w:rPr>
          <w:rFonts w:hint="eastAsia"/>
        </w:rPr>
        <w:t>深入推进校医联动机制和企医联动机制，提升学校、企业等高人口密度单位的疫情防控能力。</w:t>
      </w:r>
      <w:r>
        <w:t>健全医疗救治、科技支撑、物资保障体系，提高应对突发公共卫生事件能力。</w:t>
      </w:r>
    </w:p>
    <w:p>
      <w:pPr>
        <w:pStyle w:val="6"/>
        <w:ind w:firstLine="602"/>
      </w:pPr>
      <w:bookmarkStart w:id="212" w:name="_Toc19209"/>
      <w:r>
        <w:rPr>
          <w:rFonts w:hint="eastAsia"/>
        </w:rPr>
        <w:t>第二节 增强应急管理能力</w:t>
      </w:r>
      <w:bookmarkEnd w:id="212"/>
    </w:p>
    <w:p>
      <w:pPr>
        <w:ind w:firstLine="600"/>
      </w:pPr>
      <w:r>
        <w:rPr>
          <w:rFonts w:hint="eastAsia"/>
        </w:rPr>
        <w:t>推进应急预警平台建设，健全防控网络，实现应急救援信息共享，应急资源优化配置，提高应急处置效率和水平。完善应急物资储备体系，增强公共建筑物和设施应急避难功能。强化应急救援队伍建设，实现专业救援队伍和社会志愿队伍统筹协调、互补互助。强化应急管理基础设施建设，提升自然灾害防御工程标准，补齐排水防涝设施短板，打造韧性城市。推进乡村防灾减灾能力标准化建设，提升基层防灾减灾能力。</w:t>
      </w:r>
    </w:p>
    <w:p>
      <w:pPr>
        <w:ind w:firstLine="600"/>
      </w:pPr>
      <w:r>
        <w:rPr>
          <w:rFonts w:hint="eastAsia"/>
        </w:rPr>
        <w:t>提高应急管理智控水平，推动设备智感系统、隐患排查系统、执法系统、应急处置系统互联互通，强化企业安全风险源头治理和政府部门精密智控合力。加强突发公共卫生事件应急体系建设，推动智慧疫情预警能力建设，健全疫情监测预警和应急响应机制，落实医疗机构和疾控机构传染病疫情、突发公共卫生事件报告与审核责任，巩固现有监测系统早发现、早预警功能。</w:t>
      </w:r>
    </w:p>
    <w:tbl>
      <w:tblPr>
        <w:tblStyle w:val="5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0" w:firstLineChars="0"/>
              <w:jc w:val="center"/>
              <w:rPr>
                <w:rFonts w:eastAsia="黑体" w:cs="Times New Roman" w:asciiTheme="minorHAnsi" w:hAnsiTheme="minorHAnsi"/>
                <w:b/>
                <w:sz w:val="24"/>
                <w:szCs w:val="21"/>
              </w:rPr>
            </w:pPr>
            <w:r>
              <w:rPr>
                <w:rFonts w:cs="Times New Roman" w:asciiTheme="minorHAnsi" w:hAnsiTheme="minorHAnsi"/>
                <w:b/>
                <w:sz w:val="24"/>
              </w:rPr>
              <w:t>专栏8-1 应急管理工程项目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00" w:lineRule="exact"/>
              <w:ind w:firstLine="482"/>
              <w:rPr>
                <w:rFonts w:cs="Times New Roman" w:asciiTheme="minorHAnsi" w:hAnsiTheme="minorHAnsi"/>
                <w:sz w:val="24"/>
              </w:rPr>
            </w:pPr>
            <w:r>
              <w:rPr>
                <w:rFonts w:cs="Times New Roman" w:asciiTheme="minorHAnsi" w:hAnsiTheme="minorHAnsi"/>
                <w:b/>
                <w:sz w:val="24"/>
              </w:rPr>
              <w:t>应急救援工程：</w:t>
            </w:r>
            <w:r>
              <w:rPr>
                <w:rFonts w:cs="Times New Roman" w:asciiTheme="minorHAnsi" w:hAnsiTheme="minorHAnsi"/>
                <w:sz w:val="24"/>
              </w:rPr>
              <w:t>推进应急救援队伍建设，提高救援队伍的专业素质和救援能力，重点建设华容区应急救援指挥中心和消防站。</w:t>
            </w:r>
          </w:p>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应急保障工程：</w:t>
            </w:r>
            <w:r>
              <w:rPr>
                <w:rFonts w:cs="Times New Roman" w:asciiTheme="minorHAnsi" w:hAnsiTheme="minorHAnsi"/>
                <w:sz w:val="24"/>
              </w:rPr>
              <w:t>完善即时地方应急物资保障系统，重点建设华容应急快速投送中心、鄂州地方应急物资储备库、华容应急物资储备库等项目。</w:t>
            </w:r>
          </w:p>
          <w:p>
            <w:pPr>
              <w:spacing w:line="300" w:lineRule="exact"/>
              <w:ind w:firstLine="482"/>
              <w:rPr>
                <w:rFonts w:eastAsia="宋体" w:cs="Times New Roman" w:asciiTheme="minorHAnsi" w:hAnsiTheme="minorHAnsi"/>
                <w:sz w:val="24"/>
                <w:szCs w:val="21"/>
              </w:rPr>
            </w:pPr>
            <w:r>
              <w:rPr>
                <w:rFonts w:cs="Times New Roman" w:asciiTheme="minorHAnsi" w:hAnsiTheme="minorHAnsi"/>
                <w:b/>
                <w:sz w:val="24"/>
              </w:rPr>
              <w:t>防疫减灾工程：</w:t>
            </w:r>
            <w:r>
              <w:rPr>
                <w:rFonts w:cs="Times New Roman" w:asciiTheme="minorHAnsi" w:hAnsiTheme="minorHAnsi"/>
                <w:sz w:val="24"/>
              </w:rPr>
              <w:t>完善疫情监测预警和应急响应机制，加强联防联控体系建设，完善自然灾害应急救助体系建设，智慧消防建设工程、公共消防、园林风景、地质灾害等预警监测和灾害救治项目。</w:t>
            </w:r>
          </w:p>
        </w:tc>
      </w:tr>
    </w:tbl>
    <w:p>
      <w:pPr>
        <w:ind w:firstLine="600"/>
      </w:pPr>
      <w:r>
        <w:br w:type="page"/>
      </w:r>
    </w:p>
    <w:p>
      <w:pPr>
        <w:pStyle w:val="4"/>
        <w:spacing w:before="408" w:after="408"/>
        <w:ind w:firstLine="640"/>
      </w:pPr>
      <w:bookmarkStart w:id="213" w:name="_Toc16179"/>
      <w:r>
        <w:t>第</w:t>
      </w:r>
      <w:r>
        <w:rPr>
          <w:rFonts w:hint="eastAsia"/>
        </w:rPr>
        <w:t>九</w:t>
      </w:r>
      <w:r>
        <w:t xml:space="preserve">篇 </w:t>
      </w:r>
      <w:r>
        <w:rPr>
          <w:rFonts w:hint="eastAsia"/>
        </w:rPr>
        <w:t>坚持党的全面领导，奋力实现“十四五”规划和二〇三五年远景目标</w:t>
      </w:r>
      <w:bookmarkEnd w:id="213"/>
    </w:p>
    <w:p>
      <w:pPr>
        <w:ind w:firstLine="600"/>
      </w:pPr>
      <w:r>
        <w:rPr>
          <w:rFonts w:hint="eastAsia"/>
        </w:rPr>
        <w:t>贯彻新时代党的建设总要求和新时代党的组织路线，发挥党总揽全局、协调各方作用，完善党领导经济社会发展机制，充分调动各方面积极因素，凝聚推动高质量发展的强大合力，为实现“十四五”规划和二〇三五年远景目标提供坚强保障</w:t>
      </w:r>
      <w:r>
        <w:t>。</w:t>
      </w:r>
    </w:p>
    <w:p>
      <w:pPr>
        <w:pStyle w:val="5"/>
        <w:ind w:firstLine="643"/>
      </w:pPr>
      <w:bookmarkStart w:id="214" w:name="_Toc7712"/>
      <w:r>
        <w:t>第一章</w:t>
      </w:r>
      <w:r>
        <w:rPr>
          <w:rFonts w:hint="eastAsia"/>
        </w:rPr>
        <w:t xml:space="preserve"> 充分发挥党的领导核心作用</w:t>
      </w:r>
      <w:bookmarkEnd w:id="214"/>
    </w:p>
    <w:p>
      <w:pPr>
        <w:pStyle w:val="6"/>
        <w:ind w:firstLine="602"/>
      </w:pPr>
      <w:bookmarkStart w:id="215" w:name="_Toc17103"/>
      <w:r>
        <w:t xml:space="preserve">第一节 </w:t>
      </w:r>
      <w:r>
        <w:rPr>
          <w:rFonts w:hint="eastAsia"/>
        </w:rPr>
        <w:t>坚持党的集中统一领导</w:t>
      </w:r>
      <w:bookmarkEnd w:id="215"/>
    </w:p>
    <w:p>
      <w:pPr>
        <w:ind w:firstLine="600"/>
      </w:pPr>
      <w:r>
        <w:t>坚持以习近平新时代中国特色社会主义思想为指导，</w:t>
      </w:r>
      <w:r>
        <w:rPr>
          <w:rFonts w:hint="eastAsia"/>
        </w:rPr>
        <w:t>坚决贯彻</w:t>
      </w:r>
      <w:r>
        <w:t>落实中央、省委、市委各项决策部署，充分发挥各级党</w:t>
      </w:r>
      <w:r>
        <w:rPr>
          <w:rFonts w:hint="eastAsia"/>
        </w:rPr>
        <w:t>委在社会</w:t>
      </w:r>
      <w:r>
        <w:t>主义现代化建设中</w:t>
      </w:r>
      <w:r>
        <w:rPr>
          <w:rFonts w:hint="eastAsia"/>
        </w:rPr>
        <w:t>把握方向</w:t>
      </w:r>
      <w:r>
        <w:t>、谋划全局、制定政策、推进改革的领导核心作用。</w:t>
      </w:r>
    </w:p>
    <w:p>
      <w:pPr>
        <w:ind w:firstLine="600"/>
      </w:pPr>
      <w:r>
        <w:t>完善党领导经济社会发展工作体制机制。坚持党总揽全局、协调各方，发挥各级党委（党组）领导核心作用。完善党委研究经济社会发展战略、定期分析经济形势、研究重大方针政策的工作机制，健全决策咨询机制，提高决策科学化水平。完善以创新、协调、绿色、开放、共享发展理念引领经济社会发展的考核评价办法，发挥考核指挥棒作用。</w:t>
      </w:r>
    </w:p>
    <w:p>
      <w:pPr>
        <w:pStyle w:val="6"/>
        <w:ind w:firstLine="602"/>
      </w:pPr>
      <w:bookmarkStart w:id="216" w:name="_Toc30036"/>
      <w:r>
        <w:t>第二节 加强</w:t>
      </w:r>
      <w:r>
        <w:rPr>
          <w:rFonts w:hint="eastAsia"/>
        </w:rPr>
        <w:t>基层党组织</w:t>
      </w:r>
      <w:r>
        <w:t>建设</w:t>
      </w:r>
      <w:bookmarkEnd w:id="216"/>
    </w:p>
    <w:p>
      <w:pPr>
        <w:ind w:firstLine="600"/>
      </w:pPr>
      <w:r>
        <w:t>加强党的各级组织建设，夯实基层基础，</w:t>
      </w:r>
      <w:r>
        <w:rPr>
          <w:rFonts w:hint="eastAsia"/>
        </w:rPr>
        <w:t>强化基层党组织整体功能，发挥战斗堡垒作用和党员先锋模范作用，更好带领群众促振兴、搞发展。</w:t>
      </w:r>
      <w:r>
        <w:t>实现全</w:t>
      </w:r>
      <w:r>
        <w:rPr>
          <w:rFonts w:hint="eastAsia"/>
        </w:rPr>
        <w:t>区</w:t>
      </w:r>
      <w:r>
        <w:t>党建工作的组织覆盖和工作覆盖，强化基层党组织整体功能，发挥战斗堡垒作用和党员先锋模范作用，更好带领群众全面建成小康社会。</w:t>
      </w:r>
    </w:p>
    <w:p>
      <w:pPr>
        <w:ind w:firstLine="600"/>
      </w:pPr>
      <w:r>
        <w:t>坚持全面从严治党，落实从严治党主体责任和监督责任，严明党的纪律和规矩，</w:t>
      </w:r>
      <w:r>
        <w:rPr>
          <w:rFonts w:hint="eastAsia"/>
        </w:rPr>
        <w:t>锲而不舍落实中央八项规定精神，持续治庸、提能、问效，持续整治“等推拖慢、慵懒散假”作风，持续纠治形式主义、官僚主义。加强政治监督，强化对公权力运行的制约和监督，坚持无禁区、全覆盖、零容忍，一体推进不敢腐、不能腐、不想腐，</w:t>
      </w:r>
      <w:r>
        <w:t>努力实现干部清正、政府清廉、政治清明，</w:t>
      </w:r>
      <w:r>
        <w:rPr>
          <w:rFonts w:hint="eastAsia"/>
        </w:rPr>
        <w:t>巩固提升良好政治生态。</w:t>
      </w:r>
    </w:p>
    <w:p>
      <w:pPr>
        <w:pStyle w:val="6"/>
        <w:ind w:firstLine="602"/>
      </w:pPr>
      <w:bookmarkStart w:id="217" w:name="_Toc3388"/>
      <w:r>
        <w:t xml:space="preserve">第三节 </w:t>
      </w:r>
      <w:r>
        <w:rPr>
          <w:rFonts w:hint="eastAsia"/>
        </w:rPr>
        <w:t>锻造高素质专业化人才队伍</w:t>
      </w:r>
      <w:bookmarkEnd w:id="217"/>
    </w:p>
    <w:p>
      <w:pPr>
        <w:ind w:firstLine="600"/>
      </w:pPr>
      <w:r>
        <w:rPr>
          <w:rFonts w:hint="eastAsia"/>
        </w:rPr>
        <w:t>扎实推进领导班子建设。坚持用习近平新时代中国特色社会主义思想武装干部，立足新时期好干部标准，坚持事业导向、问题导向，把提高干部的专业素养、提高治理能力作为新时代高质量干部队伍建设的重大任务，选优配强各级领导班子和领导干部，着力增强领导班子整体功能。</w:t>
      </w:r>
      <w:r>
        <w:t>注重日常管理，注重教育培训，注重实践锻炼，坚持</w:t>
      </w:r>
      <w:r>
        <w:rPr>
          <w:rFonts w:hint="eastAsia"/>
        </w:rPr>
        <w:t>“</w:t>
      </w:r>
      <w:r>
        <w:t>好干部</w:t>
      </w:r>
      <w:r>
        <w:rPr>
          <w:rFonts w:hint="eastAsia"/>
        </w:rPr>
        <w:t>”</w:t>
      </w:r>
      <w:r>
        <w:t>标准，着力培养选拔政治强、懂专业、善治理、敢担当、作风正的领导干部，提高专业化水平。重视培养使用年轻干部、妇女干部、少数民族干部和党外干部。深化干部人事制度改革，完善实绩考核评价体系和奖惩机制，调动各级干部工作积极性、主动性、创造性。</w:t>
      </w:r>
    </w:p>
    <w:p>
      <w:pPr>
        <w:ind w:firstLine="600"/>
      </w:pPr>
      <w:r>
        <w:rPr>
          <w:rFonts w:hint="eastAsia"/>
        </w:rPr>
        <w:t>培养高素质干部队伍。落实好干部标准，拓宽选人用人视野和渠道，严把政治关、廉洁关、素质能力关，实施“干部能力提升计划”，着力建设一支负责任、敢担当、重实干、抓落实、有能力、会干事、严自律、保干净的干部队伍。建立健全干部担当作为的激励保护机制，以正确用人导向引领干事创业导向。完善人才工作体系，鼓励引导人才到改革发展主战场和艰苦岗位服务，培养造就大批德才兼备的高素质人才。突出发展第一要务，优化政绩考核内容指标，健全高质量发展考核评价体系。教育引导党员干部当好干事创业“领头羊”、改革创新“开山斧”、为民解难“孺子牛”、有呼必应“店小二”，着力把华容打造成政治生态好、用人导向正、干部作风实、发展环境优的区域。</w:t>
      </w:r>
    </w:p>
    <w:p>
      <w:pPr>
        <w:pStyle w:val="6"/>
        <w:ind w:firstLine="602"/>
      </w:pPr>
      <w:bookmarkStart w:id="218" w:name="_Toc17291"/>
      <w:r>
        <w:t>第</w:t>
      </w:r>
      <w:r>
        <w:rPr>
          <w:rFonts w:hint="eastAsia"/>
        </w:rPr>
        <w:t>四</w:t>
      </w:r>
      <w:r>
        <w:t>节</w:t>
      </w:r>
      <w:r>
        <w:rPr>
          <w:rFonts w:hint="eastAsia"/>
        </w:rPr>
        <w:t xml:space="preserve"> 坚持青年优先发展</w:t>
      </w:r>
      <w:bookmarkEnd w:id="218"/>
    </w:p>
    <w:p>
      <w:pPr>
        <w:ind w:firstLine="600"/>
      </w:pPr>
      <w:r>
        <w:rPr>
          <w:rFonts w:hint="eastAsia"/>
        </w:rPr>
        <w:t>把学习习近平新时代中国特色社会主义思想作为青年理论武器的首要任务，引导青年学习马克思主义基本原理，树立辩证唯物主义和历史唯物主义的时间观、方法论。做力构建党、团、队一体化分层教育体系，分类开展青年思想教育和引导。建立线上线下深度融合的工作模式，传播网络正能量。积极扩大青年体育参与规模和效应，青年体质达标率不低于9</w:t>
      </w:r>
      <w:r>
        <w:t>0</w:t>
      </w:r>
      <w:r>
        <w:rPr>
          <w:rFonts w:hint="eastAsia"/>
        </w:rPr>
        <w:t>%。青年心理健康辅导和服务水平得到较大提升，大力推进青少年体育活动，切实提升身体素质。促进青年更加主动、自信地适应社会、融入社会，进一步丰富和畅通青年社会参与的方式和渠道，实现积极有序、理性合法参与，不断完善青少年权益维护的法规规章和政策体系，确保全面贯彻实施。逐步完善全区青年发展政策体系和工作机制，通过引导服务青年，团结带领青年在经济社会发展中发挥生力军和突击队作用。</w:t>
      </w:r>
    </w:p>
    <w:p>
      <w:pPr>
        <w:pStyle w:val="5"/>
        <w:ind w:firstLine="643"/>
      </w:pPr>
      <w:bookmarkStart w:id="219" w:name="_Toc16698"/>
      <w:r>
        <w:rPr>
          <w:rFonts w:hint="eastAsia"/>
        </w:rPr>
        <w:t>第二章 加强民主法治建设</w:t>
      </w:r>
      <w:bookmarkEnd w:id="219"/>
    </w:p>
    <w:p>
      <w:pPr>
        <w:pStyle w:val="6"/>
        <w:ind w:firstLine="602"/>
      </w:pPr>
      <w:bookmarkStart w:id="220" w:name="_Toc22090"/>
      <w:r>
        <w:t>第</w:t>
      </w:r>
      <w:r>
        <w:rPr>
          <w:rFonts w:hint="eastAsia"/>
        </w:rPr>
        <w:t>一</w:t>
      </w:r>
      <w:r>
        <w:t>节</w:t>
      </w:r>
      <w:r>
        <w:rPr>
          <w:rFonts w:hint="eastAsia"/>
        </w:rPr>
        <w:t xml:space="preserve"> 坚持和</w:t>
      </w:r>
      <w:r>
        <w:t>完善民主协商</w:t>
      </w:r>
      <w:r>
        <w:rPr>
          <w:rFonts w:hint="eastAsia"/>
        </w:rPr>
        <w:t>制度</w:t>
      </w:r>
      <w:bookmarkEnd w:id="220"/>
    </w:p>
    <w:p>
      <w:pPr>
        <w:ind w:firstLine="600"/>
      </w:pPr>
      <w:r>
        <w:t>充分发扬民主，贯彻党的群众路线，提高宣传和组织群众能力，加强经济社会发展重大问题和涉及群众切身利益问题的协商，依法保障人民各项权益，激发</w:t>
      </w:r>
      <w:r>
        <w:rPr>
          <w:rFonts w:hint="eastAsia"/>
        </w:rPr>
        <w:t>全区</w:t>
      </w:r>
      <w:r>
        <w:t>人民建设现代化</w:t>
      </w:r>
      <w:r>
        <w:rPr>
          <w:rFonts w:hint="eastAsia"/>
        </w:rPr>
        <w:t>华容</w:t>
      </w:r>
      <w:r>
        <w:t>的主人翁意识</w:t>
      </w:r>
      <w:r>
        <w:rPr>
          <w:rFonts w:hint="eastAsia"/>
        </w:rPr>
        <w:t>，</w:t>
      </w:r>
      <w:r>
        <w:t>统筹推进区级协商和社会组织协商，增强合力。制定协商事项清单，充分发挥基层党组织在基础协商中的领导作用，人民广泛参与、各类社区组织、自治组织互动合作的基层人民自主治理框架。完善政府购买服务机制，让社会组织有效承接社会治理具体事务。</w:t>
      </w:r>
      <w:r>
        <w:rPr>
          <w:rFonts w:hint="eastAsia"/>
        </w:rPr>
        <w:t>巩固和发展最广泛的爱国统一战线，实行全面多党合作和政治协商制度，加强人民政协专门协商机构建设，提高建言资政和凝聚共识双向发力质量和水平。统筹做好民族、宗教、对台、侨务、外事以及党外知识分子、非公有制经济人士、新的社会阶层人士等工作，发挥工会、共青团、妇联等人民团体作用。</w:t>
      </w:r>
    </w:p>
    <w:p>
      <w:pPr>
        <w:pStyle w:val="6"/>
        <w:ind w:firstLine="602"/>
      </w:pPr>
      <w:bookmarkStart w:id="221" w:name="_Toc23792"/>
      <w:r>
        <w:rPr>
          <w:rFonts w:hint="eastAsia"/>
        </w:rPr>
        <w:t>第二节 推进法治华容建设</w:t>
      </w:r>
      <w:bookmarkEnd w:id="221"/>
    </w:p>
    <w:p>
      <w:pPr>
        <w:ind w:firstLine="600"/>
        <w:rPr>
          <w:b/>
          <w:bCs/>
        </w:rPr>
      </w:pPr>
      <w:r>
        <w:rPr>
          <w:rFonts w:hint="eastAsia"/>
        </w:rPr>
        <w:t>坚持党的领导、人民当家作主、依法治国有机统一，坚定不移走中国特色社会主义政治发展道路。坚持和完善人民代表大会制度，加强人大对“一府一委两院”的监督，保障人民依法通过各种途径和形式管理国家事务、管理经济文化事业、管理社会事务。深入贯彻习近平法治思想，坚持执法、司法、守法等各环节共同发力，深入推进全面依法治区。加强执法检查，增强实施成效。深化法治政府、法治社会建设和行政执法体制改革，提高依法行政水平。深化司法责任制综合配套改革，促进司法公正。落实“谁执法谁普法”普法责任制，深入开展法治宣传教育，弘扬宪法精神、法治精神。加强干部法治教育，推动领导干部带头尊法学法守法用法，提高运用法治思维和法治方式深化改革、推动发展的能力。</w:t>
      </w:r>
    </w:p>
    <w:p>
      <w:pPr>
        <w:pStyle w:val="5"/>
        <w:ind w:firstLine="643"/>
      </w:pPr>
      <w:bookmarkStart w:id="222" w:name="_Toc26352"/>
      <w:r>
        <w:t>第</w:t>
      </w:r>
      <w:r>
        <w:rPr>
          <w:rFonts w:hint="eastAsia"/>
        </w:rPr>
        <w:t>三</w:t>
      </w:r>
      <w:r>
        <w:t>章 健全规划实施机制</w:t>
      </w:r>
      <w:bookmarkEnd w:id="222"/>
    </w:p>
    <w:p>
      <w:pPr>
        <w:pStyle w:val="6"/>
        <w:ind w:firstLine="602"/>
      </w:pPr>
      <w:bookmarkStart w:id="223" w:name="_Toc24782"/>
      <w:r>
        <w:t>第一节 强化多规合一</w:t>
      </w:r>
      <w:bookmarkEnd w:id="223"/>
    </w:p>
    <w:p>
      <w:pPr>
        <w:ind w:firstLine="600"/>
      </w:pPr>
      <w:r>
        <w:t>加强总体规划与专项规划、区域规划在总体要求、发展目标、发展重点及重大项目布局等方面的衔接。加强本规划与主体功能区规划的衔接配合</w:t>
      </w:r>
      <w:r>
        <w:rPr>
          <w:rFonts w:hint="eastAsia"/>
        </w:rPr>
        <w:t>，</w:t>
      </w:r>
      <w:r>
        <w:t>真正形成一本规划、一张蓝图。总体规划涉及的特定领域或区域发展方向等内容有重大变化的，专项规划或区域规划要根据有关程序相应调整或修订。</w:t>
      </w:r>
    </w:p>
    <w:p>
      <w:pPr>
        <w:pStyle w:val="6"/>
        <w:ind w:firstLine="602"/>
      </w:pPr>
      <w:bookmarkStart w:id="224" w:name="_Toc5770"/>
      <w:r>
        <w:t>第二节 落实责任主体</w:t>
      </w:r>
      <w:bookmarkEnd w:id="224"/>
    </w:p>
    <w:p>
      <w:pPr>
        <w:ind w:firstLine="600"/>
      </w:pPr>
      <w:r>
        <w:t>强化规划任务分解落实。对规划纲要确定的发展目标、重点任务和政策措施进行分解，明确牵头部门和工作责任，作为区各部门绩效考核的重要内容。本规划提出的预期性指标、结构调整等任务，主要依靠市场的力量，政府应发挥好引导的作用，完善市场机制、利益导向机制，创造良好环境，激发市场主体的积极性和创造性。各项任务应合理分解，落实到部门和</w:t>
      </w:r>
      <w:r>
        <w:rPr>
          <w:rFonts w:hint="eastAsia"/>
        </w:rPr>
        <w:t>各乡镇</w:t>
      </w:r>
      <w:r>
        <w:t>。有关部门要各司其责，密切配合，提高规划执行里，确保部门专项规划予以落实。</w:t>
      </w:r>
    </w:p>
    <w:p>
      <w:pPr>
        <w:pStyle w:val="6"/>
        <w:ind w:firstLine="602"/>
      </w:pPr>
      <w:bookmarkStart w:id="225" w:name="_Toc2691"/>
      <w:r>
        <w:t>第三节 强化规划考核</w:t>
      </w:r>
      <w:bookmarkEnd w:id="225"/>
    </w:p>
    <w:p>
      <w:pPr>
        <w:ind w:firstLine="600"/>
      </w:pPr>
      <w:r>
        <w:t>制定规划考核办法，弱化单一对经济增长速度的评价考核，强化对结构优化、民生改善、资源节约、环境保护、基本公共服务和社会治理等目标任务完成情况的综合评价考核。把《纲要》确定的约束性指标和公共服务领域的任务纳入各</w:t>
      </w:r>
      <w:r>
        <w:rPr>
          <w:rFonts w:hint="eastAsia"/>
        </w:rPr>
        <w:t>乡镇</w:t>
      </w:r>
      <w:r>
        <w:t>、各部门绩效考核评价体系；按照以规划带项目的原则，先编规划、后定项目、再安排资金，加快编制专项规划，有序推进重大建设项目的组织实施；建立健全规划监测评估制度，推进规划年度监测、中期评估和后评估工作，建立健全主要目标任务实施跟踪反馈和监督检查机制；创新评估方式，引入社会机构评估等第三方评估制度，扩大民意测评范围，增强规划的准确性和广泛性。</w:t>
      </w:r>
    </w:p>
    <w:p>
      <w:pPr>
        <w:pStyle w:val="5"/>
        <w:ind w:firstLine="643"/>
      </w:pPr>
      <w:bookmarkStart w:id="226" w:name="_Toc12671"/>
      <w:r>
        <w:t>第</w:t>
      </w:r>
      <w:r>
        <w:rPr>
          <w:rFonts w:hint="eastAsia"/>
        </w:rPr>
        <w:t>四</w:t>
      </w:r>
      <w:r>
        <w:t>章 加强实施监督</w:t>
      </w:r>
      <w:bookmarkEnd w:id="226"/>
    </w:p>
    <w:p>
      <w:pPr>
        <w:pStyle w:val="6"/>
        <w:ind w:firstLine="602"/>
      </w:pPr>
      <w:bookmarkStart w:id="227" w:name="_Toc11399"/>
      <w:r>
        <w:t>第一节 健全规划监督机制</w:t>
      </w:r>
      <w:bookmarkEnd w:id="227"/>
    </w:p>
    <w:p>
      <w:pPr>
        <w:ind w:firstLine="600"/>
      </w:pPr>
      <w:r>
        <w:t>加强法治政府建设，依法设定权力、行使权力、制约权力、监督权力。健全依法决策机制，完善重大决策合法性审查机制和跟踪反馈制度。畅通规划实施的监督渠道，自觉接受党内监督、人大监督、民主监督、行政监督、司法监督、审计监督、社会监督和舆论监督。积极推进行政执法体制改革，强化权力制约监督。发挥各部门的监督作用和社会监督作用，提高社会参与度和民主透明度，健全政府与企业、公众的信息沟通与反馈机制。加大规划宣传力度，及时公布规划进展情况，使规划实施成为全</w:t>
      </w:r>
      <w:r>
        <w:rPr>
          <w:rFonts w:hint="eastAsia"/>
        </w:rPr>
        <w:t>区</w:t>
      </w:r>
      <w:r>
        <w:t>的共同行动。</w:t>
      </w:r>
    </w:p>
    <w:p>
      <w:pPr>
        <w:pStyle w:val="6"/>
        <w:ind w:firstLine="602"/>
      </w:pPr>
      <w:bookmarkStart w:id="228" w:name="_Toc16743"/>
      <w:r>
        <w:t>第二节 加强规划监测评估</w:t>
      </w:r>
      <w:bookmarkEnd w:id="228"/>
    </w:p>
    <w:p>
      <w:pPr>
        <w:ind w:firstLine="600"/>
      </w:pPr>
      <w:r>
        <w:t>提高监测评估能力，加强统计工作，强化对规划实施情况跟踪分析。</w:t>
      </w:r>
      <w:r>
        <w:rPr>
          <w:rFonts w:hint="eastAsia"/>
        </w:rPr>
        <w:t>在“</w:t>
      </w:r>
      <w:r>
        <w:t>十</w:t>
      </w:r>
      <w:r>
        <w:rPr>
          <w:rFonts w:hint="eastAsia"/>
        </w:rPr>
        <w:t>四</w:t>
      </w:r>
      <w:r>
        <w:t>五</w:t>
      </w:r>
      <w:r>
        <w:rPr>
          <w:rFonts w:hint="eastAsia"/>
        </w:rPr>
        <w:t>”</w:t>
      </w:r>
      <w:r>
        <w:t>中期，对约束性指标和主要预期性指标完成情况进行评估，适时调整政策方向和力度，努力实现规划制定的预期性目标，确保实现约束性目标。</w:t>
      </w:r>
    </w:p>
    <w:p>
      <w:pPr>
        <w:pStyle w:val="6"/>
        <w:ind w:firstLine="602"/>
      </w:pPr>
      <w:bookmarkStart w:id="229" w:name="_Toc12043"/>
      <w:r>
        <w:t>第三节 实行综合评价考核</w:t>
      </w:r>
      <w:bookmarkEnd w:id="229"/>
    </w:p>
    <w:p>
      <w:pPr>
        <w:ind w:firstLine="600"/>
      </w:pPr>
      <w:r>
        <w:t>强化对结构优化、民生改善、资源节约、生态建设、环境保护、基本公共服务和社会管理等目标任务完成情况的综合评价考核，考核结果作为各部门领导班子调整和领导干部选拔任用、奖励惩戒的重要依据。</w:t>
      </w:r>
      <w:bookmarkEnd w:id="0"/>
    </w:p>
    <w:p>
      <w:pPr>
        <w:pStyle w:val="2"/>
        <w:ind w:left="600" w:firstLine="60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600" w:firstLine="600"/>
      </w:pPr>
    </w:p>
    <w:p>
      <w:pPr>
        <w:pStyle w:val="2"/>
        <w:ind w:left="600" w:firstLine="600"/>
      </w:pPr>
    </w:p>
    <w:p>
      <w:pPr>
        <w:pStyle w:val="2"/>
        <w:ind w:left="600" w:firstLine="600"/>
      </w:pPr>
    </w:p>
    <w:p>
      <w:pPr>
        <w:pStyle w:val="2"/>
        <w:ind w:left="600" w:firstLine="600"/>
      </w:pPr>
    </w:p>
    <w:p>
      <w:pPr>
        <w:pStyle w:val="2"/>
        <w:ind w:left="600" w:firstLine="600"/>
      </w:pPr>
    </w:p>
    <w:p>
      <w:pPr>
        <w:pStyle w:val="2"/>
        <w:ind w:left="600" w:firstLine="600"/>
      </w:pPr>
    </w:p>
    <w:p>
      <w:pPr>
        <w:ind w:firstLine="0" w:firstLineChars="0"/>
        <w:rPr>
          <w:sz w:val="32"/>
          <w:u w:val="single"/>
        </w:rPr>
      </w:pPr>
      <w:r>
        <w:rPr>
          <w:sz w:val="32"/>
          <w:u w:val="single"/>
        </w:rPr>
        <w:t xml:space="preserve">                                                          </w:t>
      </w:r>
    </w:p>
    <w:p>
      <w:pPr>
        <w:ind w:firstLine="0" w:firstLineChars="0"/>
        <w:rPr>
          <w:rFonts w:ascii="仿宋_GB2312" w:hAnsi="仿宋_GB2312" w:eastAsia="仿宋_GB2312"/>
          <w:spacing w:val="-20"/>
          <w:sz w:val="32"/>
          <w:u w:val="single"/>
        </w:rPr>
      </w:pPr>
      <w:r>
        <w:rPr>
          <w:rFonts w:hint="eastAsia" w:ascii="仿宋_GB2312" w:hAnsi="仿宋_GB2312" w:eastAsia="仿宋_GB2312"/>
          <w:sz w:val="32"/>
          <w:u w:val="single"/>
        </w:rPr>
        <w:t xml:space="preserve">华容区八届人大五次会议秘书处   </w:t>
      </w:r>
      <w:r>
        <w:rPr>
          <w:u w:val="single"/>
        </w:rPr>
        <w:t xml:space="preserve">   </w:t>
      </w:r>
      <w:r>
        <w:rPr>
          <w:rFonts w:hint="eastAsia" w:ascii="仿宋_GB2312" w:hAnsi="仿宋_GB2312" w:eastAsia="仿宋_GB2312"/>
          <w:spacing w:val="-20"/>
          <w:sz w:val="32"/>
          <w:u w:val="single"/>
        </w:rPr>
        <w:t>2020年12月 29日印发</w:t>
      </w:r>
    </w:p>
    <w:p>
      <w:pPr>
        <w:ind w:firstLine="900" w:firstLineChars="300"/>
      </w:pPr>
      <w:r>
        <w:t xml:space="preserve">                                       </w:t>
      </w:r>
      <w:r>
        <w:rPr>
          <w:rFonts w:hint="eastAsia" w:ascii="仿宋_GB2312" w:hAnsi="仿宋_GB2312" w:eastAsia="仿宋_GB2312"/>
          <w:sz w:val="32"/>
        </w:rPr>
        <w:t>共印300份</w:t>
      </w:r>
    </w:p>
    <w:sectPr>
      <w:footerReference r:id="rId16" w:type="first"/>
      <w:footerReference r:id="rId15" w:type="default"/>
      <w:pgSz w:w="11906" w:h="16838"/>
      <w:pgMar w:top="1440" w:right="1800" w:bottom="1440" w:left="1800" w:header="851" w:footer="907" w:gutter="0"/>
      <w:pgNumType w:start="1"/>
      <w:cols w:space="425"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p>
    <w:pPr>
      <w:pStyle w:val="1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652559"/>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V</w:t>
        </w:r>
        <w:r>
          <w:fldChar w:fldCharType="end"/>
        </w:r>
      </w:p>
    </w:sdtContent>
  </w:sdt>
  <w:p>
    <w:pPr>
      <w:pStyle w:val="14"/>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p>
    <w:pPr>
      <w:pStyle w:val="14"/>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9191940"/>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1</w:t>
        </w:r>
        <w:r>
          <w:fldChar w:fldCharType="end"/>
        </w:r>
      </w:p>
    </w:sdtContent>
  </w:sdt>
  <w:p>
    <w:pPr>
      <w:pStyle w:val="14"/>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7D"/>
    <w:rsid w:val="000052BF"/>
    <w:rsid w:val="00010AB2"/>
    <w:rsid w:val="00023FD5"/>
    <w:rsid w:val="000326D4"/>
    <w:rsid w:val="00037E3C"/>
    <w:rsid w:val="0004099A"/>
    <w:rsid w:val="0006226A"/>
    <w:rsid w:val="00066E15"/>
    <w:rsid w:val="0006777C"/>
    <w:rsid w:val="00067CF6"/>
    <w:rsid w:val="00070533"/>
    <w:rsid w:val="00071743"/>
    <w:rsid w:val="000720EF"/>
    <w:rsid w:val="00073C6D"/>
    <w:rsid w:val="000753C8"/>
    <w:rsid w:val="000823B4"/>
    <w:rsid w:val="0008299D"/>
    <w:rsid w:val="00084370"/>
    <w:rsid w:val="000858B4"/>
    <w:rsid w:val="000942B3"/>
    <w:rsid w:val="000A0748"/>
    <w:rsid w:val="000A4081"/>
    <w:rsid w:val="000C334A"/>
    <w:rsid w:val="000D00AB"/>
    <w:rsid w:val="000D10C2"/>
    <w:rsid w:val="000D2E61"/>
    <w:rsid w:val="000D31A8"/>
    <w:rsid w:val="000D42A4"/>
    <w:rsid w:val="000D4617"/>
    <w:rsid w:val="000E024F"/>
    <w:rsid w:val="000E127D"/>
    <w:rsid w:val="000F11E0"/>
    <w:rsid w:val="000F21E7"/>
    <w:rsid w:val="00104E0E"/>
    <w:rsid w:val="001050D2"/>
    <w:rsid w:val="00105F4B"/>
    <w:rsid w:val="001103D0"/>
    <w:rsid w:val="00127CA5"/>
    <w:rsid w:val="00141861"/>
    <w:rsid w:val="00143F51"/>
    <w:rsid w:val="00146F48"/>
    <w:rsid w:val="00152E66"/>
    <w:rsid w:val="00154E02"/>
    <w:rsid w:val="00170C8A"/>
    <w:rsid w:val="00170CF1"/>
    <w:rsid w:val="00173000"/>
    <w:rsid w:val="001801F4"/>
    <w:rsid w:val="00181843"/>
    <w:rsid w:val="0018404E"/>
    <w:rsid w:val="00193461"/>
    <w:rsid w:val="00193EED"/>
    <w:rsid w:val="001A017A"/>
    <w:rsid w:val="001A0328"/>
    <w:rsid w:val="001A03A5"/>
    <w:rsid w:val="001B0D99"/>
    <w:rsid w:val="001B33AD"/>
    <w:rsid w:val="001B3C07"/>
    <w:rsid w:val="001B7089"/>
    <w:rsid w:val="001C23AB"/>
    <w:rsid w:val="001D0EED"/>
    <w:rsid w:val="001D49D6"/>
    <w:rsid w:val="001D6CD9"/>
    <w:rsid w:val="001D7F0F"/>
    <w:rsid w:val="001E26D8"/>
    <w:rsid w:val="001F7E31"/>
    <w:rsid w:val="00200815"/>
    <w:rsid w:val="00210413"/>
    <w:rsid w:val="00217667"/>
    <w:rsid w:val="00221220"/>
    <w:rsid w:val="00222F99"/>
    <w:rsid w:val="002339D5"/>
    <w:rsid w:val="00234CA4"/>
    <w:rsid w:val="00237541"/>
    <w:rsid w:val="00237611"/>
    <w:rsid w:val="00241F29"/>
    <w:rsid w:val="0024353B"/>
    <w:rsid w:val="00243CA0"/>
    <w:rsid w:val="00245594"/>
    <w:rsid w:val="0024712E"/>
    <w:rsid w:val="00254661"/>
    <w:rsid w:val="00254C00"/>
    <w:rsid w:val="0027529B"/>
    <w:rsid w:val="00287F6F"/>
    <w:rsid w:val="002931DC"/>
    <w:rsid w:val="00297EE2"/>
    <w:rsid w:val="002A5D89"/>
    <w:rsid w:val="002B0C08"/>
    <w:rsid w:val="002B1008"/>
    <w:rsid w:val="002B6116"/>
    <w:rsid w:val="002B7B26"/>
    <w:rsid w:val="002C5C57"/>
    <w:rsid w:val="002D080A"/>
    <w:rsid w:val="002D0AC4"/>
    <w:rsid w:val="002D324F"/>
    <w:rsid w:val="002D62D6"/>
    <w:rsid w:val="002E3F3C"/>
    <w:rsid w:val="002F2598"/>
    <w:rsid w:val="002F54DF"/>
    <w:rsid w:val="00300DF5"/>
    <w:rsid w:val="0030289E"/>
    <w:rsid w:val="0030554A"/>
    <w:rsid w:val="00305943"/>
    <w:rsid w:val="0030684D"/>
    <w:rsid w:val="00310C8E"/>
    <w:rsid w:val="00313BF9"/>
    <w:rsid w:val="00314098"/>
    <w:rsid w:val="00323E48"/>
    <w:rsid w:val="00323F99"/>
    <w:rsid w:val="00330FBA"/>
    <w:rsid w:val="00331DAA"/>
    <w:rsid w:val="00336802"/>
    <w:rsid w:val="00342298"/>
    <w:rsid w:val="003449D0"/>
    <w:rsid w:val="0035322A"/>
    <w:rsid w:val="0035485C"/>
    <w:rsid w:val="0036026B"/>
    <w:rsid w:val="00376084"/>
    <w:rsid w:val="00397874"/>
    <w:rsid w:val="003A313A"/>
    <w:rsid w:val="003A499D"/>
    <w:rsid w:val="003B0E95"/>
    <w:rsid w:val="003C159A"/>
    <w:rsid w:val="003C3FEF"/>
    <w:rsid w:val="003D2F08"/>
    <w:rsid w:val="003E6E1C"/>
    <w:rsid w:val="003E6EE1"/>
    <w:rsid w:val="003F051C"/>
    <w:rsid w:val="004031F1"/>
    <w:rsid w:val="004039E4"/>
    <w:rsid w:val="004136AD"/>
    <w:rsid w:val="00414B50"/>
    <w:rsid w:val="00417852"/>
    <w:rsid w:val="00424395"/>
    <w:rsid w:val="0042488F"/>
    <w:rsid w:val="0044242C"/>
    <w:rsid w:val="00442FCF"/>
    <w:rsid w:val="00455551"/>
    <w:rsid w:val="00461670"/>
    <w:rsid w:val="0046228C"/>
    <w:rsid w:val="004664D2"/>
    <w:rsid w:val="004702F9"/>
    <w:rsid w:val="004764AF"/>
    <w:rsid w:val="00480DC3"/>
    <w:rsid w:val="00484531"/>
    <w:rsid w:val="004943B8"/>
    <w:rsid w:val="00494F61"/>
    <w:rsid w:val="004A56BE"/>
    <w:rsid w:val="004B11A5"/>
    <w:rsid w:val="004B4946"/>
    <w:rsid w:val="004C00C8"/>
    <w:rsid w:val="004C2525"/>
    <w:rsid w:val="004C3E4B"/>
    <w:rsid w:val="004C5B91"/>
    <w:rsid w:val="004D1B15"/>
    <w:rsid w:val="004D6972"/>
    <w:rsid w:val="004E0795"/>
    <w:rsid w:val="004E2802"/>
    <w:rsid w:val="004E6118"/>
    <w:rsid w:val="004F3992"/>
    <w:rsid w:val="004F3DC7"/>
    <w:rsid w:val="004F5F21"/>
    <w:rsid w:val="00504CC2"/>
    <w:rsid w:val="00504F74"/>
    <w:rsid w:val="0051082A"/>
    <w:rsid w:val="00513606"/>
    <w:rsid w:val="00524DAF"/>
    <w:rsid w:val="0052751B"/>
    <w:rsid w:val="005346F8"/>
    <w:rsid w:val="00536440"/>
    <w:rsid w:val="00537DE1"/>
    <w:rsid w:val="005425AC"/>
    <w:rsid w:val="00543936"/>
    <w:rsid w:val="00543FD5"/>
    <w:rsid w:val="00547CB5"/>
    <w:rsid w:val="00566EC6"/>
    <w:rsid w:val="00571596"/>
    <w:rsid w:val="0057500D"/>
    <w:rsid w:val="00581BCC"/>
    <w:rsid w:val="0058493B"/>
    <w:rsid w:val="00585260"/>
    <w:rsid w:val="00592DE4"/>
    <w:rsid w:val="005955D4"/>
    <w:rsid w:val="00595839"/>
    <w:rsid w:val="005A0671"/>
    <w:rsid w:val="005A2186"/>
    <w:rsid w:val="005C73A2"/>
    <w:rsid w:val="005D0D5A"/>
    <w:rsid w:val="005E1F36"/>
    <w:rsid w:val="005E53A8"/>
    <w:rsid w:val="005F0392"/>
    <w:rsid w:val="005F0795"/>
    <w:rsid w:val="005F5FEB"/>
    <w:rsid w:val="00600F01"/>
    <w:rsid w:val="006034FF"/>
    <w:rsid w:val="00617B5A"/>
    <w:rsid w:val="0062253E"/>
    <w:rsid w:val="00632D45"/>
    <w:rsid w:val="006338F1"/>
    <w:rsid w:val="00637755"/>
    <w:rsid w:val="00644BF0"/>
    <w:rsid w:val="00646333"/>
    <w:rsid w:val="006467A9"/>
    <w:rsid w:val="00651A31"/>
    <w:rsid w:val="00655E08"/>
    <w:rsid w:val="00670E24"/>
    <w:rsid w:val="006808CC"/>
    <w:rsid w:val="006914C6"/>
    <w:rsid w:val="00696942"/>
    <w:rsid w:val="00697952"/>
    <w:rsid w:val="006A05E1"/>
    <w:rsid w:val="006A25F2"/>
    <w:rsid w:val="006A4A25"/>
    <w:rsid w:val="006A6758"/>
    <w:rsid w:val="006A695C"/>
    <w:rsid w:val="006B30D7"/>
    <w:rsid w:val="006C51DF"/>
    <w:rsid w:val="006C71A5"/>
    <w:rsid w:val="006D3A0D"/>
    <w:rsid w:val="006D3C26"/>
    <w:rsid w:val="006D60DB"/>
    <w:rsid w:val="006D6121"/>
    <w:rsid w:val="006E35D9"/>
    <w:rsid w:val="006E3D28"/>
    <w:rsid w:val="006E5F40"/>
    <w:rsid w:val="006F0981"/>
    <w:rsid w:val="00701889"/>
    <w:rsid w:val="00707F25"/>
    <w:rsid w:val="00714700"/>
    <w:rsid w:val="00715F43"/>
    <w:rsid w:val="0071694D"/>
    <w:rsid w:val="00721DF2"/>
    <w:rsid w:val="00723968"/>
    <w:rsid w:val="007352A3"/>
    <w:rsid w:val="0074005F"/>
    <w:rsid w:val="00745401"/>
    <w:rsid w:val="007457BD"/>
    <w:rsid w:val="0075584A"/>
    <w:rsid w:val="00756C43"/>
    <w:rsid w:val="00760EDF"/>
    <w:rsid w:val="00761F7E"/>
    <w:rsid w:val="00783284"/>
    <w:rsid w:val="007A105F"/>
    <w:rsid w:val="007A7BB1"/>
    <w:rsid w:val="007B1E01"/>
    <w:rsid w:val="007B2771"/>
    <w:rsid w:val="007B3030"/>
    <w:rsid w:val="007D3006"/>
    <w:rsid w:val="007D519F"/>
    <w:rsid w:val="007D5946"/>
    <w:rsid w:val="007E6442"/>
    <w:rsid w:val="007F74F1"/>
    <w:rsid w:val="007F7FB3"/>
    <w:rsid w:val="00801577"/>
    <w:rsid w:val="00802565"/>
    <w:rsid w:val="00807C0D"/>
    <w:rsid w:val="00822DFC"/>
    <w:rsid w:val="0083270E"/>
    <w:rsid w:val="00836606"/>
    <w:rsid w:val="00840518"/>
    <w:rsid w:val="00852007"/>
    <w:rsid w:val="0085246E"/>
    <w:rsid w:val="0086531C"/>
    <w:rsid w:val="00867CCC"/>
    <w:rsid w:val="00872208"/>
    <w:rsid w:val="0087609C"/>
    <w:rsid w:val="0089462F"/>
    <w:rsid w:val="008A01F1"/>
    <w:rsid w:val="008A65BC"/>
    <w:rsid w:val="008B0505"/>
    <w:rsid w:val="008B0FC5"/>
    <w:rsid w:val="008B2B24"/>
    <w:rsid w:val="008B4D51"/>
    <w:rsid w:val="008C4775"/>
    <w:rsid w:val="008D2BF2"/>
    <w:rsid w:val="008D36A2"/>
    <w:rsid w:val="008D48AD"/>
    <w:rsid w:val="008F3967"/>
    <w:rsid w:val="00910E8A"/>
    <w:rsid w:val="00910F92"/>
    <w:rsid w:val="009158CF"/>
    <w:rsid w:val="00917788"/>
    <w:rsid w:val="00917ECB"/>
    <w:rsid w:val="00917ED5"/>
    <w:rsid w:val="0093464E"/>
    <w:rsid w:val="009406D7"/>
    <w:rsid w:val="00944014"/>
    <w:rsid w:val="00975D77"/>
    <w:rsid w:val="009804AA"/>
    <w:rsid w:val="00981279"/>
    <w:rsid w:val="00981624"/>
    <w:rsid w:val="00984E0E"/>
    <w:rsid w:val="0099252E"/>
    <w:rsid w:val="009A0549"/>
    <w:rsid w:val="009A2C46"/>
    <w:rsid w:val="009A439F"/>
    <w:rsid w:val="009D110D"/>
    <w:rsid w:val="009D400D"/>
    <w:rsid w:val="009E21C7"/>
    <w:rsid w:val="009E7EF2"/>
    <w:rsid w:val="009F5106"/>
    <w:rsid w:val="009F6DFD"/>
    <w:rsid w:val="009F73AA"/>
    <w:rsid w:val="00A06FD0"/>
    <w:rsid w:val="00A07E7D"/>
    <w:rsid w:val="00A11CFC"/>
    <w:rsid w:val="00A11D52"/>
    <w:rsid w:val="00A146ED"/>
    <w:rsid w:val="00A147A8"/>
    <w:rsid w:val="00A179EB"/>
    <w:rsid w:val="00A3265A"/>
    <w:rsid w:val="00A32A59"/>
    <w:rsid w:val="00A35B7F"/>
    <w:rsid w:val="00A52F87"/>
    <w:rsid w:val="00A541FC"/>
    <w:rsid w:val="00A60405"/>
    <w:rsid w:val="00A61EBD"/>
    <w:rsid w:val="00A679E8"/>
    <w:rsid w:val="00A82AD2"/>
    <w:rsid w:val="00A87266"/>
    <w:rsid w:val="00A90AC3"/>
    <w:rsid w:val="00A90B89"/>
    <w:rsid w:val="00A91972"/>
    <w:rsid w:val="00AA14DD"/>
    <w:rsid w:val="00AA4621"/>
    <w:rsid w:val="00AB1452"/>
    <w:rsid w:val="00AB4A5E"/>
    <w:rsid w:val="00AC6560"/>
    <w:rsid w:val="00AC7F0D"/>
    <w:rsid w:val="00AD2CCD"/>
    <w:rsid w:val="00AD74A0"/>
    <w:rsid w:val="00AE0CB2"/>
    <w:rsid w:val="00AE483B"/>
    <w:rsid w:val="00AE494A"/>
    <w:rsid w:val="00AE4A5E"/>
    <w:rsid w:val="00AE6A77"/>
    <w:rsid w:val="00AF3AD0"/>
    <w:rsid w:val="00AF7E5D"/>
    <w:rsid w:val="00B020E1"/>
    <w:rsid w:val="00B03249"/>
    <w:rsid w:val="00B03648"/>
    <w:rsid w:val="00B14111"/>
    <w:rsid w:val="00B16BF4"/>
    <w:rsid w:val="00B219EC"/>
    <w:rsid w:val="00B27824"/>
    <w:rsid w:val="00B3037C"/>
    <w:rsid w:val="00B41A66"/>
    <w:rsid w:val="00B6535E"/>
    <w:rsid w:val="00B77E0D"/>
    <w:rsid w:val="00B80087"/>
    <w:rsid w:val="00B834F5"/>
    <w:rsid w:val="00B92101"/>
    <w:rsid w:val="00B924FA"/>
    <w:rsid w:val="00B9377A"/>
    <w:rsid w:val="00B9661F"/>
    <w:rsid w:val="00BA015E"/>
    <w:rsid w:val="00BA0A5E"/>
    <w:rsid w:val="00BA21A5"/>
    <w:rsid w:val="00BA5C16"/>
    <w:rsid w:val="00BB0B5B"/>
    <w:rsid w:val="00BB4E3A"/>
    <w:rsid w:val="00BB5DD2"/>
    <w:rsid w:val="00BC1D18"/>
    <w:rsid w:val="00BC456D"/>
    <w:rsid w:val="00BC55E2"/>
    <w:rsid w:val="00BC668C"/>
    <w:rsid w:val="00BD5A13"/>
    <w:rsid w:val="00BE3BCD"/>
    <w:rsid w:val="00BE49B7"/>
    <w:rsid w:val="00BE54C5"/>
    <w:rsid w:val="00BF089E"/>
    <w:rsid w:val="00BF523C"/>
    <w:rsid w:val="00BF7AE1"/>
    <w:rsid w:val="00C00D6E"/>
    <w:rsid w:val="00C02A44"/>
    <w:rsid w:val="00C02B9F"/>
    <w:rsid w:val="00C033B4"/>
    <w:rsid w:val="00C03CCB"/>
    <w:rsid w:val="00C1160B"/>
    <w:rsid w:val="00C15555"/>
    <w:rsid w:val="00C15613"/>
    <w:rsid w:val="00C213E9"/>
    <w:rsid w:val="00C21495"/>
    <w:rsid w:val="00C21C56"/>
    <w:rsid w:val="00C2605C"/>
    <w:rsid w:val="00C265E0"/>
    <w:rsid w:val="00C3136B"/>
    <w:rsid w:val="00C511F2"/>
    <w:rsid w:val="00C56F3A"/>
    <w:rsid w:val="00C60BFE"/>
    <w:rsid w:val="00C6745C"/>
    <w:rsid w:val="00C723A3"/>
    <w:rsid w:val="00C74E1A"/>
    <w:rsid w:val="00C843EB"/>
    <w:rsid w:val="00C94186"/>
    <w:rsid w:val="00CA5128"/>
    <w:rsid w:val="00CA55A6"/>
    <w:rsid w:val="00CB126B"/>
    <w:rsid w:val="00CB4036"/>
    <w:rsid w:val="00CB6D5C"/>
    <w:rsid w:val="00CB75AF"/>
    <w:rsid w:val="00CD6A21"/>
    <w:rsid w:val="00CE4257"/>
    <w:rsid w:val="00CF065D"/>
    <w:rsid w:val="00D03A47"/>
    <w:rsid w:val="00D10917"/>
    <w:rsid w:val="00D11F71"/>
    <w:rsid w:val="00D16744"/>
    <w:rsid w:val="00D173C1"/>
    <w:rsid w:val="00D21E66"/>
    <w:rsid w:val="00D31584"/>
    <w:rsid w:val="00D32E04"/>
    <w:rsid w:val="00D3327B"/>
    <w:rsid w:val="00D418CB"/>
    <w:rsid w:val="00D45FD5"/>
    <w:rsid w:val="00D55583"/>
    <w:rsid w:val="00D61280"/>
    <w:rsid w:val="00D705DA"/>
    <w:rsid w:val="00D70F2B"/>
    <w:rsid w:val="00D72893"/>
    <w:rsid w:val="00D760DE"/>
    <w:rsid w:val="00D92DB6"/>
    <w:rsid w:val="00DB049E"/>
    <w:rsid w:val="00DC1DA8"/>
    <w:rsid w:val="00DF02C7"/>
    <w:rsid w:val="00DF2046"/>
    <w:rsid w:val="00E0036F"/>
    <w:rsid w:val="00E00DB4"/>
    <w:rsid w:val="00E01D1A"/>
    <w:rsid w:val="00E05295"/>
    <w:rsid w:val="00E102D4"/>
    <w:rsid w:val="00E16B26"/>
    <w:rsid w:val="00E17490"/>
    <w:rsid w:val="00E257E9"/>
    <w:rsid w:val="00E30256"/>
    <w:rsid w:val="00E335C6"/>
    <w:rsid w:val="00E44887"/>
    <w:rsid w:val="00E47F12"/>
    <w:rsid w:val="00E67C48"/>
    <w:rsid w:val="00E74245"/>
    <w:rsid w:val="00E82C58"/>
    <w:rsid w:val="00E82E0A"/>
    <w:rsid w:val="00E82FD6"/>
    <w:rsid w:val="00E83CA4"/>
    <w:rsid w:val="00E86179"/>
    <w:rsid w:val="00E873CB"/>
    <w:rsid w:val="00E8784E"/>
    <w:rsid w:val="00E92DD6"/>
    <w:rsid w:val="00EA50B7"/>
    <w:rsid w:val="00EA5FB6"/>
    <w:rsid w:val="00EA71BC"/>
    <w:rsid w:val="00EB2BB5"/>
    <w:rsid w:val="00EB4CD5"/>
    <w:rsid w:val="00EB716F"/>
    <w:rsid w:val="00EC6B62"/>
    <w:rsid w:val="00EC7428"/>
    <w:rsid w:val="00ED3B39"/>
    <w:rsid w:val="00ED5D56"/>
    <w:rsid w:val="00EE69A6"/>
    <w:rsid w:val="00EF117A"/>
    <w:rsid w:val="00EF1A16"/>
    <w:rsid w:val="00EF7A90"/>
    <w:rsid w:val="00F006C8"/>
    <w:rsid w:val="00F026E8"/>
    <w:rsid w:val="00F0615C"/>
    <w:rsid w:val="00F12087"/>
    <w:rsid w:val="00F12AAF"/>
    <w:rsid w:val="00F2231E"/>
    <w:rsid w:val="00F25E03"/>
    <w:rsid w:val="00F27BC5"/>
    <w:rsid w:val="00F32307"/>
    <w:rsid w:val="00F425F2"/>
    <w:rsid w:val="00F4466F"/>
    <w:rsid w:val="00F50406"/>
    <w:rsid w:val="00F66AE9"/>
    <w:rsid w:val="00F73F67"/>
    <w:rsid w:val="00F74EB7"/>
    <w:rsid w:val="00F76DE4"/>
    <w:rsid w:val="00F8199B"/>
    <w:rsid w:val="00F83443"/>
    <w:rsid w:val="00F835CF"/>
    <w:rsid w:val="00F838F6"/>
    <w:rsid w:val="00F8581A"/>
    <w:rsid w:val="00F902B8"/>
    <w:rsid w:val="00F97D90"/>
    <w:rsid w:val="00FA1172"/>
    <w:rsid w:val="00FB2718"/>
    <w:rsid w:val="00FB443D"/>
    <w:rsid w:val="00FB562B"/>
    <w:rsid w:val="00FC2BCD"/>
    <w:rsid w:val="00FD2184"/>
    <w:rsid w:val="00FF597B"/>
    <w:rsid w:val="04056215"/>
    <w:rsid w:val="08823286"/>
    <w:rsid w:val="0B7D3567"/>
    <w:rsid w:val="0FE34728"/>
    <w:rsid w:val="108620D2"/>
    <w:rsid w:val="12382CD4"/>
    <w:rsid w:val="141D50E4"/>
    <w:rsid w:val="14807061"/>
    <w:rsid w:val="166C4B25"/>
    <w:rsid w:val="17E52A6B"/>
    <w:rsid w:val="194D04AB"/>
    <w:rsid w:val="1C0E7661"/>
    <w:rsid w:val="1CE409AF"/>
    <w:rsid w:val="1D254893"/>
    <w:rsid w:val="1DA40319"/>
    <w:rsid w:val="26D12324"/>
    <w:rsid w:val="274F65F7"/>
    <w:rsid w:val="290343AE"/>
    <w:rsid w:val="2E1466F4"/>
    <w:rsid w:val="31646A0A"/>
    <w:rsid w:val="342024F7"/>
    <w:rsid w:val="34701511"/>
    <w:rsid w:val="3E2C7F2A"/>
    <w:rsid w:val="3F6322E6"/>
    <w:rsid w:val="428775BB"/>
    <w:rsid w:val="434E5888"/>
    <w:rsid w:val="45C51147"/>
    <w:rsid w:val="45D00E9E"/>
    <w:rsid w:val="479D56B7"/>
    <w:rsid w:val="49351694"/>
    <w:rsid w:val="4AE604B0"/>
    <w:rsid w:val="50007063"/>
    <w:rsid w:val="505137E6"/>
    <w:rsid w:val="51466C0D"/>
    <w:rsid w:val="51E32194"/>
    <w:rsid w:val="5223306E"/>
    <w:rsid w:val="53EF3D5E"/>
    <w:rsid w:val="56CC377C"/>
    <w:rsid w:val="5B4A1BBF"/>
    <w:rsid w:val="62BF012C"/>
    <w:rsid w:val="63B8752E"/>
    <w:rsid w:val="65DC55FA"/>
    <w:rsid w:val="660F3066"/>
    <w:rsid w:val="66975288"/>
    <w:rsid w:val="687B29B6"/>
    <w:rsid w:val="69FD5462"/>
    <w:rsid w:val="6B0F1107"/>
    <w:rsid w:val="6B2D0DB0"/>
    <w:rsid w:val="6B976CE8"/>
    <w:rsid w:val="70337CBA"/>
    <w:rsid w:val="70A96F2A"/>
    <w:rsid w:val="735110FE"/>
    <w:rsid w:val="78153B31"/>
    <w:rsid w:val="7C130703"/>
    <w:rsid w:val="7F024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heme="minorBidi"/>
      <w:kern w:val="2"/>
      <w:sz w:val="30"/>
      <w:szCs w:val="22"/>
      <w:lang w:val="en-US" w:eastAsia="zh-CN" w:bidi="ar-SA"/>
    </w:rPr>
  </w:style>
  <w:style w:type="paragraph" w:styleId="4">
    <w:name w:val="heading 1"/>
    <w:basedOn w:val="1"/>
    <w:next w:val="1"/>
    <w:link w:val="28"/>
    <w:qFormat/>
    <w:uiPriority w:val="9"/>
    <w:pPr>
      <w:keepNext/>
      <w:keepLines/>
      <w:spacing w:before="100" w:beforeLines="100" w:after="100" w:afterLines="100" w:line="480" w:lineRule="auto"/>
      <w:jc w:val="left"/>
      <w:outlineLvl w:val="0"/>
    </w:pPr>
    <w:rPr>
      <w:rFonts w:eastAsia="黑体"/>
      <w:bCs/>
      <w:kern w:val="44"/>
      <w:sz w:val="32"/>
      <w:szCs w:val="44"/>
    </w:rPr>
  </w:style>
  <w:style w:type="paragraph" w:styleId="5">
    <w:name w:val="heading 2"/>
    <w:basedOn w:val="1"/>
    <w:next w:val="1"/>
    <w:link w:val="29"/>
    <w:unhideWhenUsed/>
    <w:qFormat/>
    <w:uiPriority w:val="9"/>
    <w:pPr>
      <w:keepNext/>
      <w:keepLines/>
      <w:spacing w:line="415" w:lineRule="auto"/>
      <w:jc w:val="left"/>
      <w:outlineLvl w:val="1"/>
    </w:pPr>
    <w:rPr>
      <w:rFonts w:eastAsia="楷体" w:asciiTheme="majorHAnsi" w:hAnsiTheme="majorHAnsi" w:cstheme="majorBidi"/>
      <w:b/>
      <w:bCs/>
      <w:sz w:val="32"/>
      <w:szCs w:val="32"/>
    </w:rPr>
  </w:style>
  <w:style w:type="paragraph" w:styleId="6">
    <w:name w:val="heading 3"/>
    <w:basedOn w:val="1"/>
    <w:next w:val="1"/>
    <w:link w:val="30"/>
    <w:unhideWhenUsed/>
    <w:qFormat/>
    <w:uiPriority w:val="9"/>
    <w:pPr>
      <w:keepNext/>
      <w:keepLines/>
      <w:jc w:val="left"/>
      <w:outlineLvl w:val="2"/>
    </w:pPr>
    <w:rPr>
      <w:b/>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7">
    <w:name w:val="toc 7"/>
    <w:basedOn w:val="1"/>
    <w:next w:val="1"/>
    <w:unhideWhenUsed/>
    <w:qFormat/>
    <w:uiPriority w:val="39"/>
    <w:pPr>
      <w:ind w:left="2520" w:leftChars="1200"/>
    </w:pPr>
  </w:style>
  <w:style w:type="paragraph" w:styleId="8">
    <w:name w:val="Document Map"/>
    <w:basedOn w:val="1"/>
    <w:link w:val="35"/>
    <w:unhideWhenUsed/>
    <w:qFormat/>
    <w:uiPriority w:val="99"/>
    <w:rPr>
      <w:rFonts w:ascii="宋体" w:eastAsia="宋体"/>
      <w:sz w:val="18"/>
      <w:szCs w:val="18"/>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tabs>
        <w:tab w:val="right" w:leader="dot" w:pos="8296"/>
      </w:tabs>
      <w:spacing w:line="288" w:lineRule="auto"/>
      <w:ind w:left="400" w:leftChars="400"/>
      <w:jc w:val="left"/>
    </w:pPr>
    <w:rPr>
      <w:sz w:val="28"/>
    </w:rPr>
  </w:style>
  <w:style w:type="paragraph" w:styleId="11">
    <w:name w:val="toc 8"/>
    <w:basedOn w:val="1"/>
    <w:next w:val="1"/>
    <w:unhideWhenUsed/>
    <w:qFormat/>
    <w:uiPriority w:val="39"/>
    <w:pPr>
      <w:ind w:left="2940" w:leftChars="1400"/>
    </w:pPr>
  </w:style>
  <w:style w:type="paragraph" w:styleId="12">
    <w:name w:val="Date"/>
    <w:basedOn w:val="1"/>
    <w:next w:val="1"/>
    <w:link w:val="34"/>
    <w:unhideWhenUsed/>
    <w:qFormat/>
    <w:uiPriority w:val="99"/>
    <w:pPr>
      <w:ind w:left="100" w:leftChars="2500"/>
    </w:pPr>
  </w:style>
  <w:style w:type="paragraph" w:styleId="13">
    <w:name w:val="Balloon Text"/>
    <w:basedOn w:val="1"/>
    <w:link w:val="38"/>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spacing w:line="288" w:lineRule="auto"/>
      <w:jc w:val="left"/>
    </w:pPr>
    <w:rPr>
      <w:rFonts w:ascii="楷体" w:hAnsi="楷体" w:eastAsia="黑体" w:cs="Times New Roman"/>
      <w:sz w:val="28"/>
      <w:szCs w:val="28"/>
    </w:rPr>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tabs>
        <w:tab w:val="right" w:leader="dot" w:pos="8296"/>
      </w:tabs>
      <w:spacing w:line="288" w:lineRule="auto"/>
      <w:ind w:left="200" w:leftChars="200"/>
      <w:jc w:val="left"/>
    </w:pPr>
    <w:rPr>
      <w:rFonts w:ascii="仿宋" w:hAnsi="仿宋" w:eastAsia="楷体" w:cs="Times New Roman"/>
      <w:sz w:val="28"/>
      <w:szCs w:val="28"/>
    </w:rPr>
  </w:style>
  <w:style w:type="paragraph" w:styleId="20">
    <w:name w:val="toc 9"/>
    <w:basedOn w:val="1"/>
    <w:next w:val="1"/>
    <w:unhideWhenUsed/>
    <w:qFormat/>
    <w:uiPriority w:val="39"/>
    <w:pPr>
      <w:ind w:left="3360" w:leftChars="16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unhideWhenUsed/>
    <w:qFormat/>
    <w:uiPriority w:val="99"/>
    <w:rPr>
      <w:color w:val="954F72" w:themeColor="followedHyperlink"/>
      <w:u w:val="single"/>
      <w14:textFill>
        <w14:solidFill>
          <w14:schemeClr w14:val="folHlink"/>
        </w14:solidFill>
      </w14:textFill>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customStyle="1" w:styleId="26">
    <w:name w:val="页眉 Char"/>
    <w:basedOn w:val="23"/>
    <w:link w:val="15"/>
    <w:qFormat/>
    <w:uiPriority w:val="99"/>
    <w:rPr>
      <w:sz w:val="18"/>
      <w:szCs w:val="18"/>
    </w:rPr>
  </w:style>
  <w:style w:type="character" w:customStyle="1" w:styleId="27">
    <w:name w:val="页脚 Char"/>
    <w:basedOn w:val="23"/>
    <w:link w:val="14"/>
    <w:qFormat/>
    <w:uiPriority w:val="99"/>
    <w:rPr>
      <w:sz w:val="18"/>
      <w:szCs w:val="18"/>
    </w:rPr>
  </w:style>
  <w:style w:type="character" w:customStyle="1" w:styleId="28">
    <w:name w:val="标题 1 Char"/>
    <w:basedOn w:val="23"/>
    <w:link w:val="4"/>
    <w:qFormat/>
    <w:uiPriority w:val="9"/>
    <w:rPr>
      <w:rFonts w:eastAsia="黑体" w:cstheme="minorBidi"/>
      <w:bCs/>
      <w:kern w:val="44"/>
      <w:sz w:val="32"/>
      <w:szCs w:val="44"/>
    </w:rPr>
  </w:style>
  <w:style w:type="character" w:customStyle="1" w:styleId="29">
    <w:name w:val="标题 2 Char"/>
    <w:basedOn w:val="23"/>
    <w:link w:val="5"/>
    <w:qFormat/>
    <w:uiPriority w:val="9"/>
    <w:rPr>
      <w:rFonts w:eastAsia="楷体" w:asciiTheme="majorHAnsi" w:hAnsiTheme="majorHAnsi" w:cstheme="majorBidi"/>
      <w:b/>
      <w:bCs/>
      <w:kern w:val="2"/>
      <w:sz w:val="32"/>
      <w:szCs w:val="32"/>
    </w:rPr>
  </w:style>
  <w:style w:type="character" w:customStyle="1" w:styleId="30">
    <w:name w:val="标题 3 Char"/>
    <w:basedOn w:val="23"/>
    <w:link w:val="6"/>
    <w:qFormat/>
    <w:uiPriority w:val="9"/>
    <w:rPr>
      <w:rFonts w:ascii="Times New Roman" w:hAnsi="Times New Roman" w:eastAsia="仿宋"/>
      <w:b/>
      <w:bCs/>
      <w:sz w:val="30"/>
      <w:szCs w:val="32"/>
    </w:rPr>
  </w:style>
  <w:style w:type="table" w:customStyle="1" w:styleId="31">
    <w:name w:val="网格型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网格型2"/>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3"/>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日期 Char"/>
    <w:basedOn w:val="23"/>
    <w:link w:val="12"/>
    <w:semiHidden/>
    <w:qFormat/>
    <w:uiPriority w:val="99"/>
  </w:style>
  <w:style w:type="character" w:customStyle="1" w:styleId="35">
    <w:name w:val="文档结构图 Char"/>
    <w:basedOn w:val="23"/>
    <w:link w:val="8"/>
    <w:semiHidden/>
    <w:qFormat/>
    <w:uiPriority w:val="99"/>
    <w:rPr>
      <w:rFonts w:ascii="宋体" w:eastAsia="宋体"/>
      <w:sz w:val="18"/>
      <w:szCs w:val="18"/>
    </w:rPr>
  </w:style>
  <w:style w:type="paragraph" w:customStyle="1" w:styleId="36">
    <w:name w:val="TOC 标题1"/>
    <w:basedOn w:val="4"/>
    <w:next w:val="1"/>
    <w:unhideWhenUsed/>
    <w:qFormat/>
    <w:uiPriority w:val="39"/>
    <w:pPr>
      <w:widowControl/>
      <w:spacing w:before="240" w:line="259" w:lineRule="auto"/>
      <w:outlineLvl w:val="9"/>
    </w:pPr>
    <w:rPr>
      <w:rFonts w:asciiTheme="majorHAnsi" w:hAnsiTheme="majorHAnsi" w:eastAsiaTheme="majorEastAsia" w:cstheme="majorBidi"/>
      <w:b/>
      <w:bCs w:val="0"/>
      <w:color w:val="2E75B6" w:themeColor="accent1" w:themeShade="BF"/>
      <w:kern w:val="0"/>
      <w:szCs w:val="32"/>
    </w:rPr>
  </w:style>
  <w:style w:type="character" w:customStyle="1" w:styleId="37">
    <w:name w:val="Unresolved Mention"/>
    <w:basedOn w:val="23"/>
    <w:unhideWhenUsed/>
    <w:qFormat/>
    <w:uiPriority w:val="99"/>
    <w:rPr>
      <w:color w:val="605E5C"/>
      <w:shd w:val="clear" w:color="auto" w:fill="E1DFDD"/>
    </w:rPr>
  </w:style>
  <w:style w:type="character" w:customStyle="1" w:styleId="38">
    <w:name w:val="批注框文本 Char"/>
    <w:basedOn w:val="23"/>
    <w:link w:val="13"/>
    <w:semiHidden/>
    <w:qFormat/>
    <w:uiPriority w:val="99"/>
    <w:rPr>
      <w:sz w:val="18"/>
      <w:szCs w:val="18"/>
    </w:rPr>
  </w:style>
  <w:style w:type="table" w:customStyle="1" w:styleId="39">
    <w:name w:val="网格型4"/>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网格型2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网格型3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32"/>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网格型33"/>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
    <w:name w:val="网格型34"/>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
    <w:name w:val="网格型35"/>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
    <w:name w:val="网格型36"/>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
    <w:name w:val="列出段落1"/>
    <w:basedOn w:val="1"/>
    <w:qFormat/>
    <w:uiPriority w:val="34"/>
    <w:pPr>
      <w:ind w:firstLine="420"/>
    </w:pPr>
  </w:style>
  <w:style w:type="paragraph" w:customStyle="1" w:styleId="48">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49">
    <w:name w:val="网格型4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21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31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34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32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33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网格型35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361"/>
    <w:basedOn w:val="21"/>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未处理的提及1"/>
    <w:basedOn w:val="23"/>
    <w:unhideWhenUsed/>
    <w:qFormat/>
    <w:uiPriority w:val="99"/>
    <w:rPr>
      <w:color w:val="605E5C"/>
      <w:shd w:val="clear" w:color="auto" w:fill="E1DFDD"/>
    </w:rPr>
  </w:style>
  <w:style w:type="paragraph" w:customStyle="1" w:styleId="58">
    <w:name w:val="TOC 标题2"/>
    <w:basedOn w:val="4"/>
    <w:next w:val="1"/>
    <w:unhideWhenUsed/>
    <w:qFormat/>
    <w:uiPriority w:val="39"/>
    <w:pPr>
      <w:widowControl/>
      <w:spacing w:before="240" w:beforeLines="0" w:after="0" w:afterLines="0" w:line="259" w:lineRule="auto"/>
      <w:ind w:firstLine="0" w:firstLineChars="0"/>
      <w:outlineLvl w:val="9"/>
    </w:pPr>
    <w:rPr>
      <w:rFonts w:asciiTheme="majorHAnsi" w:hAnsiTheme="majorHAnsi" w:eastAsiaTheme="majorEastAsia" w:cstheme="majorBidi"/>
      <w:bCs w:val="0"/>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49486-F6E8-4106-AB35-A8418B241BC1}">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96</Pages>
  <Words>9434</Words>
  <Characters>53778</Characters>
  <Lines>448</Lines>
  <Paragraphs>126</Paragraphs>
  <TotalTime>2</TotalTime>
  <ScaleCrop>false</ScaleCrop>
  <LinksUpToDate>false</LinksUpToDate>
  <CharactersWithSpaces>63086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2021-10-15T02:06:00Z</dcterms:created>
  <dc:creator>user</dc:creator>
  <cp:lastModifiedBy>Administrator</cp:lastModifiedBy>
  <cp:lastPrinted>2020-12-08T10:39:00Z</cp:lastPrinted>
  <dcterms:modified xsi:type="dcterms:W3CDTF">2021-11-16T06:13:44Z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3514D6E1A3254F8190144C6D4A8965E9</vt:lpwstr>
  </property>
</Properties>
</file>