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关于征求《鄂州市城市大脑总体规划纲要</w:t>
      </w:r>
    </w:p>
    <w:p>
      <w:pPr>
        <w:adjustRightInd w:val="0"/>
        <w:snapToGrid w:val="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（2020-2022年）》的公告</w:t>
      </w:r>
    </w:p>
    <w:p>
      <w:pPr>
        <w:adjustRightInd w:val="0"/>
        <w:snapToGrid w:val="0"/>
        <w:jc w:val="center"/>
        <w:rPr>
          <w:rFonts w:hint="eastAsia"/>
          <w:sz w:val="44"/>
          <w:szCs w:val="44"/>
          <w:lang w:eastAsia="zh-C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为充分听取各方面的意见，切实做好《</w:t>
      </w:r>
      <w:r>
        <w:rPr>
          <w:rFonts w:hint="eastAsia" w:ascii="仿宋" w:hAnsi="仿宋" w:eastAsia="仿宋" w:cs="仿宋"/>
          <w:sz w:val="32"/>
          <w:szCs w:val="32"/>
          <w:lang w:eastAsia="zh-CN"/>
        </w:rPr>
        <w:t>鄂州市城市大脑总体规划纲要（2020-2022年）</w:t>
      </w:r>
      <w:r>
        <w:rPr>
          <w:rFonts w:hint="eastAsia" w:ascii="仿宋" w:hAnsi="仿宋" w:eastAsia="仿宋" w:cs="仿宋"/>
          <w:sz w:val="32"/>
          <w:szCs w:val="32"/>
        </w:rPr>
        <w:t>》编制工作，现公布《</w:t>
      </w:r>
      <w:r>
        <w:rPr>
          <w:rFonts w:hint="eastAsia" w:ascii="仿宋" w:hAnsi="仿宋" w:eastAsia="仿宋" w:cs="仿宋"/>
          <w:sz w:val="32"/>
          <w:szCs w:val="32"/>
          <w:lang w:eastAsia="zh-CN"/>
        </w:rPr>
        <w:t>鄂州市城市大脑总体规划纲要（2020-2022年）</w:t>
      </w:r>
      <w:r>
        <w:rPr>
          <w:rFonts w:hint="eastAsia" w:ascii="仿宋" w:hAnsi="仿宋" w:eastAsia="仿宋" w:cs="仿宋"/>
          <w:sz w:val="32"/>
          <w:szCs w:val="32"/>
        </w:rPr>
        <w:t>》</w:t>
      </w:r>
      <w:r>
        <w:rPr>
          <w:rFonts w:hint="eastAsia" w:ascii="仿宋" w:hAnsi="仿宋" w:eastAsia="仿宋" w:cs="仿宋"/>
          <w:sz w:val="32"/>
          <w:szCs w:val="32"/>
          <w:lang w:eastAsia="zh-CN"/>
        </w:rPr>
        <w:t>（征求意见稿）</w:t>
      </w:r>
      <w:r>
        <w:rPr>
          <w:rFonts w:hint="eastAsia" w:ascii="仿宋" w:hAnsi="仿宋" w:eastAsia="仿宋" w:cs="仿宋"/>
          <w:sz w:val="32"/>
          <w:szCs w:val="32"/>
        </w:rPr>
        <w:t>，公开征求社会各界的意见，欢迎各界人士通过本网站、发送电子邮件或信函方式提出修改意见和建议。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suppressLineNumbers w:val="0"/>
        <w:kinsoku/>
        <w:wordWrap/>
        <w:overflowPunct/>
        <w:topLinePunct w:val="0"/>
        <w:autoSpaceDE/>
        <w:autoSpaceDN/>
        <w:bidi w:val="0"/>
        <w:spacing w:line="60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公开征求意见起止时间：</w:t>
      </w:r>
    </w:p>
    <w:p>
      <w:pPr>
        <w:pStyle w:val="3"/>
        <w:keepNext w:val="0"/>
        <w:keepLines w:val="0"/>
        <w:pageBreakBefore w:val="0"/>
        <w:widowControl/>
        <w:suppressLineNumbers w:val="0"/>
        <w:kinsoku/>
        <w:wordWrap/>
        <w:overflowPunct/>
        <w:topLinePunct w:val="0"/>
        <w:autoSpaceDE/>
        <w:autoSpaceDN/>
        <w:bidi w:val="0"/>
        <w:spacing w:line="60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2020年11月12日-2020年12月11日</w:t>
      </w:r>
    </w:p>
    <w:p>
      <w:pPr>
        <w:pStyle w:val="3"/>
        <w:keepNext w:val="0"/>
        <w:keepLines w:val="0"/>
        <w:pageBreakBefore w:val="0"/>
        <w:widowControl/>
        <w:suppressLineNumbers w:val="0"/>
        <w:kinsoku/>
        <w:wordWrap/>
        <w:overflowPunct/>
        <w:topLinePunct w:val="0"/>
        <w:autoSpaceDE/>
        <w:autoSpaceDN/>
        <w:bidi w:val="0"/>
        <w:spacing w:line="60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电子邮件：</w:t>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HYPERLINK "mailto:510338283@qq.com"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510338283@qq.com</w:t>
      </w:r>
      <w:r>
        <w:rPr>
          <w:rFonts w:hint="eastAsia" w:ascii="仿宋" w:hAnsi="仿宋" w:eastAsia="仿宋" w:cs="仿宋"/>
          <w:color w:val="auto"/>
          <w:kern w:val="2"/>
          <w:sz w:val="32"/>
          <w:szCs w:val="32"/>
          <w:lang w:val="en-US" w:eastAsia="zh-CN" w:bidi="ar-SA"/>
        </w:rPr>
        <w:fldChar w:fldCharType="end"/>
      </w:r>
    </w:p>
    <w:p>
      <w:pPr>
        <w:pStyle w:val="3"/>
        <w:keepNext w:val="0"/>
        <w:keepLines w:val="0"/>
        <w:pageBreakBefore w:val="0"/>
        <w:widowControl/>
        <w:suppressLineNumbers w:val="0"/>
        <w:kinsoku/>
        <w:wordWrap/>
        <w:overflowPunct/>
        <w:topLinePunct w:val="0"/>
        <w:autoSpaceDE/>
        <w:autoSpaceDN/>
        <w:bidi w:val="0"/>
        <w:spacing w:line="60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联系电话：027-60858569</w:t>
      </w:r>
    </w:p>
    <w:p>
      <w:pPr>
        <w:pStyle w:val="3"/>
        <w:keepNext w:val="0"/>
        <w:keepLines w:val="0"/>
        <w:pageBreakBefore w:val="0"/>
        <w:widowControl/>
        <w:suppressLineNumbers w:val="0"/>
        <w:kinsoku/>
        <w:wordWrap/>
        <w:overflowPunct/>
        <w:topLinePunct w:val="0"/>
        <w:autoSpaceDE/>
        <w:autoSpaceDN/>
        <w:bidi w:val="0"/>
        <w:spacing w:line="60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通讯地址：湖北省鄂州市古城路129号鄂州市行政审批局</w:t>
      </w:r>
      <w:bookmarkStart w:id="9" w:name="_GoBack"/>
      <w:bookmarkEnd w:id="9"/>
    </w:p>
    <w:p>
      <w:pPr>
        <w:pStyle w:val="3"/>
        <w:keepNext w:val="0"/>
        <w:keepLines w:val="0"/>
        <w:pageBreakBefore w:val="0"/>
        <w:widowControl/>
        <w:suppressLineNumbers w:val="0"/>
        <w:kinsoku/>
        <w:wordWrap/>
        <w:overflowPunct/>
        <w:topLinePunct w:val="0"/>
        <w:autoSpaceDE/>
        <w:autoSpaceDN/>
        <w:bidi w:val="0"/>
        <w:spacing w:line="60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邮编：436000</w:t>
      </w:r>
    </w:p>
    <w:p/>
    <w:p/>
    <w:p/>
    <w:p/>
    <w:p/>
    <w:p/>
    <w:p/>
    <w:p>
      <w:pPr>
        <w:adjustRightInd w:val="0"/>
        <w:snapToGrid w:val="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鄂州市城市大脑总体规划纲要</w:t>
      </w:r>
    </w:p>
    <w:p>
      <w:pPr>
        <w:adjustRightInd w:val="0"/>
        <w:snapToGrid w:val="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（2020-2022年）</w:t>
      </w:r>
    </w:p>
    <w:p>
      <w:pPr>
        <w:adjustRightInd w:val="0"/>
        <w:snapToGrid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（征求意见稿）</w:t>
      </w:r>
    </w:p>
    <w:p>
      <w:pPr>
        <w:outlineLvl w:val="0"/>
        <w:rPr>
          <w:rFonts w:ascii="黑体" w:hAnsi="黑体" w:eastAsia="黑体"/>
          <w:b/>
          <w:sz w:val="32"/>
        </w:rPr>
      </w:pPr>
      <w:bookmarkStart w:id="0" w:name="_Toc54448126"/>
      <w:r>
        <w:rPr>
          <w:rFonts w:hint="eastAsia" w:ascii="黑体" w:hAnsi="黑体" w:eastAsia="黑体"/>
          <w:b/>
          <w:sz w:val="32"/>
        </w:rPr>
        <w:t>一、总体要求</w:t>
      </w:r>
      <w:bookmarkEnd w:id="0"/>
    </w:p>
    <w:p>
      <w:pPr>
        <w:pStyle w:val="6"/>
        <w:spacing w:line="360" w:lineRule="auto"/>
        <w:ind w:firstLine="600" w:firstLineChars="200"/>
        <w:jc w:val="both"/>
        <w:outlineLvl w:val="1"/>
        <w:rPr>
          <w:rFonts w:ascii="黑体" w:hAnsi="黑体" w:eastAsia="黑体" w:cs="宋体"/>
          <w:color w:val="000000" w:themeColor="text1"/>
          <w:sz w:val="30"/>
          <w:szCs w:val="30"/>
          <w14:textFill>
            <w14:solidFill>
              <w14:schemeClr w14:val="tx1"/>
            </w14:solidFill>
          </w14:textFill>
        </w:rPr>
      </w:pPr>
      <w:bookmarkStart w:id="1" w:name="_Toc54448127"/>
      <w:r>
        <w:rPr>
          <w:rFonts w:hint="eastAsia" w:ascii="黑体" w:hAnsi="黑体" w:eastAsia="黑体" w:cs="宋体"/>
          <w:color w:val="000000" w:themeColor="text1"/>
          <w:sz w:val="30"/>
          <w:szCs w:val="30"/>
          <w14:textFill>
            <w14:solidFill>
              <w14:schemeClr w14:val="tx1"/>
            </w14:solidFill>
          </w14:textFill>
        </w:rPr>
        <w:t>（一）指导思想</w:t>
      </w:r>
      <w:bookmarkEnd w:id="1"/>
    </w:p>
    <w:p>
      <w:pPr>
        <w:pStyle w:val="6"/>
        <w:spacing w:line="360" w:lineRule="auto"/>
        <w:ind w:firstLine="600" w:firstLineChars="200"/>
        <w:jc w:val="both"/>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以习近平新时代中国特色社会主义思想为指导，深入贯彻习近平总书记关于网络强国、数字中国重要论述的有关精神</w:t>
      </w:r>
      <w:r>
        <w:rPr>
          <w:rFonts w:ascii="宋体" w:hAnsi="宋体" w:eastAsia="宋体" w:cs="宋体"/>
          <w:color w:val="000000" w:themeColor="text1"/>
          <w:sz w:val="30"/>
          <w:szCs w:val="30"/>
          <w14:textFill>
            <w14:solidFill>
              <w14:schemeClr w14:val="tx1"/>
            </w14:solidFill>
          </w14:textFill>
        </w:rPr>
        <w:t>,积极抢抓党中央支持湖北省经济社会发展一揽子政策机遇，以城市大脑赋能城乡一体化高质量发展为主线，以数字新基建为支撑，以大数据+、智能+、互联网+为手段，推动新一代信息技术与鄂州市数字政府和新型智慧城市改革建设深度融合，推进全市政务服务升级、公共服务普惠、产业转型发展及治理体系和治理能力现代化，助力高水平推进“三城一化”战略落地实施，将鄂州打造成为“鄂东数字经济第一城，全省数字转型排头兵”，进一步提升鄂州市在</w:t>
      </w:r>
      <w:r>
        <w:rPr>
          <w:rFonts w:hint="eastAsia" w:ascii="宋体" w:hAnsi="宋体" w:eastAsia="宋体" w:cs="宋体"/>
          <w:color w:val="000000" w:themeColor="text1"/>
          <w:sz w:val="30"/>
          <w:szCs w:val="30"/>
          <w14:textFill>
            <w14:solidFill>
              <w14:schemeClr w14:val="tx1"/>
            </w14:solidFill>
          </w14:textFill>
        </w:rPr>
        <w:t>有效对接和主动服务长江经济带、中部崛起等国家重大战略中的支点作用。</w:t>
      </w:r>
    </w:p>
    <w:p>
      <w:pPr>
        <w:pStyle w:val="6"/>
        <w:spacing w:line="360" w:lineRule="auto"/>
        <w:ind w:firstLine="600" w:firstLineChars="200"/>
        <w:jc w:val="both"/>
        <w:outlineLvl w:val="1"/>
        <w:rPr>
          <w:rFonts w:ascii="黑体" w:hAnsi="黑体" w:eastAsia="黑体" w:cs="宋体"/>
          <w:color w:val="000000" w:themeColor="text1"/>
          <w:sz w:val="30"/>
          <w:szCs w:val="30"/>
          <w14:textFill>
            <w14:solidFill>
              <w14:schemeClr w14:val="tx1"/>
            </w14:solidFill>
          </w14:textFill>
        </w:rPr>
      </w:pPr>
      <w:bookmarkStart w:id="2" w:name="_Toc54448128"/>
      <w:r>
        <w:rPr>
          <w:rFonts w:hint="eastAsia" w:ascii="黑体" w:hAnsi="黑体" w:eastAsia="黑体" w:cs="宋体"/>
          <w:color w:val="000000" w:themeColor="text1"/>
          <w:sz w:val="30"/>
          <w:szCs w:val="30"/>
          <w14:textFill>
            <w14:solidFill>
              <w14:schemeClr w14:val="tx1"/>
            </w14:solidFill>
          </w14:textFill>
        </w:rPr>
        <w:t>（二）建设原则</w:t>
      </w:r>
      <w:bookmarkEnd w:id="2"/>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统筹规划，协调发展。</w:t>
      </w:r>
      <w:r>
        <w:rPr>
          <w:rFonts w:hint="eastAsia" w:ascii="宋体" w:hAnsi="宋体" w:eastAsia="宋体" w:cs="宋体"/>
          <w:color w:val="000000" w:themeColor="text1"/>
          <w:sz w:val="30"/>
          <w:szCs w:val="30"/>
          <w14:textFill>
            <w14:solidFill>
              <w14:schemeClr w14:val="tx1"/>
            </w14:solidFill>
          </w14:textFill>
        </w:rPr>
        <w:t>坚持整体统筹和分级建设相结合，以数据共融共享、系统互联互通、应用深度整合为重点，加强全市城市大脑建设统筹力度，一体化赋能各区、各部门、各街镇智慧应用发展。各区、各部门在全市城市大脑统一框架下，按照立足当前、兼顾长远、急用先上原则，做好规划衔接，健全我市城市大脑统一应用体系，因地制宜开展分级建设，实现全市“共绘一张图”“同下一盘棋”。</w:t>
      </w:r>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融合创新，引领发展。</w:t>
      </w:r>
      <w:r>
        <w:rPr>
          <w:rFonts w:hint="eastAsia" w:ascii="宋体" w:hAnsi="宋体" w:eastAsia="宋体" w:cs="宋体"/>
          <w:color w:val="000000" w:themeColor="text1"/>
          <w:sz w:val="30"/>
          <w:szCs w:val="30"/>
          <w14:textFill>
            <w14:solidFill>
              <w14:schemeClr w14:val="tx1"/>
            </w14:solidFill>
          </w14:textFill>
        </w:rPr>
        <w:t>围绕城市大脑赋能经济社会高质量发展，聚焦政府改革、城市治理、公共服务、产业发展等重点领域，促进信息化与行业应用深度融合，促进技术创新、业务创新、管理创新和模式创新，推动新技术、新业态、新模式、新经济加快发展，不断拓展城市发展新空间。</w:t>
      </w:r>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bookmarkStart w:id="3" w:name="_Toc445041147"/>
      <w:bookmarkStart w:id="4" w:name="_Toc431367323"/>
      <w:bookmarkStart w:id="5" w:name="_Toc423429916"/>
      <w:bookmarkStart w:id="6" w:name="_Toc531436571"/>
      <w:bookmarkStart w:id="7" w:name="_Toc441505434"/>
      <w:r>
        <w:rPr>
          <w:rFonts w:hint="eastAsia" w:ascii="楷体" w:hAnsi="楷体" w:eastAsia="楷体" w:cs="宋体"/>
          <w:b/>
          <w:color w:val="000000" w:themeColor="text1"/>
          <w:sz w:val="30"/>
          <w:szCs w:val="30"/>
          <w14:textFill>
            <w14:solidFill>
              <w14:schemeClr w14:val="tx1"/>
            </w14:solidFill>
          </w14:textFill>
        </w:rPr>
        <w:t>人民至上，</w:t>
      </w:r>
      <w:bookmarkEnd w:id="3"/>
      <w:bookmarkEnd w:id="4"/>
      <w:bookmarkEnd w:id="5"/>
      <w:bookmarkEnd w:id="6"/>
      <w:bookmarkEnd w:id="7"/>
      <w:r>
        <w:rPr>
          <w:rFonts w:hint="eastAsia" w:ascii="楷体" w:hAnsi="楷体" w:eastAsia="楷体" w:cs="宋体"/>
          <w:b/>
          <w:color w:val="000000" w:themeColor="text1"/>
          <w:sz w:val="30"/>
          <w:szCs w:val="30"/>
          <w14:textFill>
            <w14:solidFill>
              <w14:schemeClr w14:val="tx1"/>
            </w14:solidFill>
          </w14:textFill>
        </w:rPr>
        <w:t>和谐发展。</w:t>
      </w:r>
      <w:r>
        <w:rPr>
          <w:rFonts w:hint="eastAsia" w:ascii="宋体" w:hAnsi="宋体" w:eastAsia="宋体" w:cs="宋体"/>
          <w:color w:val="000000" w:themeColor="text1"/>
          <w:sz w:val="30"/>
          <w:szCs w:val="30"/>
          <w14:textFill>
            <w14:solidFill>
              <w14:schemeClr w14:val="tx1"/>
            </w14:solidFill>
          </w14:textFill>
        </w:rPr>
        <w:t>突出为民、便民、惠民，着力破解企业群众面临的热点难点问题，将人民群众的获得感和幸福感作为城市大脑建设的出发点和落脚点。积极响应新时代广大人民群众日益增长、不断升级的信息服务需求，持续推进城市大脑核心平台及重点应用创新建设，不断缩小不同社会群体之间的“数字差距”，让广大市民普遍、切实分享信息化发展成果。</w:t>
      </w:r>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深度整合，一体发展。</w:t>
      </w:r>
      <w:r>
        <w:rPr>
          <w:rFonts w:hint="eastAsia" w:ascii="宋体" w:hAnsi="宋体" w:eastAsia="宋体" w:cs="宋体"/>
          <w:color w:val="000000" w:themeColor="text1"/>
          <w:sz w:val="30"/>
          <w:szCs w:val="30"/>
          <w14:textFill>
            <w14:solidFill>
              <w14:schemeClr w14:val="tx1"/>
            </w14:solidFill>
          </w14:textFill>
        </w:rPr>
        <w:t>以市民体验为中心，城市大脑为支撑，业务协同为导向，推动智慧城市有关系统广泛对接、深度整合及应用集成，推进服务流程数字化重塑，破除信息孤岛，打造政务服务、创新治理、公共服务、产业服务市级统一平台和全省核心节点，实现线上线下数据同源、服务同源、一体服务，建立协同高效的城市大脑应用体系，形成跨区域、跨部门、跨层级的协同联动工作格局和创新服务工作模式。</w:t>
      </w:r>
    </w:p>
    <w:p>
      <w:pPr>
        <w:pStyle w:val="6"/>
        <w:spacing w:line="360" w:lineRule="auto"/>
        <w:ind w:firstLine="602" w:firstLineChars="200"/>
        <w:jc w:val="both"/>
        <w:rPr>
          <w:rFonts w:ascii="黑体" w:hAnsi="黑体" w:eastAsia="黑体"/>
          <w:b/>
          <w:sz w:val="32"/>
        </w:rPr>
      </w:pPr>
      <w:r>
        <w:rPr>
          <w:rFonts w:hint="eastAsia" w:ascii="楷体" w:hAnsi="楷体" w:eastAsia="楷体" w:cs="宋体"/>
          <w:b/>
          <w:color w:val="000000" w:themeColor="text1"/>
          <w:sz w:val="30"/>
          <w:szCs w:val="30"/>
          <w14:textFill>
            <w14:solidFill>
              <w14:schemeClr w14:val="tx1"/>
            </w14:solidFill>
          </w14:textFill>
        </w:rPr>
        <w:t>安全可控，良性发展。</w:t>
      </w:r>
      <w:r>
        <w:rPr>
          <w:rFonts w:hint="eastAsia" w:ascii="宋体" w:hAnsi="宋体" w:eastAsia="宋体" w:cs="宋体"/>
          <w:color w:val="000000" w:themeColor="text1"/>
          <w:sz w:val="30"/>
          <w:szCs w:val="30"/>
          <w14:textFill>
            <w14:solidFill>
              <w14:schemeClr w14:val="tx1"/>
            </w14:solidFill>
          </w14:textFill>
        </w:rPr>
        <w:t>正确处理信息安全与信息化发展的关系，坚持技术发展与安全发展并重，坚持项目建设与信息安全同步规划、同步建设、同步运维。加强信息安全统筹力度，强化网络和信息安全端到端管理，切实防范、控制和化解信息化进程中可能产生的风险，实现以安全保发展，以发展促安全。</w:t>
      </w:r>
    </w:p>
    <w:p>
      <w:pPr>
        <w:pStyle w:val="6"/>
        <w:spacing w:line="360" w:lineRule="auto"/>
        <w:ind w:firstLine="600" w:firstLineChars="200"/>
        <w:jc w:val="both"/>
        <w:outlineLvl w:val="1"/>
        <w:rPr>
          <w:rFonts w:ascii="黑体" w:hAnsi="黑体" w:eastAsia="黑体" w:cs="宋体"/>
          <w:color w:val="000000" w:themeColor="text1"/>
          <w:sz w:val="30"/>
          <w:szCs w:val="30"/>
          <w14:textFill>
            <w14:solidFill>
              <w14:schemeClr w14:val="tx1"/>
            </w14:solidFill>
          </w14:textFill>
        </w:rPr>
      </w:pPr>
      <w:bookmarkStart w:id="8" w:name="_Toc54448129"/>
      <w:r>
        <w:rPr>
          <w:rFonts w:hint="eastAsia" w:ascii="黑体" w:hAnsi="黑体" w:eastAsia="黑体" w:cs="宋体"/>
          <w:color w:val="000000" w:themeColor="text1"/>
          <w:sz w:val="30"/>
          <w:szCs w:val="30"/>
          <w14:textFill>
            <w14:solidFill>
              <w14:schemeClr w14:val="tx1"/>
            </w14:solidFill>
          </w14:textFill>
        </w:rPr>
        <w:t>（三）建设目标</w:t>
      </w:r>
      <w:bookmarkEnd w:id="8"/>
    </w:p>
    <w:p>
      <w:pPr>
        <w:pStyle w:val="6"/>
        <w:spacing w:line="360" w:lineRule="auto"/>
        <w:ind w:firstLine="600" w:firstLineChars="200"/>
        <w:jc w:val="both"/>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按照全省新型智慧城市和数字政府改革建设的统一部署，依托省级统一基础应用支撑平台及通用能力，聚焦政务服务、城市治理、公共服务、产业转型4大效能综合提升，以新一代数字基础设施、城市大脑核心能力平台、重点行业创新应用等为重点，统筹构建数字湖北鄂州节点及特色应用体系，加快形成智慧鄂州的城市级、数字化、一体化聚能赋能平台，加快构建适应数字智能时代发展需要的现代化治理体系和治理能力，积极打造全省一流的新型智慧城市建设运行模式、新型政务服务模式和营商环境，进一步提升广大市民获得感、幸福感和安全感，推动鄂州市成为长江经济带沿线新型智慧城市创新建设典范和改革创新先行区、转型发展引领区，助力鄂州高水平推进“三城一化”战略加快落地。</w:t>
      </w:r>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——城市体征一屏感知。</w:t>
      </w:r>
      <w:r>
        <w:rPr>
          <w:rFonts w:hint="eastAsia" w:ascii="宋体" w:hAnsi="宋体" w:eastAsia="宋体" w:cs="宋体"/>
          <w:color w:val="000000" w:themeColor="text1"/>
          <w:sz w:val="30"/>
          <w:szCs w:val="30"/>
          <w14:textFill>
            <w14:solidFill>
              <w14:schemeClr w14:val="tx1"/>
            </w14:solidFill>
          </w14:textFill>
        </w:rPr>
        <w:t>完善全市物联感知节点，推进城市治理领域物联网感知数据加快向城市大脑汇聚，实现对城市建成区和农村关键点位运行体征的全时段、全时空即时感知。</w:t>
      </w:r>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——关键要素一脑赋能。</w:t>
      </w:r>
      <w:r>
        <w:rPr>
          <w:rFonts w:hint="eastAsia" w:ascii="宋体" w:hAnsi="宋体" w:eastAsia="宋体" w:cs="宋体"/>
          <w:color w:val="000000" w:themeColor="text1"/>
          <w:sz w:val="30"/>
          <w:szCs w:val="30"/>
          <w14:textFill>
            <w14:solidFill>
              <w14:schemeClr w14:val="tx1"/>
            </w14:solidFill>
          </w14:textFill>
        </w:rPr>
        <w:t>建成城市大脑中枢系统和赋能平台，支撑各区、各部门数字政府、城市治理、惠民服务、产业发展四大关键领域</w:t>
      </w:r>
      <w:r>
        <w:rPr>
          <w:rFonts w:ascii="宋体" w:hAnsi="宋体" w:eastAsia="宋体" w:cs="宋体"/>
          <w:color w:val="000000" w:themeColor="text1"/>
          <w:sz w:val="30"/>
          <w:szCs w:val="30"/>
          <w14:textFill>
            <w14:solidFill>
              <w14:schemeClr w14:val="tx1"/>
            </w14:solidFill>
          </w14:textFill>
        </w:rPr>
        <w:t>50</w:t>
      </w:r>
      <w:r>
        <w:rPr>
          <w:rFonts w:hint="eastAsia" w:ascii="宋体" w:hAnsi="宋体" w:eastAsia="宋体" w:cs="宋体"/>
          <w:color w:val="000000" w:themeColor="text1"/>
          <w:sz w:val="30"/>
          <w:szCs w:val="30"/>
          <w14:textFill>
            <w14:solidFill>
              <w14:schemeClr w14:val="tx1"/>
            </w14:solidFill>
          </w14:textFill>
        </w:rPr>
        <w:t>项以上重点应用。</w:t>
      </w:r>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——政务服务一网通办。</w:t>
      </w:r>
      <w:r>
        <w:rPr>
          <w:rFonts w:hint="eastAsia" w:ascii="宋体" w:hAnsi="宋体" w:eastAsia="宋体" w:cs="宋体"/>
          <w:color w:val="000000" w:themeColor="text1"/>
          <w:sz w:val="30"/>
          <w:szCs w:val="30"/>
          <w14:textFill>
            <w14:solidFill>
              <w14:schemeClr w14:val="tx1"/>
            </w14:solidFill>
          </w14:textFill>
        </w:rPr>
        <w:t>推进各类业务系统与政务服务一体化平台、协同通信平台及城市大脑应接尽接，实现“网上办”事项比例达9</w:t>
      </w:r>
      <w:r>
        <w:rPr>
          <w:rFonts w:ascii="宋体" w:hAnsi="宋体" w:eastAsia="宋体" w:cs="宋体"/>
          <w:color w:val="000000" w:themeColor="text1"/>
          <w:sz w:val="30"/>
          <w:szCs w:val="30"/>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%以上，高频服务事项全程网办比例达到100%。</w:t>
      </w:r>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——社会治理一网统管。</w:t>
      </w:r>
      <w:r>
        <w:rPr>
          <w:rFonts w:hint="eastAsia" w:ascii="宋体" w:hAnsi="宋体" w:eastAsia="宋体" w:cs="宋体"/>
          <w:color w:val="000000" w:themeColor="text1"/>
          <w:sz w:val="30"/>
          <w:szCs w:val="30"/>
          <w14:textFill>
            <w14:solidFill>
              <w14:schemeClr w14:val="tx1"/>
            </w14:solidFill>
          </w14:textFill>
        </w:rPr>
        <w:t>建成城市运行管理平台及运管中心，推进</w:t>
      </w:r>
      <w:r>
        <w:rPr>
          <w:rFonts w:ascii="宋体" w:hAnsi="宋体" w:eastAsia="宋体" w:cs="宋体"/>
          <w:color w:val="000000" w:themeColor="text1"/>
          <w:sz w:val="30"/>
          <w:szCs w:val="30"/>
          <w14:textFill>
            <w14:solidFill>
              <w14:schemeClr w14:val="tx1"/>
            </w14:solidFill>
          </w14:textFill>
        </w:rPr>
        <w:t>80%</w:t>
      </w:r>
      <w:r>
        <w:rPr>
          <w:rFonts w:hint="eastAsia" w:ascii="宋体" w:hAnsi="宋体" w:eastAsia="宋体" w:cs="宋体"/>
          <w:color w:val="000000" w:themeColor="text1"/>
          <w:sz w:val="30"/>
          <w:szCs w:val="30"/>
          <w14:textFill>
            <w14:solidFill>
              <w14:schemeClr w14:val="tx1"/>
            </w14:solidFill>
          </w14:textFill>
        </w:rPr>
        <w:t>以上</w:t>
      </w:r>
      <w:r>
        <w:rPr>
          <w:rFonts w:ascii="宋体" w:hAnsi="宋体" w:eastAsia="宋体" w:cs="宋体"/>
          <w:color w:val="000000" w:themeColor="text1"/>
          <w:sz w:val="30"/>
          <w:szCs w:val="30"/>
          <w14:textFill>
            <w14:solidFill>
              <w14:schemeClr w14:val="tx1"/>
            </w14:solidFill>
          </w14:textFill>
        </w:rPr>
        <w:t>的城市治理智慧应用与城市大脑连通</w:t>
      </w:r>
      <w:r>
        <w:rPr>
          <w:rFonts w:hint="eastAsia" w:ascii="宋体" w:hAnsi="宋体" w:eastAsia="宋体" w:cs="宋体"/>
          <w:color w:val="000000" w:themeColor="text1"/>
          <w:sz w:val="30"/>
          <w:szCs w:val="30"/>
          <w14:textFill>
            <w14:solidFill>
              <w14:schemeClr w14:val="tx1"/>
            </w14:solidFill>
          </w14:textFill>
        </w:rPr>
        <w:t>，实现社会治理各领域数据汇集、系统整合、功能融合，形成跨部门、跨层级、跨区域的一体化治理体系和联勤联动能力。</w:t>
      </w:r>
    </w:p>
    <w:p>
      <w:pPr>
        <w:pStyle w:val="6"/>
        <w:spacing w:line="360" w:lineRule="auto"/>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——公共服务一体智享。</w:t>
      </w:r>
      <w:r>
        <w:rPr>
          <w:rFonts w:hint="eastAsia" w:ascii="宋体" w:hAnsi="宋体" w:eastAsia="宋体" w:cs="宋体"/>
          <w:color w:val="000000" w:themeColor="text1"/>
          <w:sz w:val="30"/>
          <w:szCs w:val="30"/>
          <w14:textFill>
            <w14:solidFill>
              <w14:schemeClr w14:val="tx1"/>
            </w14:solidFill>
          </w14:textFill>
        </w:rPr>
        <w:t>建成线上线下、全程全时的智能化为民服务体系，推进城乡基本公共服务一体均等，在卫生健康、医疗保障、公共教育、文化旅游等领域推动1-2个智慧应用成为全国示范。</w:t>
      </w:r>
    </w:p>
    <w:p>
      <w:pPr>
        <w:pStyle w:val="6"/>
        <w:spacing w:line="360" w:lineRule="auto"/>
        <w:ind w:firstLine="602" w:firstLineChars="200"/>
        <w:jc w:val="both"/>
        <w:rPr>
          <w:rFonts w:hint="eastAsia" w:ascii="宋体" w:hAnsi="宋体" w:eastAsia="宋体" w:cs="宋体"/>
          <w:color w:val="000000" w:themeColor="text1"/>
          <w:sz w:val="30"/>
          <w:szCs w:val="30"/>
          <w14:textFill>
            <w14:solidFill>
              <w14:schemeClr w14:val="tx1"/>
            </w14:solidFill>
          </w14:textFill>
        </w:rPr>
      </w:pPr>
      <w:r>
        <w:rPr>
          <w:rFonts w:hint="eastAsia" w:ascii="楷体" w:hAnsi="楷体" w:eastAsia="楷体" w:cs="宋体"/>
          <w:b/>
          <w:color w:val="000000" w:themeColor="text1"/>
          <w:sz w:val="30"/>
          <w:szCs w:val="30"/>
          <w14:textFill>
            <w14:solidFill>
              <w14:schemeClr w14:val="tx1"/>
            </w14:solidFill>
          </w14:textFill>
        </w:rPr>
        <w:t>——产业升级一体推进。</w:t>
      </w:r>
      <w:r>
        <w:rPr>
          <w:rFonts w:hint="eastAsia" w:ascii="宋体" w:hAnsi="宋体" w:eastAsia="宋体" w:cs="宋体"/>
          <w:color w:val="000000" w:themeColor="text1"/>
          <w:sz w:val="30"/>
          <w:szCs w:val="30"/>
          <w14:textFill>
            <w14:solidFill>
              <w14:schemeClr w14:val="tx1"/>
            </w14:solidFill>
          </w14:textFill>
        </w:rPr>
        <w:t>到2</w:t>
      </w:r>
      <w:r>
        <w:rPr>
          <w:rFonts w:ascii="宋体" w:hAnsi="宋体" w:eastAsia="宋体" w:cs="宋体"/>
          <w:color w:val="000000" w:themeColor="text1"/>
          <w:sz w:val="30"/>
          <w:szCs w:val="30"/>
          <w14:textFill>
            <w14:solidFill>
              <w14:schemeClr w14:val="tx1"/>
            </w14:solidFill>
          </w14:textFill>
        </w:rPr>
        <w:t>022</w:t>
      </w:r>
      <w:r>
        <w:rPr>
          <w:rFonts w:hint="eastAsia" w:ascii="宋体" w:hAnsi="宋体" w:eastAsia="宋体" w:cs="宋体"/>
          <w:color w:val="000000" w:themeColor="text1"/>
          <w:sz w:val="30"/>
          <w:szCs w:val="30"/>
          <w14:textFill>
            <w14:solidFill>
              <w14:schemeClr w14:val="tx1"/>
            </w14:solidFill>
          </w14:textFill>
        </w:rPr>
        <w:t>年，全市产业数字化水平显著提升，5</w:t>
      </w:r>
      <w:r>
        <w:rPr>
          <w:rFonts w:ascii="宋体" w:hAnsi="宋体" w:eastAsia="宋体" w:cs="宋体"/>
          <w:color w:val="000000" w:themeColor="text1"/>
          <w:sz w:val="30"/>
          <w:szCs w:val="30"/>
          <w14:textFill>
            <w14:solidFill>
              <w14:schemeClr w14:val="tx1"/>
            </w14:solidFill>
          </w14:textFill>
        </w:rPr>
        <w:t>G</w:t>
      </w:r>
      <w:r>
        <w:rPr>
          <w:rFonts w:hint="eastAsia" w:ascii="宋体" w:hAnsi="宋体" w:eastAsia="宋体" w:cs="宋体"/>
          <w:color w:val="000000" w:themeColor="text1"/>
          <w:sz w:val="30"/>
          <w:szCs w:val="30"/>
          <w14:textFill>
            <w14:solidFill>
              <w14:schemeClr w14:val="tx1"/>
            </w14:solidFill>
          </w14:textFill>
        </w:rPr>
        <w:t>、人工智能等新技术在智能制造、智慧物流、智慧商贸、数字乡村等领域应用更加充分，智慧钢厂、智慧物流、电子商务成为全国智慧城市创新发展的鄂州样板。</w:t>
      </w:r>
    </w:p>
    <w:p>
      <w:pPr>
        <w:pStyle w:val="6"/>
        <w:spacing w:line="360" w:lineRule="auto"/>
        <w:ind w:firstLine="600" w:firstLineChars="200"/>
        <w:jc w:val="both"/>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w:t>
      </w:r>
    </w:p>
    <w:p>
      <w:pPr>
        <w:pStyle w:val="6"/>
        <w:spacing w:line="360" w:lineRule="auto"/>
        <w:ind w:firstLine="600" w:firstLineChars="200"/>
        <w:jc w:val="both"/>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以下内容较多见附件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A5A2D"/>
    <w:rsid w:val="1E5A5A2D"/>
    <w:rsid w:val="45CC035F"/>
    <w:rsid w:val="5BC0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1"/>
      <w:szCs w:val="21"/>
      <w:lang w:val="en-US" w:eastAsia="zh-CN" w:bidi="ar"/>
    </w:rPr>
  </w:style>
  <w:style w:type="paragraph" w:customStyle="1" w:styleId="6">
    <w:name w:val="石墨文档正文"/>
    <w:qFormat/>
    <w:uiPriority w:val="0"/>
    <w:rPr>
      <w:rFonts w:ascii="微软雅黑" w:hAnsi="微软雅黑" w:eastAsia="微软雅黑" w:cs="微软雅黑"/>
      <w:kern w:val="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2020-11-12T07:01:00Z</dcterms:created>
  <dc:creator>Hzreal</dc:creator>
  <cp:lastModifiedBy>Hzreal</cp:lastModifiedBy>
  <dcterms:modified xsi:type="dcterms:W3CDTF">2020-11-12T07:11:46Z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