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74616">
      <w:pPr>
        <w:ind w:firstLine="0" w:firstLineChars="0"/>
      </w:pPr>
      <w:r>
        <w:rPr>
          <w:rFonts w:hint="eastAsia"/>
        </w:rPr>
        <w:t>附件1</w:t>
      </w:r>
    </w:p>
    <w:p w14:paraId="45187D21">
      <w:pPr>
        <w:keepNext/>
        <w:keepLines/>
        <w:overflowPunct w:val="0"/>
        <w:spacing w:before="360" w:after="360"/>
        <w:ind w:firstLine="640"/>
      </w:pPr>
      <w:r>
        <w:rPr>
          <w:rFonts w:hint="eastAsia"/>
        </w:rPr>
        <w:t>鄂州市优化营商环境政策文件梳理汇总表</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503"/>
        <w:gridCol w:w="5322"/>
        <w:gridCol w:w="2654"/>
      </w:tblGrid>
      <w:tr w14:paraId="406A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265" w:type="pct"/>
            <w:tcBorders>
              <w:tl2br w:val="nil"/>
              <w:tr2bl w:val="nil"/>
            </w:tcBorders>
            <w:tcMar>
              <w:top w:w="57" w:type="dxa"/>
              <w:left w:w="57" w:type="dxa"/>
              <w:bottom w:w="57" w:type="dxa"/>
              <w:right w:w="57" w:type="dxa"/>
            </w:tcMar>
            <w:vAlign w:val="center"/>
          </w:tcPr>
          <w:p w14:paraId="57852B3C">
            <w:pPr>
              <w:pStyle w:val="24"/>
              <w:rPr>
                <w:rFonts w:hint="default"/>
              </w:rPr>
            </w:pPr>
            <w:r>
              <w:t>序号</w:t>
            </w:r>
          </w:p>
        </w:tc>
        <w:tc>
          <w:tcPr>
            <w:tcW w:w="281" w:type="pct"/>
            <w:tcBorders>
              <w:tl2br w:val="nil"/>
              <w:tr2bl w:val="nil"/>
            </w:tcBorders>
            <w:tcMar>
              <w:top w:w="57" w:type="dxa"/>
              <w:left w:w="57" w:type="dxa"/>
              <w:bottom w:w="57" w:type="dxa"/>
              <w:right w:w="57" w:type="dxa"/>
            </w:tcMar>
            <w:vAlign w:val="center"/>
          </w:tcPr>
          <w:p w14:paraId="2AD88B3E">
            <w:pPr>
              <w:pStyle w:val="24"/>
              <w:rPr>
                <w:rFonts w:hint="default"/>
              </w:rPr>
            </w:pPr>
            <w:r>
              <w:t>政策类别</w:t>
            </w:r>
          </w:p>
        </w:tc>
        <w:tc>
          <w:tcPr>
            <w:tcW w:w="2971" w:type="pct"/>
            <w:tcBorders>
              <w:tl2br w:val="nil"/>
              <w:tr2bl w:val="nil"/>
            </w:tcBorders>
            <w:tcMar>
              <w:top w:w="57" w:type="dxa"/>
              <w:left w:w="57" w:type="dxa"/>
              <w:bottom w:w="57" w:type="dxa"/>
              <w:right w:w="57" w:type="dxa"/>
            </w:tcMar>
            <w:vAlign w:val="center"/>
          </w:tcPr>
          <w:p w14:paraId="50629952">
            <w:pPr>
              <w:pStyle w:val="24"/>
              <w:rPr>
                <w:rFonts w:hint="default"/>
              </w:rPr>
            </w:pPr>
            <w:r>
              <w:t>具体政策内容</w:t>
            </w:r>
          </w:p>
        </w:tc>
        <w:tc>
          <w:tcPr>
            <w:tcW w:w="1481" w:type="pct"/>
            <w:tcBorders>
              <w:tl2br w:val="nil"/>
              <w:tr2bl w:val="nil"/>
            </w:tcBorders>
            <w:tcMar>
              <w:top w:w="57" w:type="dxa"/>
              <w:left w:w="57" w:type="dxa"/>
              <w:bottom w:w="57" w:type="dxa"/>
              <w:right w:w="57" w:type="dxa"/>
            </w:tcMar>
            <w:vAlign w:val="center"/>
          </w:tcPr>
          <w:p w14:paraId="71A0C9C9">
            <w:pPr>
              <w:pStyle w:val="24"/>
              <w:rPr>
                <w:rFonts w:hint="default"/>
              </w:rPr>
            </w:pPr>
            <w:r>
              <w:t>政策来源</w:t>
            </w:r>
          </w:p>
        </w:tc>
      </w:tr>
      <w:tr w14:paraId="325D9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65" w:type="pct"/>
            <w:tcBorders>
              <w:tl2br w:val="nil"/>
              <w:tr2bl w:val="nil"/>
            </w:tcBorders>
            <w:tcMar>
              <w:top w:w="57" w:type="dxa"/>
              <w:left w:w="57" w:type="dxa"/>
              <w:bottom w:w="57" w:type="dxa"/>
              <w:right w:w="57" w:type="dxa"/>
            </w:tcMar>
            <w:vAlign w:val="center"/>
          </w:tcPr>
          <w:p w14:paraId="3F701952">
            <w:pPr>
              <w:pStyle w:val="23"/>
              <w:jc w:val="center"/>
            </w:pPr>
            <w:r>
              <w:rPr>
                <w:rFonts w:hint="eastAsia"/>
              </w:rPr>
              <w:t>1</w:t>
            </w:r>
          </w:p>
        </w:tc>
        <w:tc>
          <w:tcPr>
            <w:tcW w:w="281" w:type="pct"/>
            <w:vMerge w:val="restart"/>
            <w:tcBorders>
              <w:tl2br w:val="nil"/>
              <w:tr2bl w:val="nil"/>
            </w:tcBorders>
            <w:noWrap/>
            <w:tcMar>
              <w:top w:w="57" w:type="dxa"/>
              <w:left w:w="57" w:type="dxa"/>
              <w:bottom w:w="57" w:type="dxa"/>
              <w:right w:w="57" w:type="dxa"/>
            </w:tcMar>
            <w:vAlign w:val="center"/>
          </w:tcPr>
          <w:p w14:paraId="4A883D0C">
            <w:pPr>
              <w:pStyle w:val="23"/>
              <w:jc w:val="center"/>
            </w:pPr>
            <w:r>
              <w:rPr>
                <w:rFonts w:hint="eastAsia"/>
              </w:rPr>
              <w:t>减税降费类</w:t>
            </w:r>
          </w:p>
        </w:tc>
        <w:tc>
          <w:tcPr>
            <w:tcW w:w="2971" w:type="pct"/>
            <w:tcBorders>
              <w:tl2br w:val="nil"/>
              <w:tr2bl w:val="nil"/>
            </w:tcBorders>
            <w:tcMar>
              <w:top w:w="57" w:type="dxa"/>
              <w:left w:w="57" w:type="dxa"/>
              <w:bottom w:w="57" w:type="dxa"/>
              <w:right w:w="57" w:type="dxa"/>
            </w:tcMar>
            <w:vAlign w:val="center"/>
          </w:tcPr>
          <w:p w14:paraId="679AE287">
            <w:pPr>
              <w:pStyle w:val="23"/>
            </w:pPr>
            <w:r>
              <w:rPr>
                <w:rFonts w:hint="eastAsia"/>
              </w:rPr>
              <w:t>依据《关于印发中小企业划型标准规定的通知》（工信部联企业〔2011〕300号）规定的小微企业标准，经告知企业做出书面承诺后，即免收相应的不动产登记费。个体工商户凭工商营业执照直接免收不动产登记费，无需承诺。</w:t>
            </w:r>
          </w:p>
        </w:tc>
        <w:tc>
          <w:tcPr>
            <w:tcW w:w="1481" w:type="pct"/>
            <w:tcBorders>
              <w:tl2br w:val="nil"/>
              <w:tr2bl w:val="nil"/>
            </w:tcBorders>
            <w:tcMar>
              <w:top w:w="57" w:type="dxa"/>
              <w:left w:w="57" w:type="dxa"/>
              <w:bottom w:w="57" w:type="dxa"/>
              <w:right w:w="57" w:type="dxa"/>
            </w:tcMar>
            <w:vAlign w:val="center"/>
          </w:tcPr>
          <w:p w14:paraId="3BF147D5">
            <w:pPr>
              <w:pStyle w:val="23"/>
            </w:pPr>
            <w:r>
              <w:rPr>
                <w:rFonts w:hint="eastAsia"/>
              </w:rPr>
              <w:t>2021年2月25日，《鄂州市自然资源和规划局关于免收小微企业不动产登记费有关事项的公告》</w:t>
            </w:r>
          </w:p>
        </w:tc>
      </w:tr>
      <w:tr w14:paraId="09E0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65" w:type="pct"/>
            <w:tcBorders>
              <w:tl2br w:val="nil"/>
              <w:tr2bl w:val="nil"/>
            </w:tcBorders>
            <w:tcMar>
              <w:top w:w="57" w:type="dxa"/>
              <w:left w:w="57" w:type="dxa"/>
              <w:bottom w:w="57" w:type="dxa"/>
              <w:right w:w="57" w:type="dxa"/>
            </w:tcMar>
            <w:vAlign w:val="center"/>
          </w:tcPr>
          <w:p w14:paraId="4C04F3E9">
            <w:pPr>
              <w:pStyle w:val="23"/>
              <w:jc w:val="center"/>
            </w:pPr>
            <w:r>
              <w:rPr>
                <w:rFonts w:hint="eastAsia"/>
              </w:rPr>
              <w:t>2</w:t>
            </w:r>
          </w:p>
        </w:tc>
        <w:tc>
          <w:tcPr>
            <w:tcW w:w="281" w:type="pct"/>
            <w:vMerge w:val="continue"/>
            <w:tcBorders>
              <w:tl2br w:val="nil"/>
              <w:tr2bl w:val="nil"/>
            </w:tcBorders>
            <w:noWrap/>
            <w:tcMar>
              <w:top w:w="57" w:type="dxa"/>
              <w:left w:w="57" w:type="dxa"/>
              <w:bottom w:w="57" w:type="dxa"/>
              <w:right w:w="57" w:type="dxa"/>
            </w:tcMar>
            <w:vAlign w:val="center"/>
          </w:tcPr>
          <w:p w14:paraId="750E0988">
            <w:pPr>
              <w:pStyle w:val="23"/>
              <w:jc w:val="center"/>
            </w:pPr>
          </w:p>
        </w:tc>
        <w:tc>
          <w:tcPr>
            <w:tcW w:w="2971" w:type="pct"/>
            <w:tcBorders>
              <w:tl2br w:val="nil"/>
              <w:tr2bl w:val="nil"/>
            </w:tcBorders>
            <w:tcMar>
              <w:top w:w="57" w:type="dxa"/>
              <w:left w:w="57" w:type="dxa"/>
              <w:bottom w:w="57" w:type="dxa"/>
              <w:right w:w="57" w:type="dxa"/>
            </w:tcMar>
            <w:vAlign w:val="center"/>
          </w:tcPr>
          <w:p w14:paraId="3690A915">
            <w:pPr>
              <w:pStyle w:val="23"/>
            </w:pPr>
            <w:r>
              <w:rPr>
                <w:rFonts w:hint="eastAsia"/>
              </w:rPr>
              <w:t>继续实施物流企业大宗商品仓储设施用地城镇土地使用税减半税收优惠。</w:t>
            </w:r>
          </w:p>
        </w:tc>
        <w:tc>
          <w:tcPr>
            <w:tcW w:w="1481" w:type="pct"/>
            <w:tcBorders>
              <w:tl2br w:val="nil"/>
              <w:tr2bl w:val="nil"/>
            </w:tcBorders>
            <w:tcMar>
              <w:top w:w="57" w:type="dxa"/>
              <w:left w:w="57" w:type="dxa"/>
              <w:bottom w:w="57" w:type="dxa"/>
              <w:right w:w="57" w:type="dxa"/>
            </w:tcMar>
            <w:vAlign w:val="center"/>
          </w:tcPr>
          <w:p w14:paraId="66B35C13">
            <w:pPr>
              <w:pStyle w:val="23"/>
            </w:pPr>
            <w:r>
              <w:rPr>
                <w:rFonts w:hint="eastAsia"/>
              </w:rPr>
              <w:t>2021年3月12日，《中共鄂州市委  鄂州市人民政府印发&lt;关于以市场主体需求为导向打造一流营商环境的实施方案&gt;的通知》（鄂州发〔2021〕5号）</w:t>
            </w:r>
          </w:p>
        </w:tc>
      </w:tr>
      <w:tr w14:paraId="6E40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65" w:type="pct"/>
            <w:tcBorders>
              <w:tl2br w:val="nil"/>
              <w:tr2bl w:val="nil"/>
            </w:tcBorders>
            <w:tcMar>
              <w:top w:w="57" w:type="dxa"/>
              <w:left w:w="57" w:type="dxa"/>
              <w:bottom w:w="57" w:type="dxa"/>
              <w:right w:w="57" w:type="dxa"/>
            </w:tcMar>
            <w:vAlign w:val="center"/>
          </w:tcPr>
          <w:p w14:paraId="7894B356">
            <w:pPr>
              <w:pStyle w:val="23"/>
              <w:jc w:val="center"/>
            </w:pPr>
            <w:r>
              <w:rPr>
                <w:rFonts w:hint="eastAsia"/>
              </w:rPr>
              <w:t>3</w:t>
            </w:r>
          </w:p>
        </w:tc>
        <w:tc>
          <w:tcPr>
            <w:tcW w:w="281" w:type="pct"/>
            <w:vMerge w:val="continue"/>
            <w:tcBorders>
              <w:tl2br w:val="nil"/>
              <w:tr2bl w:val="nil"/>
            </w:tcBorders>
            <w:noWrap/>
            <w:tcMar>
              <w:top w:w="57" w:type="dxa"/>
              <w:left w:w="57" w:type="dxa"/>
              <w:bottom w:w="57" w:type="dxa"/>
              <w:right w:w="57" w:type="dxa"/>
            </w:tcMar>
            <w:vAlign w:val="center"/>
          </w:tcPr>
          <w:p w14:paraId="7BB0DB3B">
            <w:pPr>
              <w:pStyle w:val="23"/>
              <w:jc w:val="center"/>
            </w:pPr>
          </w:p>
        </w:tc>
        <w:tc>
          <w:tcPr>
            <w:tcW w:w="2971" w:type="pct"/>
            <w:tcBorders>
              <w:tl2br w:val="nil"/>
              <w:tr2bl w:val="nil"/>
            </w:tcBorders>
            <w:tcMar>
              <w:top w:w="57" w:type="dxa"/>
              <w:left w:w="57" w:type="dxa"/>
              <w:bottom w:w="57" w:type="dxa"/>
              <w:right w:w="57" w:type="dxa"/>
            </w:tcMar>
            <w:vAlign w:val="center"/>
          </w:tcPr>
          <w:p w14:paraId="4AD76357">
            <w:pPr>
              <w:pStyle w:val="23"/>
            </w:pPr>
            <w:r>
              <w:rPr>
                <w:rFonts w:hint="eastAsia"/>
              </w:rPr>
              <w:t>对符合政策条件的养老服务机构，在税收、行政事业性收费等方面给予减免政策扶持。用电、用水、用气、用热收费按照居民同等价格标准执行，相关单位不得以房屋性质等为由拒绝执行相关价格政策。</w:t>
            </w:r>
          </w:p>
        </w:tc>
        <w:tc>
          <w:tcPr>
            <w:tcW w:w="1481" w:type="pct"/>
            <w:tcBorders>
              <w:tl2br w:val="nil"/>
              <w:tr2bl w:val="nil"/>
            </w:tcBorders>
            <w:tcMar>
              <w:top w:w="57" w:type="dxa"/>
              <w:left w:w="57" w:type="dxa"/>
              <w:bottom w:w="57" w:type="dxa"/>
              <w:right w:w="57" w:type="dxa"/>
            </w:tcMar>
            <w:vAlign w:val="center"/>
          </w:tcPr>
          <w:p w14:paraId="440AD2A7">
            <w:pPr>
              <w:pStyle w:val="23"/>
            </w:pPr>
            <w:r>
              <w:rPr>
                <w:rFonts w:hint="eastAsia"/>
              </w:rPr>
              <w:t>2021年11月13日，《鄂州市人民政府关于推进养老服务发展的实施意见》（鄂州政发〔2021〕10号）</w:t>
            </w:r>
          </w:p>
        </w:tc>
      </w:tr>
      <w:tr w14:paraId="7A77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65" w:type="pct"/>
            <w:tcBorders>
              <w:tl2br w:val="nil"/>
              <w:tr2bl w:val="nil"/>
            </w:tcBorders>
            <w:tcMar>
              <w:top w:w="57" w:type="dxa"/>
              <w:left w:w="57" w:type="dxa"/>
              <w:bottom w:w="57" w:type="dxa"/>
              <w:right w:w="57" w:type="dxa"/>
            </w:tcMar>
            <w:vAlign w:val="center"/>
          </w:tcPr>
          <w:p w14:paraId="2E1335C1">
            <w:pPr>
              <w:pStyle w:val="23"/>
              <w:jc w:val="center"/>
            </w:pPr>
            <w:r>
              <w:rPr>
                <w:rFonts w:hint="eastAsia"/>
              </w:rPr>
              <w:t>4</w:t>
            </w:r>
          </w:p>
        </w:tc>
        <w:tc>
          <w:tcPr>
            <w:tcW w:w="281" w:type="pct"/>
            <w:vMerge w:val="continue"/>
            <w:tcBorders>
              <w:tl2br w:val="nil"/>
              <w:tr2bl w:val="nil"/>
            </w:tcBorders>
            <w:noWrap/>
            <w:tcMar>
              <w:top w:w="57" w:type="dxa"/>
              <w:left w:w="57" w:type="dxa"/>
              <w:bottom w:w="57" w:type="dxa"/>
              <w:right w:w="57" w:type="dxa"/>
            </w:tcMar>
            <w:vAlign w:val="center"/>
          </w:tcPr>
          <w:p w14:paraId="3201FAD1">
            <w:pPr>
              <w:pStyle w:val="23"/>
              <w:jc w:val="center"/>
            </w:pPr>
          </w:p>
        </w:tc>
        <w:tc>
          <w:tcPr>
            <w:tcW w:w="2971" w:type="pct"/>
            <w:tcBorders>
              <w:tl2br w:val="nil"/>
              <w:tr2bl w:val="nil"/>
            </w:tcBorders>
            <w:tcMar>
              <w:top w:w="57" w:type="dxa"/>
              <w:left w:w="57" w:type="dxa"/>
              <w:bottom w:w="57" w:type="dxa"/>
              <w:right w:w="57" w:type="dxa"/>
            </w:tcMar>
            <w:vAlign w:val="center"/>
          </w:tcPr>
          <w:p w14:paraId="10FFE544">
            <w:pPr>
              <w:pStyle w:val="23"/>
            </w:pPr>
            <w:r>
              <w:rPr>
                <w:rFonts w:hint="eastAsia"/>
              </w:rPr>
              <w:t>2022年1月1日至2024年12月31日对小型微利企业年应纳税所得额超过100万元但不超过300万元部分，减按25%计入应纳税所得额，按20%的税率缴纳企业所得税。将先进制造业按月全额退还增值税增量留抵退税额政策范围扩大至符合条件的小微企业（含个体工商户），并一次退还小微企业存量留抵税额。</w:t>
            </w:r>
          </w:p>
        </w:tc>
        <w:tc>
          <w:tcPr>
            <w:tcW w:w="1481" w:type="pct"/>
            <w:tcBorders>
              <w:tl2br w:val="nil"/>
              <w:tr2bl w:val="nil"/>
            </w:tcBorders>
            <w:tcMar>
              <w:top w:w="57" w:type="dxa"/>
              <w:left w:w="57" w:type="dxa"/>
              <w:bottom w:w="57" w:type="dxa"/>
              <w:right w:w="57" w:type="dxa"/>
            </w:tcMar>
            <w:vAlign w:val="center"/>
          </w:tcPr>
          <w:p w14:paraId="440B242A">
            <w:pPr>
              <w:pStyle w:val="23"/>
            </w:pPr>
            <w:r>
              <w:rPr>
                <w:rFonts w:hint="eastAsia"/>
              </w:rPr>
              <w:t>2022年4月17日，《市人民政府办公室关于印发&lt;鄂州市支持市场主体纾困解难若干措施&gt;的通知》（鄂州政办发〔2022〕3号）</w:t>
            </w:r>
          </w:p>
        </w:tc>
      </w:tr>
      <w:tr w14:paraId="2685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65" w:type="pct"/>
            <w:tcBorders>
              <w:tl2br w:val="nil"/>
              <w:tr2bl w:val="nil"/>
            </w:tcBorders>
            <w:tcMar>
              <w:top w:w="57" w:type="dxa"/>
              <w:left w:w="57" w:type="dxa"/>
              <w:bottom w:w="57" w:type="dxa"/>
              <w:right w:w="57" w:type="dxa"/>
            </w:tcMar>
            <w:vAlign w:val="center"/>
          </w:tcPr>
          <w:p w14:paraId="4B7FDE20">
            <w:pPr>
              <w:pStyle w:val="23"/>
              <w:jc w:val="center"/>
            </w:pPr>
            <w:r>
              <w:rPr>
                <w:rFonts w:hint="eastAsia"/>
              </w:rPr>
              <w:t>5</w:t>
            </w:r>
          </w:p>
        </w:tc>
        <w:tc>
          <w:tcPr>
            <w:tcW w:w="281" w:type="pct"/>
            <w:vMerge w:val="continue"/>
            <w:tcBorders>
              <w:tl2br w:val="nil"/>
              <w:tr2bl w:val="nil"/>
            </w:tcBorders>
            <w:noWrap/>
            <w:tcMar>
              <w:top w:w="57" w:type="dxa"/>
              <w:left w:w="57" w:type="dxa"/>
              <w:bottom w:w="57" w:type="dxa"/>
              <w:right w:w="57" w:type="dxa"/>
            </w:tcMar>
            <w:vAlign w:val="center"/>
          </w:tcPr>
          <w:p w14:paraId="03793E21">
            <w:pPr>
              <w:pStyle w:val="23"/>
              <w:jc w:val="center"/>
            </w:pPr>
          </w:p>
        </w:tc>
        <w:tc>
          <w:tcPr>
            <w:tcW w:w="2971" w:type="pct"/>
            <w:tcBorders>
              <w:tl2br w:val="nil"/>
              <w:tr2bl w:val="nil"/>
            </w:tcBorders>
            <w:tcMar>
              <w:top w:w="57" w:type="dxa"/>
              <w:left w:w="57" w:type="dxa"/>
              <w:bottom w:w="57" w:type="dxa"/>
              <w:right w:w="57" w:type="dxa"/>
            </w:tcMar>
            <w:vAlign w:val="center"/>
          </w:tcPr>
          <w:p w14:paraId="5D513CEC">
            <w:pPr>
              <w:pStyle w:val="23"/>
            </w:pPr>
            <w:r>
              <w:rPr>
                <w:rFonts w:hint="eastAsia"/>
              </w:rPr>
              <w:t>货物和服务采购项目给予小微企业的价格扣除优惠提高至10—20％。大中型企业与小微企业组成联合体或者大中型企业向小微企业分包的，评审优惠幅度提高至4—6％。对小微企业中的残疾人企业、监狱企业、采购产品纳入创新产品应用示范推荐目录内的企业、采购产品获得节能产品或环境标志产品认证证书的企业，以价格评审优惠幅度的上限给予评审优惠。同时，具体价格评审优惠要在政府采购文件及公告中列示。</w:t>
            </w:r>
          </w:p>
        </w:tc>
        <w:tc>
          <w:tcPr>
            <w:tcW w:w="1481" w:type="pct"/>
            <w:tcBorders>
              <w:tl2br w:val="nil"/>
              <w:tr2bl w:val="nil"/>
            </w:tcBorders>
            <w:tcMar>
              <w:top w:w="57" w:type="dxa"/>
              <w:left w:w="57" w:type="dxa"/>
              <w:bottom w:w="57" w:type="dxa"/>
              <w:right w:w="57" w:type="dxa"/>
            </w:tcMar>
            <w:vAlign w:val="center"/>
          </w:tcPr>
          <w:p w14:paraId="109B07C6">
            <w:pPr>
              <w:pStyle w:val="23"/>
            </w:pPr>
            <w:r>
              <w:rPr>
                <w:rFonts w:hint="eastAsia"/>
              </w:rPr>
              <w:t>2023年7月20日，《关于进一步贯彻落实政府采购领域支持中小企业发展政策的通知》（鄂州财采发〔2023〕260号）</w:t>
            </w:r>
          </w:p>
        </w:tc>
      </w:tr>
      <w:tr w14:paraId="29C6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65" w:type="pct"/>
            <w:tcBorders>
              <w:tl2br w:val="nil"/>
              <w:tr2bl w:val="nil"/>
            </w:tcBorders>
            <w:tcMar>
              <w:top w:w="57" w:type="dxa"/>
              <w:left w:w="57" w:type="dxa"/>
              <w:bottom w:w="57" w:type="dxa"/>
              <w:right w:w="57" w:type="dxa"/>
            </w:tcMar>
            <w:vAlign w:val="center"/>
          </w:tcPr>
          <w:p w14:paraId="7A420C2A">
            <w:pPr>
              <w:pStyle w:val="23"/>
              <w:jc w:val="center"/>
            </w:pPr>
            <w:r>
              <w:rPr>
                <w:rFonts w:hint="eastAsia"/>
              </w:rPr>
              <w:t>6</w:t>
            </w:r>
          </w:p>
        </w:tc>
        <w:tc>
          <w:tcPr>
            <w:tcW w:w="281" w:type="pct"/>
            <w:vMerge w:val="restart"/>
            <w:tcBorders>
              <w:tl2br w:val="nil"/>
              <w:tr2bl w:val="nil"/>
            </w:tcBorders>
            <w:noWrap/>
            <w:tcMar>
              <w:top w:w="57" w:type="dxa"/>
              <w:left w:w="57" w:type="dxa"/>
              <w:bottom w:w="57" w:type="dxa"/>
              <w:right w:w="57" w:type="dxa"/>
            </w:tcMar>
            <w:vAlign w:val="center"/>
          </w:tcPr>
          <w:p w14:paraId="52D9B0D3">
            <w:pPr>
              <w:pStyle w:val="23"/>
              <w:jc w:val="center"/>
            </w:pPr>
            <w:r>
              <w:rPr>
                <w:rFonts w:hint="eastAsia"/>
              </w:rPr>
              <w:t>资金奖补类</w:t>
            </w:r>
          </w:p>
        </w:tc>
        <w:tc>
          <w:tcPr>
            <w:tcW w:w="2971" w:type="pct"/>
            <w:tcBorders>
              <w:tl2br w:val="nil"/>
              <w:tr2bl w:val="nil"/>
            </w:tcBorders>
            <w:tcMar>
              <w:top w:w="57" w:type="dxa"/>
              <w:left w:w="57" w:type="dxa"/>
              <w:bottom w:w="57" w:type="dxa"/>
              <w:right w:w="57" w:type="dxa"/>
            </w:tcMar>
            <w:vAlign w:val="center"/>
          </w:tcPr>
          <w:p w14:paraId="04617B61">
            <w:pPr>
              <w:pStyle w:val="23"/>
            </w:pPr>
            <w:r>
              <w:rPr>
                <w:rFonts w:hint="eastAsia"/>
              </w:rPr>
              <w:t>对托育机构用水、用电、用气、用热实行学校价格。企事业单位设立的职工婴幼儿照护服务场所机构发生的费用在职工福利费中支出。公办托育机构对烈士子女、困境儿童等特殊群体的托育费用给予减免优惠。支持普惠性托育机构发展，对已经备案的普惠托育机构根据招收情况给予每个托位每年600元的补贴，所需经费纳入同级财政预算。</w:t>
            </w:r>
          </w:p>
        </w:tc>
        <w:tc>
          <w:tcPr>
            <w:tcW w:w="1481" w:type="pct"/>
            <w:tcBorders>
              <w:tl2br w:val="nil"/>
              <w:tr2bl w:val="nil"/>
            </w:tcBorders>
            <w:tcMar>
              <w:top w:w="57" w:type="dxa"/>
              <w:left w:w="57" w:type="dxa"/>
              <w:bottom w:w="57" w:type="dxa"/>
              <w:right w:w="57" w:type="dxa"/>
            </w:tcMar>
            <w:vAlign w:val="center"/>
          </w:tcPr>
          <w:p w14:paraId="2AC6DADB">
            <w:pPr>
              <w:pStyle w:val="23"/>
            </w:pPr>
            <w:r>
              <w:rPr>
                <w:rFonts w:hint="eastAsia"/>
              </w:rPr>
              <w:t>2021年8月3日，《市人民政府办公室印发关于进一步促进3岁以下婴幼儿照护服务发展实施方案的通知》（鄂州政办发〔2021〕23号）</w:t>
            </w:r>
          </w:p>
        </w:tc>
      </w:tr>
      <w:tr w14:paraId="159A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65" w:type="pct"/>
            <w:tcBorders>
              <w:tl2br w:val="nil"/>
              <w:tr2bl w:val="nil"/>
            </w:tcBorders>
            <w:tcMar>
              <w:top w:w="57" w:type="dxa"/>
              <w:left w:w="57" w:type="dxa"/>
              <w:bottom w:w="57" w:type="dxa"/>
              <w:right w:w="57" w:type="dxa"/>
            </w:tcMar>
            <w:vAlign w:val="center"/>
          </w:tcPr>
          <w:p w14:paraId="4CAFA928">
            <w:pPr>
              <w:pStyle w:val="23"/>
              <w:jc w:val="center"/>
            </w:pPr>
            <w:r>
              <w:rPr>
                <w:rFonts w:hint="eastAsia"/>
              </w:rPr>
              <w:t>7</w:t>
            </w:r>
          </w:p>
        </w:tc>
        <w:tc>
          <w:tcPr>
            <w:tcW w:w="281" w:type="pct"/>
            <w:vMerge w:val="continue"/>
            <w:tcBorders>
              <w:tl2br w:val="nil"/>
              <w:tr2bl w:val="nil"/>
            </w:tcBorders>
            <w:noWrap/>
            <w:tcMar>
              <w:top w:w="57" w:type="dxa"/>
              <w:left w:w="57" w:type="dxa"/>
              <w:bottom w:w="57" w:type="dxa"/>
              <w:right w:w="57" w:type="dxa"/>
            </w:tcMar>
            <w:vAlign w:val="center"/>
          </w:tcPr>
          <w:p w14:paraId="09F9508E">
            <w:pPr>
              <w:pStyle w:val="23"/>
              <w:jc w:val="center"/>
            </w:pPr>
          </w:p>
        </w:tc>
        <w:tc>
          <w:tcPr>
            <w:tcW w:w="2971" w:type="pct"/>
            <w:tcBorders>
              <w:tl2br w:val="nil"/>
              <w:tr2bl w:val="nil"/>
            </w:tcBorders>
            <w:tcMar>
              <w:top w:w="57" w:type="dxa"/>
              <w:left w:w="57" w:type="dxa"/>
              <w:bottom w:w="57" w:type="dxa"/>
              <w:right w:w="57" w:type="dxa"/>
            </w:tcMar>
            <w:vAlign w:val="center"/>
          </w:tcPr>
          <w:p w14:paraId="3C941614">
            <w:pPr>
              <w:pStyle w:val="23"/>
            </w:pPr>
            <w:r>
              <w:rPr>
                <w:rFonts w:hint="eastAsia"/>
              </w:rPr>
              <w:t>对独立或牵头承担国家科技重大专项和重点研发计划项目的企业或单位，按照当年度实际到位项目资金的10%，给予最高500万元配套支持；对独立或牵头承担省科技重大专项和重点研发计划项目的企业或单位，按照当年度实际到位项目资金的10%，给予最高100万元配套支持。</w:t>
            </w:r>
          </w:p>
        </w:tc>
        <w:tc>
          <w:tcPr>
            <w:tcW w:w="1481" w:type="pct"/>
            <w:tcBorders>
              <w:tl2br w:val="nil"/>
              <w:tr2bl w:val="nil"/>
            </w:tcBorders>
            <w:tcMar>
              <w:top w:w="57" w:type="dxa"/>
              <w:left w:w="57" w:type="dxa"/>
              <w:bottom w:w="57" w:type="dxa"/>
              <w:right w:w="57" w:type="dxa"/>
            </w:tcMar>
            <w:vAlign w:val="center"/>
          </w:tcPr>
          <w:p w14:paraId="181FC37A">
            <w:pPr>
              <w:pStyle w:val="23"/>
            </w:pPr>
            <w:r>
              <w:rPr>
                <w:rFonts w:hint="eastAsia"/>
              </w:rPr>
              <w:t>2021年9月25日，《中共鄂州市委  鄂州市人民政府关于印发&lt;关于加快推进科技强市建设的实施意见&gt;的通知》（鄂州发〔2021〕13号）</w:t>
            </w:r>
          </w:p>
        </w:tc>
      </w:tr>
      <w:tr w14:paraId="100C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65" w:type="pct"/>
            <w:tcBorders>
              <w:tl2br w:val="nil"/>
              <w:tr2bl w:val="nil"/>
            </w:tcBorders>
            <w:tcMar>
              <w:top w:w="57" w:type="dxa"/>
              <w:left w:w="57" w:type="dxa"/>
              <w:bottom w:w="57" w:type="dxa"/>
              <w:right w:w="57" w:type="dxa"/>
            </w:tcMar>
            <w:vAlign w:val="center"/>
          </w:tcPr>
          <w:p w14:paraId="70B800B7">
            <w:pPr>
              <w:pStyle w:val="23"/>
              <w:jc w:val="center"/>
            </w:pPr>
            <w:r>
              <w:rPr>
                <w:rFonts w:hint="eastAsia"/>
              </w:rPr>
              <w:t>8</w:t>
            </w:r>
          </w:p>
        </w:tc>
        <w:tc>
          <w:tcPr>
            <w:tcW w:w="281" w:type="pct"/>
            <w:vMerge w:val="continue"/>
            <w:tcBorders>
              <w:tl2br w:val="nil"/>
              <w:tr2bl w:val="nil"/>
            </w:tcBorders>
            <w:noWrap/>
            <w:tcMar>
              <w:top w:w="57" w:type="dxa"/>
              <w:left w:w="57" w:type="dxa"/>
              <w:bottom w:w="57" w:type="dxa"/>
              <w:right w:w="57" w:type="dxa"/>
            </w:tcMar>
            <w:vAlign w:val="center"/>
          </w:tcPr>
          <w:p w14:paraId="5E007200">
            <w:pPr>
              <w:pStyle w:val="23"/>
              <w:jc w:val="center"/>
            </w:pPr>
          </w:p>
        </w:tc>
        <w:tc>
          <w:tcPr>
            <w:tcW w:w="2971" w:type="pct"/>
            <w:tcBorders>
              <w:tl2br w:val="nil"/>
              <w:tr2bl w:val="nil"/>
            </w:tcBorders>
            <w:tcMar>
              <w:top w:w="57" w:type="dxa"/>
              <w:left w:w="57" w:type="dxa"/>
              <w:bottom w:w="57" w:type="dxa"/>
              <w:right w:w="57" w:type="dxa"/>
            </w:tcMar>
            <w:vAlign w:val="center"/>
          </w:tcPr>
          <w:p w14:paraId="52225E37">
            <w:pPr>
              <w:pStyle w:val="23"/>
            </w:pPr>
            <w:r>
              <w:rPr>
                <w:rFonts w:hint="eastAsia"/>
              </w:rPr>
              <w:t>对在我市注册（备案）的连锁运营养老服务设施8家以上，并全部达标的同一法人主体，市级一次性给予20万元品牌扶持奖励。</w:t>
            </w:r>
          </w:p>
        </w:tc>
        <w:tc>
          <w:tcPr>
            <w:tcW w:w="1481" w:type="pct"/>
            <w:vMerge w:val="restart"/>
            <w:tcBorders>
              <w:tl2br w:val="nil"/>
              <w:tr2bl w:val="nil"/>
            </w:tcBorders>
            <w:tcMar>
              <w:top w:w="57" w:type="dxa"/>
              <w:left w:w="57" w:type="dxa"/>
              <w:bottom w:w="57" w:type="dxa"/>
              <w:right w:w="57" w:type="dxa"/>
            </w:tcMar>
            <w:vAlign w:val="center"/>
          </w:tcPr>
          <w:p w14:paraId="0B853342">
            <w:pPr>
              <w:pStyle w:val="23"/>
            </w:pPr>
            <w:r>
              <w:rPr>
                <w:rFonts w:hint="eastAsia"/>
              </w:rPr>
              <w:t>2021年11月13日，《鄂州市人民政府关于推进养老服务发展的实施意见》（鄂州政发〔2021〕10号）</w:t>
            </w:r>
          </w:p>
        </w:tc>
      </w:tr>
      <w:tr w14:paraId="39BC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65" w:type="pct"/>
            <w:tcBorders>
              <w:tl2br w:val="nil"/>
              <w:tr2bl w:val="nil"/>
            </w:tcBorders>
            <w:tcMar>
              <w:top w:w="57" w:type="dxa"/>
              <w:left w:w="57" w:type="dxa"/>
              <w:bottom w:w="57" w:type="dxa"/>
              <w:right w:w="57" w:type="dxa"/>
            </w:tcMar>
            <w:vAlign w:val="center"/>
          </w:tcPr>
          <w:p w14:paraId="3CFBCE2C">
            <w:pPr>
              <w:pStyle w:val="23"/>
              <w:jc w:val="center"/>
            </w:pPr>
            <w:r>
              <w:rPr>
                <w:rFonts w:hint="eastAsia"/>
              </w:rPr>
              <w:t>9</w:t>
            </w:r>
          </w:p>
        </w:tc>
        <w:tc>
          <w:tcPr>
            <w:tcW w:w="281" w:type="pct"/>
            <w:vMerge w:val="continue"/>
            <w:tcBorders>
              <w:tl2br w:val="nil"/>
              <w:tr2bl w:val="nil"/>
            </w:tcBorders>
            <w:noWrap/>
            <w:tcMar>
              <w:top w:w="57" w:type="dxa"/>
              <w:left w:w="57" w:type="dxa"/>
              <w:bottom w:w="57" w:type="dxa"/>
              <w:right w:w="57" w:type="dxa"/>
            </w:tcMar>
            <w:vAlign w:val="center"/>
          </w:tcPr>
          <w:p w14:paraId="2321541D">
            <w:pPr>
              <w:pStyle w:val="23"/>
              <w:jc w:val="center"/>
            </w:pPr>
          </w:p>
        </w:tc>
        <w:tc>
          <w:tcPr>
            <w:tcW w:w="2971" w:type="pct"/>
            <w:tcBorders>
              <w:tl2br w:val="nil"/>
              <w:tr2bl w:val="nil"/>
            </w:tcBorders>
            <w:tcMar>
              <w:top w:w="57" w:type="dxa"/>
              <w:left w:w="57" w:type="dxa"/>
              <w:bottom w:w="57" w:type="dxa"/>
              <w:right w:w="57" w:type="dxa"/>
            </w:tcMar>
            <w:vAlign w:val="center"/>
          </w:tcPr>
          <w:p w14:paraId="50A4A61D">
            <w:pPr>
              <w:pStyle w:val="23"/>
            </w:pPr>
            <w:r>
              <w:rPr>
                <w:rFonts w:hint="eastAsia"/>
              </w:rPr>
              <w:t>新建非政府投资养老机构按照4000元/床位的标准给予建设补贴，改造和租赁的养老机构按照3000元/床位的标准给予建设补贴，最高补贴500张床位；养老机构运营补贴与评定等级挂钩，评为一级的按照实际入住重度失能（含二级以上失智）老年人2400元/人/年、实际入住其他老年人1800元/人/年的标准给予运营补贴，评为二、三、四、五级的养老机构，分别增发200元、500元、800元、1200元/人/年的运营补贴；对新建和利用自有产权改扩建的社区居家养老服务中心按标准给予40-80万元建设补贴；对农村互助养老日间照料中心按标准给予5-10万元建设补贴；对辐射式、嵌入式社区居家养老服务中心社会化运营分别给予10万元/年、5万元/年的运营补贴；对社区居家养老日间照料中心按2万元/年的标准给予运营补贴；对农村互助养老日间照料中心按标准给予2-5万元/年的运营补贴。</w:t>
            </w:r>
          </w:p>
        </w:tc>
        <w:tc>
          <w:tcPr>
            <w:tcW w:w="1481" w:type="pct"/>
            <w:vMerge w:val="continue"/>
            <w:tcBorders>
              <w:tl2br w:val="nil"/>
              <w:tr2bl w:val="nil"/>
            </w:tcBorders>
            <w:tcMar>
              <w:top w:w="57" w:type="dxa"/>
              <w:left w:w="57" w:type="dxa"/>
              <w:bottom w:w="57" w:type="dxa"/>
              <w:right w:w="57" w:type="dxa"/>
            </w:tcMar>
            <w:vAlign w:val="center"/>
          </w:tcPr>
          <w:p w14:paraId="57858E9C">
            <w:pPr>
              <w:pStyle w:val="23"/>
            </w:pPr>
          </w:p>
        </w:tc>
      </w:tr>
      <w:tr w14:paraId="3B71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65" w:type="pct"/>
            <w:tcBorders>
              <w:tl2br w:val="nil"/>
              <w:tr2bl w:val="nil"/>
            </w:tcBorders>
            <w:tcMar>
              <w:top w:w="57" w:type="dxa"/>
              <w:left w:w="57" w:type="dxa"/>
              <w:bottom w:w="57" w:type="dxa"/>
              <w:right w:w="57" w:type="dxa"/>
            </w:tcMar>
            <w:vAlign w:val="center"/>
          </w:tcPr>
          <w:p w14:paraId="1D4FCF7A">
            <w:pPr>
              <w:pStyle w:val="23"/>
              <w:jc w:val="center"/>
            </w:pPr>
            <w:r>
              <w:rPr>
                <w:rFonts w:hint="eastAsia"/>
              </w:rPr>
              <w:t>10</w:t>
            </w:r>
          </w:p>
        </w:tc>
        <w:tc>
          <w:tcPr>
            <w:tcW w:w="281" w:type="pct"/>
            <w:vMerge w:val="continue"/>
            <w:tcBorders>
              <w:tl2br w:val="nil"/>
              <w:tr2bl w:val="nil"/>
            </w:tcBorders>
            <w:noWrap/>
            <w:tcMar>
              <w:top w:w="57" w:type="dxa"/>
              <w:left w:w="57" w:type="dxa"/>
              <w:bottom w:w="57" w:type="dxa"/>
              <w:right w:w="57" w:type="dxa"/>
            </w:tcMar>
            <w:vAlign w:val="center"/>
          </w:tcPr>
          <w:p w14:paraId="19D74401">
            <w:pPr>
              <w:pStyle w:val="23"/>
              <w:jc w:val="center"/>
            </w:pPr>
          </w:p>
        </w:tc>
        <w:tc>
          <w:tcPr>
            <w:tcW w:w="2971" w:type="pct"/>
            <w:tcBorders>
              <w:tl2br w:val="nil"/>
              <w:tr2bl w:val="nil"/>
            </w:tcBorders>
            <w:tcMar>
              <w:top w:w="57" w:type="dxa"/>
              <w:left w:w="57" w:type="dxa"/>
              <w:bottom w:w="57" w:type="dxa"/>
              <w:right w:w="57" w:type="dxa"/>
            </w:tcMar>
            <w:vAlign w:val="center"/>
          </w:tcPr>
          <w:p w14:paraId="7258952E">
            <w:pPr>
              <w:pStyle w:val="23"/>
            </w:pPr>
            <w:r>
              <w:rPr>
                <w:rFonts w:hint="eastAsia"/>
              </w:rPr>
              <w:t>工业项目投资奖励。自登记注册之日起2年内，企业实际固定资产投资（不含购买土地费用，下同）累计达到1亿元人民币以上5亿元人民币以下（以经审计的企业资产负债表为准，下同），且对本市经济发展作出突出贡献的，按其实际固定资产投资额的3%给予一次性奖励；企业实际固定资产投资累计达到5亿元人民币以上10亿元人民币以下，且对本市经济发展作出突出贡献的，按其实际固定资产投资额的4%给予一次性奖励；企业实际固定资产投资累计达到10亿元人民币以上，且对本市经济发展作出突出贡献的，按其实际固定资产投资额的5%给予一次性奖励。对我市规模以上工业企业进行技术改造和扩规的，视同招商引资项目，当年投入达到上述要求的，参照此项奖励政策执行。</w:t>
            </w:r>
          </w:p>
        </w:tc>
        <w:tc>
          <w:tcPr>
            <w:tcW w:w="1481" w:type="pct"/>
            <w:vMerge w:val="restart"/>
            <w:tcBorders>
              <w:tl2br w:val="nil"/>
              <w:tr2bl w:val="nil"/>
            </w:tcBorders>
            <w:tcMar>
              <w:top w:w="57" w:type="dxa"/>
              <w:left w:w="57" w:type="dxa"/>
              <w:bottom w:w="57" w:type="dxa"/>
              <w:right w:w="57" w:type="dxa"/>
            </w:tcMar>
            <w:vAlign w:val="center"/>
          </w:tcPr>
          <w:p w14:paraId="4B5FF61A">
            <w:pPr>
              <w:pStyle w:val="23"/>
            </w:pPr>
            <w:r>
              <w:rPr>
                <w:rFonts w:hint="eastAsia"/>
              </w:rPr>
              <w:t>2021年11月17日，《市人民政府关于印发&lt;鄂州市招商引资激励办法&gt;的通知》（鄂州政发〔2021〕11号）</w:t>
            </w:r>
          </w:p>
        </w:tc>
      </w:tr>
      <w:tr w14:paraId="27A1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65" w:type="pct"/>
            <w:tcBorders>
              <w:tl2br w:val="nil"/>
              <w:tr2bl w:val="nil"/>
            </w:tcBorders>
            <w:tcMar>
              <w:top w:w="57" w:type="dxa"/>
              <w:left w:w="57" w:type="dxa"/>
              <w:bottom w:w="57" w:type="dxa"/>
              <w:right w:w="57" w:type="dxa"/>
            </w:tcMar>
            <w:vAlign w:val="center"/>
          </w:tcPr>
          <w:p w14:paraId="0023ACAD">
            <w:pPr>
              <w:pStyle w:val="23"/>
              <w:jc w:val="center"/>
            </w:pPr>
            <w:r>
              <w:rPr>
                <w:rFonts w:hint="eastAsia"/>
              </w:rPr>
              <w:t>11</w:t>
            </w:r>
          </w:p>
        </w:tc>
        <w:tc>
          <w:tcPr>
            <w:tcW w:w="281" w:type="pct"/>
            <w:vMerge w:val="continue"/>
            <w:tcBorders>
              <w:tl2br w:val="nil"/>
              <w:tr2bl w:val="nil"/>
            </w:tcBorders>
            <w:noWrap/>
            <w:tcMar>
              <w:top w:w="57" w:type="dxa"/>
              <w:left w:w="57" w:type="dxa"/>
              <w:bottom w:w="57" w:type="dxa"/>
              <w:right w:w="57" w:type="dxa"/>
            </w:tcMar>
            <w:vAlign w:val="center"/>
          </w:tcPr>
          <w:p w14:paraId="73A40E62">
            <w:pPr>
              <w:pStyle w:val="23"/>
              <w:jc w:val="center"/>
            </w:pPr>
          </w:p>
        </w:tc>
        <w:tc>
          <w:tcPr>
            <w:tcW w:w="2971" w:type="pct"/>
            <w:tcBorders>
              <w:tl2br w:val="nil"/>
              <w:tr2bl w:val="nil"/>
            </w:tcBorders>
            <w:tcMar>
              <w:top w:w="57" w:type="dxa"/>
              <w:left w:w="57" w:type="dxa"/>
              <w:bottom w:w="57" w:type="dxa"/>
              <w:right w:w="57" w:type="dxa"/>
            </w:tcMar>
            <w:vAlign w:val="center"/>
          </w:tcPr>
          <w:p w14:paraId="77C8C5E1">
            <w:pPr>
              <w:pStyle w:val="23"/>
            </w:pPr>
            <w:r>
              <w:rPr>
                <w:rFonts w:hint="eastAsia"/>
              </w:rPr>
              <w:t>文旅康养项目投资奖励。对新引进自持非出售的纯文化旅游、大健康项目，符合绿色新产业目录要求，实际固定资产投资在1亿元（含本数）以上5亿元以下的，按实际固定资产投入的3%给予基础设施建设补助；实际固定资产投资在5亿元（含本数）以上的，按实际固定资产投入的5%给予最高不超过5000万元的基础设施建设补助。</w:t>
            </w:r>
          </w:p>
        </w:tc>
        <w:tc>
          <w:tcPr>
            <w:tcW w:w="1481" w:type="pct"/>
            <w:vMerge w:val="continue"/>
            <w:tcBorders>
              <w:tl2br w:val="nil"/>
              <w:tr2bl w:val="nil"/>
            </w:tcBorders>
            <w:tcMar>
              <w:top w:w="57" w:type="dxa"/>
              <w:left w:w="57" w:type="dxa"/>
              <w:bottom w:w="57" w:type="dxa"/>
              <w:right w:w="57" w:type="dxa"/>
            </w:tcMar>
            <w:vAlign w:val="center"/>
          </w:tcPr>
          <w:p w14:paraId="6C5C2FC3">
            <w:pPr>
              <w:pStyle w:val="23"/>
            </w:pPr>
          </w:p>
        </w:tc>
      </w:tr>
      <w:tr w14:paraId="4DA6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65" w:type="pct"/>
            <w:tcBorders>
              <w:tl2br w:val="nil"/>
              <w:tr2bl w:val="nil"/>
            </w:tcBorders>
            <w:tcMar>
              <w:top w:w="57" w:type="dxa"/>
              <w:left w:w="57" w:type="dxa"/>
              <w:bottom w:w="57" w:type="dxa"/>
              <w:right w:w="57" w:type="dxa"/>
            </w:tcMar>
            <w:vAlign w:val="center"/>
          </w:tcPr>
          <w:p w14:paraId="708AA3C7">
            <w:pPr>
              <w:pStyle w:val="23"/>
              <w:jc w:val="center"/>
            </w:pPr>
            <w:r>
              <w:rPr>
                <w:rFonts w:hint="eastAsia"/>
              </w:rPr>
              <w:t>12</w:t>
            </w:r>
          </w:p>
        </w:tc>
        <w:tc>
          <w:tcPr>
            <w:tcW w:w="281" w:type="pct"/>
            <w:vMerge w:val="continue"/>
            <w:tcBorders>
              <w:tl2br w:val="nil"/>
              <w:tr2bl w:val="nil"/>
            </w:tcBorders>
            <w:noWrap/>
            <w:tcMar>
              <w:top w:w="57" w:type="dxa"/>
              <w:left w:w="57" w:type="dxa"/>
              <w:bottom w:w="57" w:type="dxa"/>
              <w:right w:w="57" w:type="dxa"/>
            </w:tcMar>
            <w:vAlign w:val="center"/>
          </w:tcPr>
          <w:p w14:paraId="11B9F5F1">
            <w:pPr>
              <w:pStyle w:val="23"/>
              <w:jc w:val="center"/>
            </w:pPr>
          </w:p>
        </w:tc>
        <w:tc>
          <w:tcPr>
            <w:tcW w:w="2971" w:type="pct"/>
            <w:tcBorders>
              <w:tl2br w:val="nil"/>
              <w:tr2bl w:val="nil"/>
            </w:tcBorders>
            <w:tcMar>
              <w:top w:w="57" w:type="dxa"/>
              <w:left w:w="57" w:type="dxa"/>
              <w:bottom w:w="57" w:type="dxa"/>
              <w:right w:w="57" w:type="dxa"/>
            </w:tcMar>
            <w:vAlign w:val="center"/>
          </w:tcPr>
          <w:p w14:paraId="261CE0B7">
            <w:pPr>
              <w:pStyle w:val="23"/>
            </w:pPr>
            <w:r>
              <w:rPr>
                <w:rFonts w:hint="eastAsia"/>
              </w:rPr>
              <w:t>商贸服务业投资奖励。对固定资产达到5000万元，自留经营部分的固定资产投资达到固定资产投资总额50%以上的商贸服务项目，待项目建成投入运营后，给予奖励200万元；固定资产投资每增加1000万元，奖励金额递增100万元，最高奖励金额不超过1000万元。</w:t>
            </w:r>
          </w:p>
        </w:tc>
        <w:tc>
          <w:tcPr>
            <w:tcW w:w="1481" w:type="pct"/>
            <w:vMerge w:val="continue"/>
            <w:tcBorders>
              <w:tl2br w:val="nil"/>
              <w:tr2bl w:val="nil"/>
            </w:tcBorders>
            <w:tcMar>
              <w:top w:w="57" w:type="dxa"/>
              <w:left w:w="57" w:type="dxa"/>
              <w:bottom w:w="57" w:type="dxa"/>
              <w:right w:w="57" w:type="dxa"/>
            </w:tcMar>
            <w:vAlign w:val="center"/>
          </w:tcPr>
          <w:p w14:paraId="3CE58EDE">
            <w:pPr>
              <w:pStyle w:val="23"/>
            </w:pPr>
          </w:p>
        </w:tc>
      </w:tr>
      <w:tr w14:paraId="799D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65" w:type="pct"/>
            <w:tcBorders>
              <w:tl2br w:val="nil"/>
              <w:tr2bl w:val="nil"/>
            </w:tcBorders>
            <w:tcMar>
              <w:top w:w="57" w:type="dxa"/>
              <w:left w:w="57" w:type="dxa"/>
              <w:bottom w:w="57" w:type="dxa"/>
              <w:right w:w="57" w:type="dxa"/>
            </w:tcMar>
            <w:vAlign w:val="center"/>
          </w:tcPr>
          <w:p w14:paraId="0F05357B">
            <w:pPr>
              <w:pStyle w:val="23"/>
              <w:jc w:val="center"/>
            </w:pPr>
            <w:r>
              <w:rPr>
                <w:rFonts w:hint="eastAsia"/>
              </w:rPr>
              <w:t>13</w:t>
            </w:r>
          </w:p>
        </w:tc>
        <w:tc>
          <w:tcPr>
            <w:tcW w:w="281" w:type="pct"/>
            <w:vMerge w:val="continue"/>
            <w:tcBorders>
              <w:tl2br w:val="nil"/>
              <w:tr2bl w:val="nil"/>
            </w:tcBorders>
            <w:noWrap/>
            <w:tcMar>
              <w:top w:w="57" w:type="dxa"/>
              <w:left w:w="57" w:type="dxa"/>
              <w:bottom w:w="57" w:type="dxa"/>
              <w:right w:w="57" w:type="dxa"/>
            </w:tcMar>
            <w:vAlign w:val="center"/>
          </w:tcPr>
          <w:p w14:paraId="55E17BBC">
            <w:pPr>
              <w:pStyle w:val="23"/>
              <w:jc w:val="center"/>
            </w:pPr>
          </w:p>
        </w:tc>
        <w:tc>
          <w:tcPr>
            <w:tcW w:w="2971" w:type="pct"/>
            <w:tcBorders>
              <w:tl2br w:val="nil"/>
              <w:tr2bl w:val="nil"/>
            </w:tcBorders>
            <w:tcMar>
              <w:top w:w="57" w:type="dxa"/>
              <w:left w:w="57" w:type="dxa"/>
              <w:bottom w:w="57" w:type="dxa"/>
              <w:right w:w="57" w:type="dxa"/>
            </w:tcMar>
            <w:vAlign w:val="center"/>
          </w:tcPr>
          <w:p w14:paraId="4654C326">
            <w:pPr>
              <w:pStyle w:val="23"/>
            </w:pPr>
            <w:r>
              <w:rPr>
                <w:rFonts w:hint="eastAsia"/>
              </w:rPr>
              <w:t>农业产业化项目投资奖励。对新引进固定资产（厂房、设备）一次性投资1亿元（含本数）以上5亿元以下的农产品精深加工项目，按照固定资产投资额的3%给予奖励。</w:t>
            </w:r>
          </w:p>
        </w:tc>
        <w:tc>
          <w:tcPr>
            <w:tcW w:w="1481" w:type="pct"/>
            <w:vMerge w:val="continue"/>
            <w:tcBorders>
              <w:tl2br w:val="nil"/>
              <w:tr2bl w:val="nil"/>
            </w:tcBorders>
            <w:tcMar>
              <w:top w:w="57" w:type="dxa"/>
              <w:left w:w="57" w:type="dxa"/>
              <w:bottom w:w="57" w:type="dxa"/>
              <w:right w:w="57" w:type="dxa"/>
            </w:tcMar>
            <w:vAlign w:val="center"/>
          </w:tcPr>
          <w:p w14:paraId="3CCF5934">
            <w:pPr>
              <w:pStyle w:val="23"/>
            </w:pPr>
          </w:p>
        </w:tc>
      </w:tr>
      <w:tr w14:paraId="470E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265" w:type="pct"/>
            <w:tcBorders>
              <w:tl2br w:val="nil"/>
              <w:tr2bl w:val="nil"/>
            </w:tcBorders>
            <w:tcMar>
              <w:top w:w="57" w:type="dxa"/>
              <w:left w:w="57" w:type="dxa"/>
              <w:bottom w:w="57" w:type="dxa"/>
              <w:right w:w="57" w:type="dxa"/>
            </w:tcMar>
            <w:vAlign w:val="center"/>
          </w:tcPr>
          <w:p w14:paraId="3BEFB334">
            <w:pPr>
              <w:pStyle w:val="23"/>
              <w:jc w:val="center"/>
            </w:pPr>
            <w:r>
              <w:rPr>
                <w:rFonts w:hint="eastAsia"/>
              </w:rPr>
              <w:t>14</w:t>
            </w:r>
          </w:p>
        </w:tc>
        <w:tc>
          <w:tcPr>
            <w:tcW w:w="281" w:type="pct"/>
            <w:vMerge w:val="continue"/>
            <w:tcBorders>
              <w:tl2br w:val="nil"/>
              <w:tr2bl w:val="nil"/>
            </w:tcBorders>
            <w:noWrap/>
            <w:tcMar>
              <w:top w:w="57" w:type="dxa"/>
              <w:left w:w="57" w:type="dxa"/>
              <w:bottom w:w="57" w:type="dxa"/>
              <w:right w:w="57" w:type="dxa"/>
            </w:tcMar>
            <w:vAlign w:val="center"/>
          </w:tcPr>
          <w:p w14:paraId="75BA9759">
            <w:pPr>
              <w:pStyle w:val="23"/>
              <w:jc w:val="center"/>
            </w:pPr>
          </w:p>
        </w:tc>
        <w:tc>
          <w:tcPr>
            <w:tcW w:w="2971" w:type="pct"/>
            <w:tcBorders>
              <w:tl2br w:val="nil"/>
              <w:tr2bl w:val="nil"/>
            </w:tcBorders>
            <w:tcMar>
              <w:top w:w="57" w:type="dxa"/>
              <w:left w:w="57" w:type="dxa"/>
              <w:bottom w:w="57" w:type="dxa"/>
              <w:right w:w="57" w:type="dxa"/>
            </w:tcMar>
            <w:vAlign w:val="center"/>
          </w:tcPr>
          <w:p w14:paraId="124D19C9">
            <w:pPr>
              <w:pStyle w:val="23"/>
            </w:pPr>
            <w:r>
              <w:rPr>
                <w:rFonts w:hint="eastAsia"/>
              </w:rPr>
              <w:t>对在本市新落户的外资企业，当年实际到资500万美元以上或等值外币的（含本数，以外管FDI为依据），按照外资实际到资的3%—5%给予一次性奖励，最高不超过1000万元人民币。</w:t>
            </w:r>
          </w:p>
        </w:tc>
        <w:tc>
          <w:tcPr>
            <w:tcW w:w="1481" w:type="pct"/>
            <w:vMerge w:val="continue"/>
            <w:tcBorders>
              <w:tl2br w:val="nil"/>
              <w:tr2bl w:val="nil"/>
            </w:tcBorders>
            <w:tcMar>
              <w:top w:w="57" w:type="dxa"/>
              <w:left w:w="57" w:type="dxa"/>
              <w:bottom w:w="57" w:type="dxa"/>
              <w:right w:w="57" w:type="dxa"/>
            </w:tcMar>
            <w:vAlign w:val="center"/>
          </w:tcPr>
          <w:p w14:paraId="32E2EF97">
            <w:pPr>
              <w:pStyle w:val="23"/>
            </w:pPr>
          </w:p>
        </w:tc>
      </w:tr>
      <w:tr w14:paraId="65CE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65" w:type="pct"/>
            <w:tcBorders>
              <w:tl2br w:val="nil"/>
              <w:tr2bl w:val="nil"/>
            </w:tcBorders>
            <w:tcMar>
              <w:top w:w="57" w:type="dxa"/>
              <w:left w:w="57" w:type="dxa"/>
              <w:bottom w:w="57" w:type="dxa"/>
              <w:right w:w="57" w:type="dxa"/>
            </w:tcMar>
            <w:vAlign w:val="center"/>
          </w:tcPr>
          <w:p w14:paraId="075ABEC9">
            <w:pPr>
              <w:pStyle w:val="23"/>
              <w:jc w:val="center"/>
            </w:pPr>
            <w:r>
              <w:rPr>
                <w:rFonts w:hint="eastAsia"/>
              </w:rPr>
              <w:t>15</w:t>
            </w:r>
          </w:p>
        </w:tc>
        <w:tc>
          <w:tcPr>
            <w:tcW w:w="281" w:type="pct"/>
            <w:vMerge w:val="continue"/>
            <w:tcBorders>
              <w:tl2br w:val="nil"/>
              <w:tr2bl w:val="nil"/>
            </w:tcBorders>
            <w:noWrap/>
            <w:tcMar>
              <w:top w:w="57" w:type="dxa"/>
              <w:left w:w="57" w:type="dxa"/>
              <w:bottom w:w="57" w:type="dxa"/>
              <w:right w:w="57" w:type="dxa"/>
            </w:tcMar>
            <w:vAlign w:val="center"/>
          </w:tcPr>
          <w:p w14:paraId="3F55CEFB">
            <w:pPr>
              <w:pStyle w:val="23"/>
              <w:jc w:val="center"/>
            </w:pPr>
          </w:p>
        </w:tc>
        <w:tc>
          <w:tcPr>
            <w:tcW w:w="2971" w:type="pct"/>
            <w:tcBorders>
              <w:tl2br w:val="nil"/>
              <w:tr2bl w:val="nil"/>
            </w:tcBorders>
            <w:tcMar>
              <w:top w:w="57" w:type="dxa"/>
              <w:left w:w="57" w:type="dxa"/>
              <w:bottom w:w="57" w:type="dxa"/>
              <w:right w:w="57" w:type="dxa"/>
            </w:tcMar>
            <w:vAlign w:val="center"/>
          </w:tcPr>
          <w:p w14:paraId="59F2423B">
            <w:pPr>
              <w:pStyle w:val="23"/>
            </w:pPr>
            <w:r>
              <w:rPr>
                <w:rFonts w:hint="eastAsia"/>
              </w:rPr>
              <w:t>总部企业租用、购置、新建办公用房的，按同地段租金平均价格的50%标准给予补助；在5年内对综合型总部企业单项奖励累计不超过200万元，对功能型总部企业单项奖励累计不超过100万元。对世界500强设立综合型总部企业的一次性补助300万元，设立功能型总部企业的一次性补助200万元。</w:t>
            </w:r>
          </w:p>
        </w:tc>
        <w:tc>
          <w:tcPr>
            <w:tcW w:w="1481" w:type="pct"/>
            <w:vMerge w:val="continue"/>
            <w:tcBorders>
              <w:tl2br w:val="nil"/>
              <w:tr2bl w:val="nil"/>
            </w:tcBorders>
            <w:tcMar>
              <w:top w:w="57" w:type="dxa"/>
              <w:left w:w="57" w:type="dxa"/>
              <w:bottom w:w="57" w:type="dxa"/>
              <w:right w:w="57" w:type="dxa"/>
            </w:tcMar>
            <w:vAlign w:val="center"/>
          </w:tcPr>
          <w:p w14:paraId="3DE3C37A">
            <w:pPr>
              <w:pStyle w:val="23"/>
            </w:pPr>
          </w:p>
        </w:tc>
      </w:tr>
      <w:tr w14:paraId="40C4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65" w:type="pct"/>
            <w:tcBorders>
              <w:tl2br w:val="nil"/>
              <w:tr2bl w:val="nil"/>
            </w:tcBorders>
            <w:tcMar>
              <w:top w:w="57" w:type="dxa"/>
              <w:left w:w="57" w:type="dxa"/>
              <w:bottom w:w="57" w:type="dxa"/>
              <w:right w:w="57" w:type="dxa"/>
            </w:tcMar>
            <w:vAlign w:val="center"/>
          </w:tcPr>
          <w:p w14:paraId="4D1A4F85">
            <w:pPr>
              <w:pStyle w:val="23"/>
              <w:jc w:val="center"/>
            </w:pPr>
            <w:r>
              <w:rPr>
                <w:rFonts w:hint="eastAsia"/>
              </w:rPr>
              <w:t>16</w:t>
            </w:r>
          </w:p>
        </w:tc>
        <w:tc>
          <w:tcPr>
            <w:tcW w:w="281" w:type="pct"/>
            <w:vMerge w:val="continue"/>
            <w:tcBorders>
              <w:tl2br w:val="nil"/>
              <w:tr2bl w:val="nil"/>
            </w:tcBorders>
            <w:noWrap/>
            <w:tcMar>
              <w:top w:w="57" w:type="dxa"/>
              <w:left w:w="57" w:type="dxa"/>
              <w:bottom w:w="57" w:type="dxa"/>
              <w:right w:w="57" w:type="dxa"/>
            </w:tcMar>
            <w:vAlign w:val="center"/>
          </w:tcPr>
          <w:p w14:paraId="05697577">
            <w:pPr>
              <w:pStyle w:val="23"/>
              <w:jc w:val="center"/>
            </w:pPr>
          </w:p>
        </w:tc>
        <w:tc>
          <w:tcPr>
            <w:tcW w:w="2971" w:type="pct"/>
            <w:tcBorders>
              <w:tl2br w:val="nil"/>
              <w:tr2bl w:val="nil"/>
            </w:tcBorders>
            <w:tcMar>
              <w:top w:w="57" w:type="dxa"/>
              <w:left w:w="57" w:type="dxa"/>
              <w:bottom w:w="57" w:type="dxa"/>
              <w:right w:w="57" w:type="dxa"/>
            </w:tcMar>
            <w:vAlign w:val="center"/>
          </w:tcPr>
          <w:p w14:paraId="39CC0908">
            <w:pPr>
              <w:pStyle w:val="23"/>
            </w:pPr>
            <w:r>
              <w:rPr>
                <w:rFonts w:hint="eastAsia"/>
              </w:rPr>
              <w:t>对在沪深交易所首发上市企业，市级财政最高奖励2000万元（含省政府400万元奖励）；对在美国纽交所、纳斯达克交易所、香港联交所等境外主要交易所上市企业，市级财政一次性奖励1500万元（含省政府300万元奖励）。如企业在A股、境外均实现上市的，可同时享受A股上市奖励和境外上市奖励。对招商引资迁入我市投资经营的异地境内外上市公司，或市内企业按规定异地“买壳”“借壳”上市后，将注册地及纳税地迁入我市且守法经营的，由市级财政一次性奖励1500万元（含省政府300万元奖励）。</w:t>
            </w:r>
          </w:p>
        </w:tc>
        <w:tc>
          <w:tcPr>
            <w:tcW w:w="1481" w:type="pct"/>
            <w:vMerge w:val="continue"/>
            <w:tcBorders>
              <w:tl2br w:val="nil"/>
              <w:tr2bl w:val="nil"/>
            </w:tcBorders>
            <w:tcMar>
              <w:top w:w="57" w:type="dxa"/>
              <w:left w:w="57" w:type="dxa"/>
              <w:bottom w:w="57" w:type="dxa"/>
              <w:right w:w="57" w:type="dxa"/>
            </w:tcMar>
            <w:vAlign w:val="center"/>
          </w:tcPr>
          <w:p w14:paraId="63835796">
            <w:pPr>
              <w:pStyle w:val="23"/>
            </w:pPr>
          </w:p>
        </w:tc>
      </w:tr>
      <w:tr w14:paraId="429E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65" w:type="pct"/>
            <w:tcBorders>
              <w:tl2br w:val="nil"/>
              <w:tr2bl w:val="nil"/>
            </w:tcBorders>
            <w:tcMar>
              <w:top w:w="57" w:type="dxa"/>
              <w:left w:w="57" w:type="dxa"/>
              <w:bottom w:w="57" w:type="dxa"/>
              <w:right w:w="57" w:type="dxa"/>
            </w:tcMar>
            <w:vAlign w:val="center"/>
          </w:tcPr>
          <w:p w14:paraId="3D3F0250">
            <w:pPr>
              <w:pStyle w:val="23"/>
              <w:jc w:val="center"/>
            </w:pPr>
            <w:r>
              <w:rPr>
                <w:rFonts w:hint="eastAsia"/>
              </w:rPr>
              <w:t>17</w:t>
            </w:r>
          </w:p>
        </w:tc>
        <w:tc>
          <w:tcPr>
            <w:tcW w:w="281" w:type="pct"/>
            <w:vMerge w:val="continue"/>
            <w:tcBorders>
              <w:tl2br w:val="nil"/>
              <w:tr2bl w:val="nil"/>
            </w:tcBorders>
            <w:noWrap/>
            <w:tcMar>
              <w:top w:w="57" w:type="dxa"/>
              <w:left w:w="57" w:type="dxa"/>
              <w:bottom w:w="57" w:type="dxa"/>
              <w:right w:w="57" w:type="dxa"/>
            </w:tcMar>
            <w:vAlign w:val="center"/>
          </w:tcPr>
          <w:p w14:paraId="35487C26">
            <w:pPr>
              <w:pStyle w:val="23"/>
              <w:jc w:val="center"/>
            </w:pPr>
          </w:p>
        </w:tc>
        <w:tc>
          <w:tcPr>
            <w:tcW w:w="2971" w:type="pct"/>
            <w:tcBorders>
              <w:tl2br w:val="nil"/>
              <w:tr2bl w:val="nil"/>
            </w:tcBorders>
            <w:tcMar>
              <w:top w:w="57" w:type="dxa"/>
              <w:left w:w="57" w:type="dxa"/>
              <w:bottom w:w="57" w:type="dxa"/>
              <w:right w:w="57" w:type="dxa"/>
            </w:tcMar>
            <w:vAlign w:val="center"/>
          </w:tcPr>
          <w:p w14:paraId="38CF836A">
            <w:pPr>
              <w:pStyle w:val="23"/>
            </w:pPr>
            <w:r>
              <w:rPr>
                <w:rFonts w:hint="eastAsia"/>
              </w:rPr>
              <w:t>新引进工业企业达产后，对本市经济发展作出的贡献达到一定标准，可按年物流运输费用总额的10%对企业货物物流运输费用给予补贴，累计补贴不超过5年，每年补贴不超过300万元。</w:t>
            </w:r>
          </w:p>
        </w:tc>
        <w:tc>
          <w:tcPr>
            <w:tcW w:w="1481" w:type="pct"/>
            <w:vMerge w:val="continue"/>
            <w:tcBorders>
              <w:tl2br w:val="nil"/>
              <w:tr2bl w:val="nil"/>
            </w:tcBorders>
            <w:tcMar>
              <w:top w:w="57" w:type="dxa"/>
              <w:left w:w="57" w:type="dxa"/>
              <w:bottom w:w="57" w:type="dxa"/>
              <w:right w:w="57" w:type="dxa"/>
            </w:tcMar>
            <w:vAlign w:val="center"/>
          </w:tcPr>
          <w:p w14:paraId="0BF14989">
            <w:pPr>
              <w:pStyle w:val="23"/>
            </w:pPr>
          </w:p>
        </w:tc>
      </w:tr>
      <w:tr w14:paraId="51EE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65" w:type="pct"/>
            <w:tcBorders>
              <w:tl2br w:val="nil"/>
              <w:tr2bl w:val="nil"/>
            </w:tcBorders>
            <w:tcMar>
              <w:top w:w="57" w:type="dxa"/>
              <w:left w:w="57" w:type="dxa"/>
              <w:bottom w:w="57" w:type="dxa"/>
              <w:right w:w="57" w:type="dxa"/>
            </w:tcMar>
            <w:vAlign w:val="center"/>
          </w:tcPr>
          <w:p w14:paraId="5F368313">
            <w:pPr>
              <w:pStyle w:val="23"/>
              <w:jc w:val="center"/>
            </w:pPr>
            <w:r>
              <w:rPr>
                <w:rFonts w:hint="eastAsia"/>
              </w:rPr>
              <w:t>18</w:t>
            </w:r>
          </w:p>
        </w:tc>
        <w:tc>
          <w:tcPr>
            <w:tcW w:w="281" w:type="pct"/>
            <w:vMerge w:val="continue"/>
            <w:tcBorders>
              <w:tl2br w:val="nil"/>
              <w:tr2bl w:val="nil"/>
            </w:tcBorders>
            <w:noWrap/>
            <w:tcMar>
              <w:top w:w="57" w:type="dxa"/>
              <w:left w:w="57" w:type="dxa"/>
              <w:bottom w:w="57" w:type="dxa"/>
              <w:right w:w="57" w:type="dxa"/>
            </w:tcMar>
            <w:vAlign w:val="center"/>
          </w:tcPr>
          <w:p w14:paraId="494F59C7">
            <w:pPr>
              <w:pStyle w:val="23"/>
              <w:jc w:val="center"/>
            </w:pPr>
          </w:p>
        </w:tc>
        <w:tc>
          <w:tcPr>
            <w:tcW w:w="2971" w:type="pct"/>
            <w:tcBorders>
              <w:tl2br w:val="nil"/>
              <w:tr2bl w:val="nil"/>
            </w:tcBorders>
            <w:tcMar>
              <w:top w:w="57" w:type="dxa"/>
              <w:left w:w="57" w:type="dxa"/>
              <w:bottom w:w="57" w:type="dxa"/>
              <w:right w:w="57" w:type="dxa"/>
            </w:tcMar>
            <w:vAlign w:val="center"/>
          </w:tcPr>
          <w:p w14:paraId="0433F406">
            <w:pPr>
              <w:pStyle w:val="23"/>
            </w:pPr>
            <w:r>
              <w:rPr>
                <w:rFonts w:hint="eastAsia"/>
              </w:rPr>
              <w:t>1.项目投资补助（含贷款贴息）。年度在建项目，按第三方机构评估得分和权重分配。总投资2000万元（含，下同）以上的，给予不低于50万元资金补助；总投资5000万元以上的，给予不低于100万元资金补助；总投资1亿元以上的，给予不低于150万元资金补助。</w:t>
            </w:r>
          </w:p>
          <w:p w14:paraId="58253DA7">
            <w:pPr>
              <w:pStyle w:val="23"/>
            </w:pPr>
            <w:r>
              <w:rPr>
                <w:rFonts w:hint="eastAsia"/>
              </w:rPr>
              <w:t>2.奖励。对纳入年度省服务业“五个一百工程”的重点品牌每个企业奖励不超过50万元（含），主要用于品牌推广。</w:t>
            </w:r>
          </w:p>
        </w:tc>
        <w:tc>
          <w:tcPr>
            <w:tcW w:w="1481" w:type="pct"/>
            <w:tcBorders>
              <w:tl2br w:val="nil"/>
              <w:tr2bl w:val="nil"/>
            </w:tcBorders>
            <w:tcMar>
              <w:top w:w="57" w:type="dxa"/>
              <w:left w:w="57" w:type="dxa"/>
              <w:bottom w:w="57" w:type="dxa"/>
              <w:right w:w="57" w:type="dxa"/>
            </w:tcMar>
            <w:vAlign w:val="center"/>
          </w:tcPr>
          <w:p w14:paraId="27BB27B4">
            <w:pPr>
              <w:pStyle w:val="23"/>
            </w:pPr>
            <w:r>
              <w:rPr>
                <w:rFonts w:hint="eastAsia"/>
              </w:rPr>
              <w:t>2021年11月30日，《鄂州市发展和改革委员会 鄂州市财政局关于印发&lt;鄂州市使用省级服务业发展引导资金实施细则&gt;的通知》（鄂州发改服务〔2021〕303号）</w:t>
            </w:r>
          </w:p>
        </w:tc>
      </w:tr>
      <w:tr w14:paraId="4F051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65" w:type="pct"/>
            <w:tcBorders>
              <w:tl2br w:val="nil"/>
              <w:tr2bl w:val="nil"/>
            </w:tcBorders>
            <w:tcMar>
              <w:top w:w="57" w:type="dxa"/>
              <w:left w:w="57" w:type="dxa"/>
              <w:bottom w:w="57" w:type="dxa"/>
              <w:right w:w="57" w:type="dxa"/>
            </w:tcMar>
            <w:vAlign w:val="center"/>
          </w:tcPr>
          <w:p w14:paraId="588AAFE1">
            <w:pPr>
              <w:pStyle w:val="23"/>
              <w:jc w:val="center"/>
            </w:pPr>
            <w:r>
              <w:rPr>
                <w:rFonts w:hint="eastAsia"/>
              </w:rPr>
              <w:t>19</w:t>
            </w:r>
          </w:p>
        </w:tc>
        <w:tc>
          <w:tcPr>
            <w:tcW w:w="281" w:type="pct"/>
            <w:vMerge w:val="continue"/>
            <w:tcBorders>
              <w:tl2br w:val="nil"/>
              <w:tr2bl w:val="nil"/>
            </w:tcBorders>
            <w:noWrap/>
            <w:tcMar>
              <w:top w:w="57" w:type="dxa"/>
              <w:left w:w="57" w:type="dxa"/>
              <w:bottom w:w="57" w:type="dxa"/>
              <w:right w:w="57" w:type="dxa"/>
            </w:tcMar>
            <w:vAlign w:val="center"/>
          </w:tcPr>
          <w:p w14:paraId="5B8A3CDA">
            <w:pPr>
              <w:pStyle w:val="23"/>
              <w:jc w:val="center"/>
            </w:pPr>
          </w:p>
        </w:tc>
        <w:tc>
          <w:tcPr>
            <w:tcW w:w="2971" w:type="pct"/>
            <w:tcBorders>
              <w:tl2br w:val="nil"/>
              <w:tr2bl w:val="nil"/>
            </w:tcBorders>
            <w:tcMar>
              <w:top w:w="57" w:type="dxa"/>
              <w:left w:w="57" w:type="dxa"/>
              <w:bottom w:w="57" w:type="dxa"/>
              <w:right w:w="57" w:type="dxa"/>
            </w:tcMar>
            <w:vAlign w:val="center"/>
          </w:tcPr>
          <w:p w14:paraId="614D6989">
            <w:pPr>
              <w:pStyle w:val="23"/>
            </w:pPr>
            <w:r>
              <w:rPr>
                <w:rFonts w:hint="eastAsia"/>
              </w:rPr>
              <w:t>对鄂州市运营幸福食堂的企业或社会组织，按照智慧养老平台监管统计的老年人实际就餐人次给予3元/次伙食补贴；原则上每半年结算一次，提供每家每年不超过10万元。</w:t>
            </w:r>
          </w:p>
        </w:tc>
        <w:tc>
          <w:tcPr>
            <w:tcW w:w="1481" w:type="pct"/>
            <w:tcBorders>
              <w:tl2br w:val="nil"/>
              <w:tr2bl w:val="nil"/>
            </w:tcBorders>
            <w:tcMar>
              <w:top w:w="57" w:type="dxa"/>
              <w:left w:w="57" w:type="dxa"/>
              <w:bottom w:w="57" w:type="dxa"/>
              <w:right w:w="57" w:type="dxa"/>
            </w:tcMar>
            <w:vAlign w:val="center"/>
          </w:tcPr>
          <w:p w14:paraId="71D68DA6">
            <w:pPr>
              <w:pStyle w:val="23"/>
            </w:pPr>
            <w:r>
              <w:rPr>
                <w:rFonts w:hint="eastAsia"/>
              </w:rPr>
              <w:t>2021年12月21日，《关于印发&lt;鄂州市养老服务机构补贴实施细则&gt;的通知》（鄂州民政文〔2021〕89号）</w:t>
            </w:r>
          </w:p>
        </w:tc>
      </w:tr>
      <w:tr w14:paraId="07CF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65" w:type="pct"/>
            <w:tcBorders>
              <w:tl2br w:val="nil"/>
              <w:tr2bl w:val="nil"/>
            </w:tcBorders>
            <w:tcMar>
              <w:top w:w="57" w:type="dxa"/>
              <w:left w:w="57" w:type="dxa"/>
              <w:bottom w:w="57" w:type="dxa"/>
              <w:right w:w="57" w:type="dxa"/>
            </w:tcMar>
            <w:vAlign w:val="center"/>
          </w:tcPr>
          <w:p w14:paraId="10E44B15">
            <w:pPr>
              <w:pStyle w:val="23"/>
              <w:jc w:val="center"/>
            </w:pPr>
            <w:r>
              <w:rPr>
                <w:rFonts w:hint="eastAsia"/>
              </w:rPr>
              <w:t>20</w:t>
            </w:r>
          </w:p>
        </w:tc>
        <w:tc>
          <w:tcPr>
            <w:tcW w:w="281" w:type="pct"/>
            <w:vMerge w:val="continue"/>
            <w:tcBorders>
              <w:tl2br w:val="nil"/>
              <w:tr2bl w:val="nil"/>
            </w:tcBorders>
            <w:noWrap/>
            <w:tcMar>
              <w:top w:w="57" w:type="dxa"/>
              <w:left w:w="57" w:type="dxa"/>
              <w:bottom w:w="57" w:type="dxa"/>
              <w:right w:w="57" w:type="dxa"/>
            </w:tcMar>
            <w:vAlign w:val="center"/>
          </w:tcPr>
          <w:p w14:paraId="21212FB6">
            <w:pPr>
              <w:pStyle w:val="23"/>
              <w:jc w:val="center"/>
            </w:pPr>
          </w:p>
        </w:tc>
        <w:tc>
          <w:tcPr>
            <w:tcW w:w="2971" w:type="pct"/>
            <w:tcBorders>
              <w:tl2br w:val="nil"/>
              <w:tr2bl w:val="nil"/>
            </w:tcBorders>
            <w:tcMar>
              <w:top w:w="57" w:type="dxa"/>
              <w:left w:w="57" w:type="dxa"/>
              <w:bottom w:w="57" w:type="dxa"/>
              <w:right w:w="57" w:type="dxa"/>
            </w:tcMar>
            <w:vAlign w:val="center"/>
          </w:tcPr>
          <w:p w14:paraId="11300CBF">
            <w:pPr>
              <w:pStyle w:val="23"/>
            </w:pPr>
            <w:r>
              <w:rPr>
                <w:rFonts w:hint="eastAsia"/>
              </w:rPr>
              <w:t>对月度新增入库的规模（限额）以上服务业企业，一次性奖励3万元，次年经营状况良好，且年营业收入增幅达到30%以上的，一次性追加奖励1万元；对年度“小进规”“小进限”企业，一次性奖励2万元。打造精品专业市场，对实现集中收银并纳入服务业统计库的商业综合体，当年一次性奖励15万元。按照交通运输、仓储和邮政业，其他营利性服务业（包括租赁和商务服务业/科学研究和技术服务业/居民服务、修理和其他服务业/文化、体育和娱乐业），信息传输、软件和信息技术服务业，批发和零售业，住宿和餐饮业五大行业分类，规模（限额）以上服务业企业年营业收入增长绝对值对本行业的贡献率前10名（信息传输、软件和信息技术服务业/住宿和餐饮业取前5名）的企业，分别给予1-3名每名5万元、4-5名每名4万元、6-10名每名3万元的奖励。</w:t>
            </w:r>
          </w:p>
        </w:tc>
        <w:tc>
          <w:tcPr>
            <w:tcW w:w="1481" w:type="pct"/>
            <w:vMerge w:val="restart"/>
            <w:tcBorders>
              <w:tl2br w:val="nil"/>
              <w:tr2bl w:val="nil"/>
            </w:tcBorders>
            <w:tcMar>
              <w:top w:w="57" w:type="dxa"/>
              <w:left w:w="57" w:type="dxa"/>
              <w:bottom w:w="57" w:type="dxa"/>
              <w:right w:w="57" w:type="dxa"/>
            </w:tcMar>
            <w:vAlign w:val="center"/>
          </w:tcPr>
          <w:p w14:paraId="7B65B4A1">
            <w:pPr>
              <w:pStyle w:val="23"/>
            </w:pPr>
            <w:r>
              <w:rPr>
                <w:rFonts w:hint="eastAsia"/>
              </w:rPr>
              <w:t>2021年12月29日，《市人民政府关于促进服务业发展若干政策措施的意见（2021年修订）》（鄂州政发〔2019〕3号）</w:t>
            </w:r>
          </w:p>
        </w:tc>
      </w:tr>
      <w:tr w14:paraId="5784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65" w:type="pct"/>
            <w:tcBorders>
              <w:tl2br w:val="nil"/>
              <w:tr2bl w:val="nil"/>
            </w:tcBorders>
            <w:tcMar>
              <w:top w:w="57" w:type="dxa"/>
              <w:left w:w="57" w:type="dxa"/>
              <w:bottom w:w="57" w:type="dxa"/>
              <w:right w:w="57" w:type="dxa"/>
            </w:tcMar>
            <w:vAlign w:val="center"/>
          </w:tcPr>
          <w:p w14:paraId="3DD4DB0D">
            <w:pPr>
              <w:pStyle w:val="23"/>
              <w:jc w:val="center"/>
            </w:pPr>
            <w:r>
              <w:rPr>
                <w:rFonts w:hint="eastAsia"/>
              </w:rPr>
              <w:t>21</w:t>
            </w:r>
          </w:p>
        </w:tc>
        <w:tc>
          <w:tcPr>
            <w:tcW w:w="281" w:type="pct"/>
            <w:vMerge w:val="continue"/>
            <w:tcBorders>
              <w:tl2br w:val="nil"/>
              <w:tr2bl w:val="nil"/>
            </w:tcBorders>
            <w:noWrap/>
            <w:tcMar>
              <w:top w:w="57" w:type="dxa"/>
              <w:left w:w="57" w:type="dxa"/>
              <w:bottom w:w="57" w:type="dxa"/>
              <w:right w:w="57" w:type="dxa"/>
            </w:tcMar>
            <w:vAlign w:val="center"/>
          </w:tcPr>
          <w:p w14:paraId="29E44D67">
            <w:pPr>
              <w:pStyle w:val="23"/>
              <w:jc w:val="center"/>
            </w:pPr>
          </w:p>
        </w:tc>
        <w:tc>
          <w:tcPr>
            <w:tcW w:w="2971" w:type="pct"/>
            <w:tcBorders>
              <w:tl2br w:val="nil"/>
              <w:tr2bl w:val="nil"/>
            </w:tcBorders>
            <w:tcMar>
              <w:top w:w="57" w:type="dxa"/>
              <w:left w:w="57" w:type="dxa"/>
              <w:bottom w:w="57" w:type="dxa"/>
              <w:right w:w="57" w:type="dxa"/>
            </w:tcMar>
            <w:vAlign w:val="center"/>
          </w:tcPr>
          <w:p w14:paraId="367A2D6E">
            <w:pPr>
              <w:pStyle w:val="23"/>
            </w:pPr>
            <w:r>
              <w:rPr>
                <w:rFonts w:hint="eastAsia"/>
              </w:rPr>
              <w:t>对年度纳入省“五个一百工程”的重点企业、重点项目、重点品牌、服务业领军人才计划的企业，一次性奖励5万元（同一个企业同时获得重点企业、重点项目、重点品牌、服务业领军人才计划的可累计奖励）。对首次列入省重点项目计划且已开工建设的服务业投资项目，给予100万元服务业发展资金配套支持。</w:t>
            </w:r>
          </w:p>
        </w:tc>
        <w:tc>
          <w:tcPr>
            <w:tcW w:w="1481" w:type="pct"/>
            <w:vMerge w:val="continue"/>
            <w:tcBorders>
              <w:tl2br w:val="nil"/>
              <w:tr2bl w:val="nil"/>
            </w:tcBorders>
            <w:tcMar>
              <w:top w:w="57" w:type="dxa"/>
              <w:left w:w="57" w:type="dxa"/>
              <w:bottom w:w="57" w:type="dxa"/>
              <w:right w:w="57" w:type="dxa"/>
            </w:tcMar>
            <w:vAlign w:val="center"/>
          </w:tcPr>
          <w:p w14:paraId="082D939B">
            <w:pPr>
              <w:pStyle w:val="23"/>
            </w:pPr>
          </w:p>
        </w:tc>
      </w:tr>
      <w:tr w14:paraId="3C64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265" w:type="pct"/>
            <w:tcBorders>
              <w:tl2br w:val="nil"/>
              <w:tr2bl w:val="nil"/>
            </w:tcBorders>
            <w:tcMar>
              <w:top w:w="57" w:type="dxa"/>
              <w:left w:w="57" w:type="dxa"/>
              <w:bottom w:w="57" w:type="dxa"/>
              <w:right w:w="57" w:type="dxa"/>
            </w:tcMar>
            <w:vAlign w:val="center"/>
          </w:tcPr>
          <w:p w14:paraId="09DAFE86">
            <w:pPr>
              <w:pStyle w:val="23"/>
              <w:jc w:val="center"/>
            </w:pPr>
            <w:r>
              <w:rPr>
                <w:rFonts w:hint="eastAsia"/>
              </w:rPr>
              <w:t>22</w:t>
            </w:r>
          </w:p>
        </w:tc>
        <w:tc>
          <w:tcPr>
            <w:tcW w:w="281" w:type="pct"/>
            <w:vMerge w:val="continue"/>
            <w:tcBorders>
              <w:tl2br w:val="nil"/>
              <w:tr2bl w:val="nil"/>
            </w:tcBorders>
            <w:noWrap/>
            <w:tcMar>
              <w:top w:w="57" w:type="dxa"/>
              <w:left w:w="57" w:type="dxa"/>
              <w:bottom w:w="57" w:type="dxa"/>
              <w:right w:w="57" w:type="dxa"/>
            </w:tcMar>
            <w:vAlign w:val="center"/>
          </w:tcPr>
          <w:p w14:paraId="31631400">
            <w:pPr>
              <w:pStyle w:val="23"/>
              <w:jc w:val="center"/>
            </w:pPr>
          </w:p>
        </w:tc>
        <w:tc>
          <w:tcPr>
            <w:tcW w:w="2971" w:type="pct"/>
            <w:tcBorders>
              <w:tl2br w:val="nil"/>
              <w:tr2bl w:val="nil"/>
            </w:tcBorders>
            <w:tcMar>
              <w:top w:w="57" w:type="dxa"/>
              <w:left w:w="57" w:type="dxa"/>
              <w:bottom w:w="57" w:type="dxa"/>
              <w:right w:w="57" w:type="dxa"/>
            </w:tcMar>
            <w:vAlign w:val="center"/>
          </w:tcPr>
          <w:p w14:paraId="41031C1E">
            <w:pPr>
              <w:pStyle w:val="23"/>
            </w:pPr>
            <w:r>
              <w:rPr>
                <w:rFonts w:hint="eastAsia"/>
              </w:rPr>
              <w:t>成功获评国家或省级“中华老字号”、“湖北老字号”、中国驰名商标、地理标志证明商标、国际注册商标品牌的，分别一次性奖励50万元、20万元、60万元、10万元、5万元；规模（限额）企业首次注册服务业自主商标并创牌成功的，一次性给予5万元奖励。对当年参与服务业标准化制定并获国家批复的执行标准或规范，一次性奖励50万元；获省批复的执行标准或规范，一次性奖励20万元。对首次获市级及市级以上服务业诚信经营、优质服务表彰的经营主体给予5万元奖励。鼓励规模（限额）以上服务业企业参加国内外重大展览、展示等宣传推介活动，对获得省级以上金奖的展品一次性奖励5万元。</w:t>
            </w:r>
          </w:p>
        </w:tc>
        <w:tc>
          <w:tcPr>
            <w:tcW w:w="1481" w:type="pct"/>
            <w:vMerge w:val="continue"/>
            <w:tcBorders>
              <w:tl2br w:val="nil"/>
              <w:tr2bl w:val="nil"/>
            </w:tcBorders>
            <w:tcMar>
              <w:top w:w="57" w:type="dxa"/>
              <w:left w:w="57" w:type="dxa"/>
              <w:bottom w:w="57" w:type="dxa"/>
              <w:right w:w="57" w:type="dxa"/>
            </w:tcMar>
            <w:vAlign w:val="center"/>
          </w:tcPr>
          <w:p w14:paraId="2F5A75C1">
            <w:pPr>
              <w:pStyle w:val="23"/>
            </w:pPr>
          </w:p>
        </w:tc>
      </w:tr>
      <w:tr w14:paraId="417E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265" w:type="pct"/>
            <w:tcBorders>
              <w:tl2br w:val="nil"/>
              <w:tr2bl w:val="nil"/>
            </w:tcBorders>
            <w:tcMar>
              <w:top w:w="57" w:type="dxa"/>
              <w:left w:w="57" w:type="dxa"/>
              <w:bottom w:w="57" w:type="dxa"/>
              <w:right w:w="57" w:type="dxa"/>
            </w:tcMar>
            <w:vAlign w:val="center"/>
          </w:tcPr>
          <w:p w14:paraId="6AE69422">
            <w:pPr>
              <w:pStyle w:val="23"/>
              <w:jc w:val="center"/>
            </w:pPr>
            <w:r>
              <w:rPr>
                <w:rFonts w:hint="eastAsia"/>
              </w:rPr>
              <w:t>23</w:t>
            </w:r>
          </w:p>
        </w:tc>
        <w:tc>
          <w:tcPr>
            <w:tcW w:w="281" w:type="pct"/>
            <w:vMerge w:val="continue"/>
            <w:tcBorders>
              <w:tl2br w:val="nil"/>
              <w:tr2bl w:val="nil"/>
            </w:tcBorders>
            <w:noWrap/>
            <w:tcMar>
              <w:top w:w="57" w:type="dxa"/>
              <w:left w:w="57" w:type="dxa"/>
              <w:bottom w:w="57" w:type="dxa"/>
              <w:right w:w="57" w:type="dxa"/>
            </w:tcMar>
            <w:vAlign w:val="center"/>
          </w:tcPr>
          <w:p w14:paraId="2ACDD2BD">
            <w:pPr>
              <w:pStyle w:val="23"/>
              <w:jc w:val="center"/>
            </w:pPr>
          </w:p>
        </w:tc>
        <w:tc>
          <w:tcPr>
            <w:tcW w:w="2971" w:type="pct"/>
            <w:tcBorders>
              <w:tl2br w:val="nil"/>
              <w:tr2bl w:val="nil"/>
            </w:tcBorders>
            <w:tcMar>
              <w:top w:w="57" w:type="dxa"/>
              <w:left w:w="57" w:type="dxa"/>
              <w:bottom w:w="57" w:type="dxa"/>
              <w:right w:w="57" w:type="dxa"/>
            </w:tcMar>
            <w:vAlign w:val="center"/>
          </w:tcPr>
          <w:p w14:paraId="351A7633">
            <w:pPr>
              <w:pStyle w:val="23"/>
            </w:pPr>
            <w:r>
              <w:rPr>
                <w:rFonts w:hint="eastAsia"/>
              </w:rPr>
              <w:t>对新获国家或省级批复的服务业改革试点区和示范园区，分别一次性奖励50万元和20万元。支持市级以上服务业领军人才投资新建现代服务业示范项目，投资规模达到1亿元以上的（核算工程量），一次性给予50万元资金补助。</w:t>
            </w:r>
          </w:p>
        </w:tc>
        <w:tc>
          <w:tcPr>
            <w:tcW w:w="1481" w:type="pct"/>
            <w:vMerge w:val="continue"/>
            <w:tcBorders>
              <w:tl2br w:val="nil"/>
              <w:tr2bl w:val="nil"/>
            </w:tcBorders>
            <w:tcMar>
              <w:top w:w="57" w:type="dxa"/>
              <w:left w:w="57" w:type="dxa"/>
              <w:bottom w:w="57" w:type="dxa"/>
              <w:right w:w="57" w:type="dxa"/>
            </w:tcMar>
            <w:vAlign w:val="center"/>
          </w:tcPr>
          <w:p w14:paraId="53355EB0">
            <w:pPr>
              <w:pStyle w:val="23"/>
            </w:pPr>
          </w:p>
        </w:tc>
      </w:tr>
      <w:tr w14:paraId="736E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265" w:type="pct"/>
            <w:tcBorders>
              <w:tl2br w:val="nil"/>
              <w:tr2bl w:val="nil"/>
            </w:tcBorders>
            <w:tcMar>
              <w:top w:w="57" w:type="dxa"/>
              <w:left w:w="57" w:type="dxa"/>
              <w:bottom w:w="57" w:type="dxa"/>
              <w:right w:w="57" w:type="dxa"/>
            </w:tcMar>
            <w:vAlign w:val="center"/>
          </w:tcPr>
          <w:p w14:paraId="2A944B4A">
            <w:pPr>
              <w:pStyle w:val="23"/>
              <w:jc w:val="center"/>
            </w:pPr>
            <w:r>
              <w:rPr>
                <w:rFonts w:hint="eastAsia"/>
              </w:rPr>
              <w:t>24</w:t>
            </w:r>
          </w:p>
        </w:tc>
        <w:tc>
          <w:tcPr>
            <w:tcW w:w="281" w:type="pct"/>
            <w:vMerge w:val="continue"/>
            <w:tcBorders>
              <w:tl2br w:val="nil"/>
              <w:tr2bl w:val="nil"/>
            </w:tcBorders>
            <w:noWrap/>
            <w:tcMar>
              <w:top w:w="57" w:type="dxa"/>
              <w:left w:w="57" w:type="dxa"/>
              <w:bottom w:w="57" w:type="dxa"/>
              <w:right w:w="57" w:type="dxa"/>
            </w:tcMar>
            <w:vAlign w:val="center"/>
          </w:tcPr>
          <w:p w14:paraId="16192FBA">
            <w:pPr>
              <w:pStyle w:val="23"/>
              <w:jc w:val="center"/>
            </w:pPr>
          </w:p>
        </w:tc>
        <w:tc>
          <w:tcPr>
            <w:tcW w:w="2971" w:type="pct"/>
            <w:tcBorders>
              <w:tl2br w:val="nil"/>
              <w:tr2bl w:val="nil"/>
            </w:tcBorders>
            <w:tcMar>
              <w:top w:w="57" w:type="dxa"/>
              <w:left w:w="57" w:type="dxa"/>
              <w:bottom w:w="57" w:type="dxa"/>
              <w:right w:w="57" w:type="dxa"/>
            </w:tcMar>
            <w:vAlign w:val="center"/>
          </w:tcPr>
          <w:p w14:paraId="5F489DE1">
            <w:pPr>
              <w:pStyle w:val="23"/>
            </w:pPr>
            <w:r>
              <w:rPr>
                <w:rFonts w:hint="eastAsia"/>
              </w:rPr>
              <w:t>对在我市注册且在我市汇总缴纳税款的国际性、全国性和区域性服务业企业总公司或子公司，年营业收入达到5000万元（含）以上和销售额达到1亿元（含）以上且纳入规模、限额以上服务业统计库的（住餐企业参照规模服务业企业标准），一次性给予50万元奖励。特殊情况按“一事一议”原则给予一次性奖励。对当年进入全国服务业500强或湖北省服务业100强的企业，一次性奖励100万元。</w:t>
            </w:r>
          </w:p>
        </w:tc>
        <w:tc>
          <w:tcPr>
            <w:tcW w:w="1481" w:type="pct"/>
            <w:vMerge w:val="continue"/>
            <w:tcBorders>
              <w:tl2br w:val="nil"/>
              <w:tr2bl w:val="nil"/>
            </w:tcBorders>
            <w:tcMar>
              <w:top w:w="57" w:type="dxa"/>
              <w:left w:w="57" w:type="dxa"/>
              <w:bottom w:w="57" w:type="dxa"/>
              <w:right w:w="57" w:type="dxa"/>
            </w:tcMar>
            <w:vAlign w:val="center"/>
          </w:tcPr>
          <w:p w14:paraId="7FDD9A20">
            <w:pPr>
              <w:pStyle w:val="23"/>
            </w:pPr>
          </w:p>
        </w:tc>
      </w:tr>
      <w:tr w14:paraId="0409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265" w:type="pct"/>
            <w:tcBorders>
              <w:tl2br w:val="nil"/>
              <w:tr2bl w:val="nil"/>
            </w:tcBorders>
            <w:tcMar>
              <w:top w:w="57" w:type="dxa"/>
              <w:left w:w="57" w:type="dxa"/>
              <w:bottom w:w="57" w:type="dxa"/>
              <w:right w:w="57" w:type="dxa"/>
            </w:tcMar>
            <w:vAlign w:val="center"/>
          </w:tcPr>
          <w:p w14:paraId="78B7B3BB">
            <w:pPr>
              <w:pStyle w:val="23"/>
              <w:jc w:val="center"/>
            </w:pPr>
            <w:r>
              <w:rPr>
                <w:rFonts w:hint="eastAsia"/>
              </w:rPr>
              <w:t>25</w:t>
            </w:r>
          </w:p>
        </w:tc>
        <w:tc>
          <w:tcPr>
            <w:tcW w:w="281" w:type="pct"/>
            <w:vMerge w:val="continue"/>
            <w:tcBorders>
              <w:tl2br w:val="nil"/>
              <w:tr2bl w:val="nil"/>
            </w:tcBorders>
            <w:noWrap/>
            <w:tcMar>
              <w:top w:w="57" w:type="dxa"/>
              <w:left w:w="57" w:type="dxa"/>
              <w:bottom w:w="57" w:type="dxa"/>
              <w:right w:w="57" w:type="dxa"/>
            </w:tcMar>
            <w:vAlign w:val="center"/>
          </w:tcPr>
          <w:p w14:paraId="3A76FF5A">
            <w:pPr>
              <w:pStyle w:val="23"/>
              <w:jc w:val="center"/>
            </w:pPr>
          </w:p>
        </w:tc>
        <w:tc>
          <w:tcPr>
            <w:tcW w:w="2971" w:type="pct"/>
            <w:tcBorders>
              <w:tl2br w:val="nil"/>
              <w:tr2bl w:val="nil"/>
            </w:tcBorders>
            <w:tcMar>
              <w:top w:w="57" w:type="dxa"/>
              <w:left w:w="57" w:type="dxa"/>
              <w:bottom w:w="57" w:type="dxa"/>
              <w:right w:w="57" w:type="dxa"/>
            </w:tcMar>
            <w:vAlign w:val="center"/>
          </w:tcPr>
          <w:p w14:paraId="022EE143">
            <w:pPr>
              <w:pStyle w:val="23"/>
            </w:pPr>
            <w:r>
              <w:rPr>
                <w:rFonts w:hint="eastAsia"/>
              </w:rPr>
              <w:t>将规模（限额）以上服务业企业法代表人、高层管理人员纳入市级服务业人才库。对符合条件的，优先推荐列入国家、省、市级现代服务业领军人才培养计划，并分别一次性奖励所在企业10万元、5万元和2万元。</w:t>
            </w:r>
          </w:p>
        </w:tc>
        <w:tc>
          <w:tcPr>
            <w:tcW w:w="1481" w:type="pct"/>
            <w:vMerge w:val="continue"/>
            <w:tcBorders>
              <w:tl2br w:val="nil"/>
              <w:tr2bl w:val="nil"/>
            </w:tcBorders>
            <w:tcMar>
              <w:top w:w="57" w:type="dxa"/>
              <w:left w:w="57" w:type="dxa"/>
              <w:bottom w:w="57" w:type="dxa"/>
              <w:right w:w="57" w:type="dxa"/>
            </w:tcMar>
            <w:vAlign w:val="center"/>
          </w:tcPr>
          <w:p w14:paraId="5B847857">
            <w:pPr>
              <w:pStyle w:val="23"/>
            </w:pPr>
          </w:p>
        </w:tc>
      </w:tr>
      <w:tr w14:paraId="48CF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265" w:type="pct"/>
            <w:tcBorders>
              <w:tl2br w:val="nil"/>
              <w:tr2bl w:val="nil"/>
            </w:tcBorders>
            <w:tcMar>
              <w:top w:w="57" w:type="dxa"/>
              <w:left w:w="57" w:type="dxa"/>
              <w:bottom w:w="57" w:type="dxa"/>
              <w:right w:w="57" w:type="dxa"/>
            </w:tcMar>
            <w:vAlign w:val="center"/>
          </w:tcPr>
          <w:p w14:paraId="7F60B894">
            <w:pPr>
              <w:pStyle w:val="23"/>
              <w:jc w:val="center"/>
            </w:pPr>
            <w:r>
              <w:rPr>
                <w:rFonts w:hint="eastAsia"/>
              </w:rPr>
              <w:t>26</w:t>
            </w:r>
          </w:p>
        </w:tc>
        <w:tc>
          <w:tcPr>
            <w:tcW w:w="281" w:type="pct"/>
            <w:vMerge w:val="continue"/>
            <w:tcBorders>
              <w:tl2br w:val="nil"/>
              <w:tr2bl w:val="nil"/>
            </w:tcBorders>
            <w:noWrap/>
            <w:tcMar>
              <w:top w:w="57" w:type="dxa"/>
              <w:left w:w="57" w:type="dxa"/>
              <w:bottom w:w="57" w:type="dxa"/>
              <w:right w:w="57" w:type="dxa"/>
            </w:tcMar>
            <w:vAlign w:val="center"/>
          </w:tcPr>
          <w:p w14:paraId="3C960B4A">
            <w:pPr>
              <w:pStyle w:val="23"/>
              <w:jc w:val="center"/>
            </w:pPr>
          </w:p>
        </w:tc>
        <w:tc>
          <w:tcPr>
            <w:tcW w:w="2971" w:type="pct"/>
            <w:tcBorders>
              <w:tl2br w:val="nil"/>
              <w:tr2bl w:val="nil"/>
            </w:tcBorders>
            <w:tcMar>
              <w:top w:w="57" w:type="dxa"/>
              <w:left w:w="57" w:type="dxa"/>
              <w:bottom w:w="57" w:type="dxa"/>
              <w:right w:w="57" w:type="dxa"/>
            </w:tcMar>
            <w:vAlign w:val="center"/>
          </w:tcPr>
          <w:p w14:paraId="633BE3BB">
            <w:pPr>
              <w:pStyle w:val="23"/>
            </w:pPr>
            <w:r>
              <w:rPr>
                <w:rFonts w:hint="eastAsia"/>
              </w:rPr>
              <w:t>1.A级物流企业资助项目，对首次认定的国家1A、2A、3A、4A、5A级的物流企业，分别给予一次性资金补助10万元、20万元、60万元、80万元、100万元，升级只奖补差额。</w:t>
            </w:r>
          </w:p>
          <w:p w14:paraId="0B9C7293">
            <w:pPr>
              <w:pStyle w:val="23"/>
            </w:pPr>
            <w:r>
              <w:rPr>
                <w:rFonts w:hint="eastAsia"/>
              </w:rPr>
              <w:t>2.重点物流企业一次性资助项目，对经国家、湖北省首次认定的重点物流企业，分别给予一次性资金补助80万元、50万元。</w:t>
            </w:r>
          </w:p>
          <w:p w14:paraId="0BE42BA0">
            <w:pPr>
              <w:pStyle w:val="23"/>
            </w:pPr>
            <w:r>
              <w:rPr>
                <w:rFonts w:hint="eastAsia"/>
              </w:rPr>
              <w:t>3.物流设施设备升级一次性资助项目，按照不高于企业投入使用的新增冷链、新能源等设施设备实际投资额的2%给予一次性资金补助，最高资金补助不超过100万元。</w:t>
            </w:r>
          </w:p>
        </w:tc>
        <w:tc>
          <w:tcPr>
            <w:tcW w:w="1481" w:type="pct"/>
            <w:tcBorders>
              <w:tl2br w:val="nil"/>
              <w:tr2bl w:val="nil"/>
            </w:tcBorders>
            <w:tcMar>
              <w:top w:w="57" w:type="dxa"/>
              <w:left w:w="57" w:type="dxa"/>
              <w:bottom w:w="57" w:type="dxa"/>
              <w:right w:w="57" w:type="dxa"/>
            </w:tcMar>
            <w:vAlign w:val="center"/>
          </w:tcPr>
          <w:p w14:paraId="4B6A51C5">
            <w:pPr>
              <w:pStyle w:val="23"/>
            </w:pPr>
            <w:r>
              <w:rPr>
                <w:rFonts w:hint="eastAsia"/>
              </w:rPr>
              <w:t>2022年1月4日，《鄂州市现代物流业发展促进工作领导小组关于印发&lt;鄂州市现代物流业发展专项资金管理办法&gt;的通知》（鄂州物组发〔2022〕1号）</w:t>
            </w:r>
          </w:p>
        </w:tc>
      </w:tr>
      <w:tr w14:paraId="09859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265" w:type="pct"/>
            <w:tcBorders>
              <w:tl2br w:val="nil"/>
              <w:tr2bl w:val="nil"/>
            </w:tcBorders>
            <w:tcMar>
              <w:top w:w="57" w:type="dxa"/>
              <w:left w:w="57" w:type="dxa"/>
              <w:bottom w:w="57" w:type="dxa"/>
              <w:right w:w="57" w:type="dxa"/>
            </w:tcMar>
            <w:vAlign w:val="center"/>
          </w:tcPr>
          <w:p w14:paraId="68B8EE3E">
            <w:pPr>
              <w:pStyle w:val="23"/>
              <w:jc w:val="center"/>
            </w:pPr>
            <w:r>
              <w:rPr>
                <w:rFonts w:hint="eastAsia"/>
              </w:rPr>
              <w:t>27</w:t>
            </w:r>
          </w:p>
        </w:tc>
        <w:tc>
          <w:tcPr>
            <w:tcW w:w="281" w:type="pct"/>
            <w:vMerge w:val="continue"/>
            <w:tcBorders>
              <w:tl2br w:val="nil"/>
              <w:tr2bl w:val="nil"/>
            </w:tcBorders>
            <w:noWrap/>
            <w:tcMar>
              <w:top w:w="57" w:type="dxa"/>
              <w:left w:w="57" w:type="dxa"/>
              <w:bottom w:w="57" w:type="dxa"/>
              <w:right w:w="57" w:type="dxa"/>
            </w:tcMar>
            <w:vAlign w:val="center"/>
          </w:tcPr>
          <w:p w14:paraId="1998A89A">
            <w:pPr>
              <w:pStyle w:val="23"/>
              <w:jc w:val="center"/>
            </w:pPr>
          </w:p>
        </w:tc>
        <w:tc>
          <w:tcPr>
            <w:tcW w:w="2971" w:type="pct"/>
            <w:tcBorders>
              <w:tl2br w:val="nil"/>
              <w:tr2bl w:val="nil"/>
            </w:tcBorders>
            <w:tcMar>
              <w:top w:w="57" w:type="dxa"/>
              <w:left w:w="57" w:type="dxa"/>
              <w:bottom w:w="57" w:type="dxa"/>
              <w:right w:w="57" w:type="dxa"/>
            </w:tcMar>
            <w:vAlign w:val="center"/>
          </w:tcPr>
          <w:p w14:paraId="1088DAE3">
            <w:pPr>
              <w:pStyle w:val="23"/>
            </w:pPr>
            <w:r>
              <w:rPr>
                <w:rFonts w:hint="eastAsia"/>
              </w:rPr>
              <w:t>1.各辖区可按每月网络货运企业对地方财政贡献情况给予奖励，切实支持企业做大做强。年度奖励资金最高为网络货运企业当年对地方新增财政贡献（以2021年度对地方财政贡献为新增基数），用于奖励网络货运企业地方财政贡献的资金比例不低于98%。</w:t>
            </w:r>
          </w:p>
          <w:p w14:paraId="6D42001E">
            <w:pPr>
              <w:pStyle w:val="23"/>
            </w:pPr>
            <w:r>
              <w:rPr>
                <w:rFonts w:hint="eastAsia"/>
              </w:rPr>
              <w:t>2.签约入规的网络货运企业，第一年度每月地方财政贡献总额不少于300万元，全年总额不得少于3600万元，第二至五年地方财政贡献额度递增不得少于25%。</w:t>
            </w:r>
          </w:p>
        </w:tc>
        <w:tc>
          <w:tcPr>
            <w:tcW w:w="1481" w:type="pct"/>
            <w:tcBorders>
              <w:tl2br w:val="nil"/>
              <w:tr2bl w:val="nil"/>
            </w:tcBorders>
            <w:tcMar>
              <w:top w:w="57" w:type="dxa"/>
              <w:left w:w="57" w:type="dxa"/>
              <w:bottom w:w="57" w:type="dxa"/>
              <w:right w:w="57" w:type="dxa"/>
            </w:tcMar>
            <w:vAlign w:val="center"/>
          </w:tcPr>
          <w:p w14:paraId="180B6DF2">
            <w:pPr>
              <w:pStyle w:val="23"/>
            </w:pPr>
            <w:r>
              <w:rPr>
                <w:rFonts w:hint="eastAsia"/>
              </w:rPr>
              <w:t>2022年1月26日，《鄂州市现代物流业发展促进工作领导小组印发&lt;关于支持网络货运产业发展的若干措施&gt;的通知》（鄂州物组发〔2022〕2号）</w:t>
            </w:r>
          </w:p>
        </w:tc>
      </w:tr>
      <w:tr w14:paraId="13F6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5" w:type="pct"/>
            <w:tcBorders>
              <w:tl2br w:val="nil"/>
              <w:tr2bl w:val="nil"/>
            </w:tcBorders>
            <w:tcMar>
              <w:top w:w="57" w:type="dxa"/>
              <w:left w:w="57" w:type="dxa"/>
              <w:bottom w:w="57" w:type="dxa"/>
              <w:right w:w="57" w:type="dxa"/>
            </w:tcMar>
            <w:vAlign w:val="center"/>
          </w:tcPr>
          <w:p w14:paraId="65209111">
            <w:pPr>
              <w:pStyle w:val="23"/>
              <w:jc w:val="center"/>
            </w:pPr>
            <w:r>
              <w:rPr>
                <w:rFonts w:hint="eastAsia"/>
              </w:rPr>
              <w:t>28</w:t>
            </w:r>
          </w:p>
        </w:tc>
        <w:tc>
          <w:tcPr>
            <w:tcW w:w="281" w:type="pct"/>
            <w:vMerge w:val="continue"/>
            <w:tcBorders>
              <w:tl2br w:val="nil"/>
              <w:tr2bl w:val="nil"/>
            </w:tcBorders>
            <w:noWrap/>
            <w:tcMar>
              <w:top w:w="57" w:type="dxa"/>
              <w:left w:w="57" w:type="dxa"/>
              <w:bottom w:w="57" w:type="dxa"/>
              <w:right w:w="57" w:type="dxa"/>
            </w:tcMar>
            <w:vAlign w:val="center"/>
          </w:tcPr>
          <w:p w14:paraId="2D6A1C75">
            <w:pPr>
              <w:pStyle w:val="23"/>
              <w:jc w:val="center"/>
            </w:pPr>
          </w:p>
        </w:tc>
        <w:tc>
          <w:tcPr>
            <w:tcW w:w="2971" w:type="pct"/>
            <w:tcBorders>
              <w:tl2br w:val="nil"/>
              <w:tr2bl w:val="nil"/>
            </w:tcBorders>
            <w:tcMar>
              <w:top w:w="57" w:type="dxa"/>
              <w:left w:w="57" w:type="dxa"/>
              <w:bottom w:w="57" w:type="dxa"/>
              <w:right w:w="57" w:type="dxa"/>
            </w:tcMar>
            <w:vAlign w:val="center"/>
          </w:tcPr>
          <w:p w14:paraId="5AD281D4">
            <w:pPr>
              <w:pStyle w:val="23"/>
            </w:pPr>
            <w:r>
              <w:rPr>
                <w:rFonts w:hint="eastAsia"/>
              </w:rPr>
              <w:t>对上年度营业收入首次达到1亿元、10亿元、50亿元、100亿元的5G 产业链企业（关键材料、芯片、元器件、传感器、模组及终端等企业），分别给予30万元、100万元、500万元、1000万元的奖励。对获得湖北省经信厅、工信部5G行业示范应用项目的企业，分别给予30万、100万奖励。对鄂州市工业互联网标识解析二级节点建设运营企业给予每年160万元补贴。接入鄂州市二级节点且标识注册量首次达到10万、100万、1000万、5000万的企业，分别给予1万元、3万元、10万元、30万元奖补；支持开展工业互联网标识解析创新应用，标识解析量首次达到1万次的企业给予3万元奖补。上年度已获得标识注册量奖补资金的企业，可继续申报进阶奖补，奖补资金作相应抵扣。</w:t>
            </w:r>
          </w:p>
        </w:tc>
        <w:tc>
          <w:tcPr>
            <w:tcW w:w="1481" w:type="pct"/>
            <w:tcBorders>
              <w:tl2br w:val="nil"/>
              <w:tr2bl w:val="nil"/>
            </w:tcBorders>
            <w:tcMar>
              <w:top w:w="57" w:type="dxa"/>
              <w:left w:w="57" w:type="dxa"/>
              <w:bottom w:w="57" w:type="dxa"/>
              <w:right w:w="57" w:type="dxa"/>
            </w:tcMar>
            <w:vAlign w:val="center"/>
          </w:tcPr>
          <w:p w14:paraId="58CB8D3D">
            <w:pPr>
              <w:pStyle w:val="23"/>
            </w:pPr>
            <w:r>
              <w:rPr>
                <w:rFonts w:hint="eastAsia"/>
              </w:rPr>
              <w:t>2022年3月30日，《市经济和信息化局关于印发鄂州市5G产业发展若干政策措施实施细则的通知》（鄂州经信发〔2022〕4号）</w:t>
            </w:r>
          </w:p>
        </w:tc>
      </w:tr>
      <w:tr w14:paraId="13E9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5" w:type="pct"/>
            <w:tcBorders>
              <w:tl2br w:val="nil"/>
              <w:tr2bl w:val="nil"/>
            </w:tcBorders>
            <w:tcMar>
              <w:top w:w="57" w:type="dxa"/>
              <w:left w:w="57" w:type="dxa"/>
              <w:bottom w:w="57" w:type="dxa"/>
              <w:right w:w="57" w:type="dxa"/>
            </w:tcMar>
            <w:vAlign w:val="center"/>
          </w:tcPr>
          <w:p w14:paraId="673E7174">
            <w:pPr>
              <w:pStyle w:val="23"/>
              <w:jc w:val="center"/>
            </w:pPr>
            <w:r>
              <w:rPr>
                <w:rFonts w:hint="eastAsia"/>
              </w:rPr>
              <w:t>29</w:t>
            </w:r>
          </w:p>
        </w:tc>
        <w:tc>
          <w:tcPr>
            <w:tcW w:w="281" w:type="pct"/>
            <w:vMerge w:val="continue"/>
            <w:tcBorders>
              <w:tl2br w:val="nil"/>
              <w:tr2bl w:val="nil"/>
            </w:tcBorders>
            <w:noWrap/>
            <w:tcMar>
              <w:top w:w="57" w:type="dxa"/>
              <w:left w:w="57" w:type="dxa"/>
              <w:bottom w:w="57" w:type="dxa"/>
              <w:right w:w="57" w:type="dxa"/>
            </w:tcMar>
            <w:vAlign w:val="center"/>
          </w:tcPr>
          <w:p w14:paraId="61936DEB">
            <w:pPr>
              <w:pStyle w:val="23"/>
              <w:jc w:val="center"/>
            </w:pPr>
          </w:p>
        </w:tc>
        <w:tc>
          <w:tcPr>
            <w:tcW w:w="2971" w:type="pct"/>
            <w:tcBorders>
              <w:tl2br w:val="nil"/>
              <w:tr2bl w:val="nil"/>
            </w:tcBorders>
            <w:tcMar>
              <w:top w:w="57" w:type="dxa"/>
              <w:left w:w="57" w:type="dxa"/>
              <w:bottom w:w="57" w:type="dxa"/>
              <w:right w:w="57" w:type="dxa"/>
            </w:tcMar>
            <w:vAlign w:val="center"/>
          </w:tcPr>
          <w:p w14:paraId="6FECB718">
            <w:pPr>
              <w:pStyle w:val="23"/>
            </w:pPr>
            <w:r>
              <w:rPr>
                <w:rFonts w:hint="eastAsia"/>
              </w:rPr>
              <w:t>对获得技术先进型服务企业认定的企业一次性给予10万元奖励。</w:t>
            </w:r>
          </w:p>
        </w:tc>
        <w:tc>
          <w:tcPr>
            <w:tcW w:w="1481" w:type="pct"/>
            <w:vMerge w:val="restart"/>
            <w:tcBorders>
              <w:tl2br w:val="nil"/>
              <w:tr2bl w:val="nil"/>
            </w:tcBorders>
            <w:tcMar>
              <w:top w:w="57" w:type="dxa"/>
              <w:left w:w="57" w:type="dxa"/>
              <w:bottom w:w="57" w:type="dxa"/>
              <w:right w:w="57" w:type="dxa"/>
            </w:tcMar>
            <w:vAlign w:val="center"/>
          </w:tcPr>
          <w:p w14:paraId="6739150B">
            <w:pPr>
              <w:pStyle w:val="23"/>
            </w:pPr>
            <w:r>
              <w:rPr>
                <w:rFonts w:hint="eastAsia"/>
              </w:rPr>
              <w:t>2022年4月18日，《鄂州市财政局关于印发&lt;关于推进惠企政策专项资金“免申即享”的实施方案&gt;的通知 》（鄂州财产发〔2022〕120号）</w:t>
            </w:r>
          </w:p>
        </w:tc>
      </w:tr>
      <w:tr w14:paraId="3F7E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5" w:type="pct"/>
            <w:tcBorders>
              <w:tl2br w:val="nil"/>
              <w:tr2bl w:val="nil"/>
            </w:tcBorders>
            <w:tcMar>
              <w:top w:w="57" w:type="dxa"/>
              <w:left w:w="57" w:type="dxa"/>
              <w:bottom w:w="57" w:type="dxa"/>
              <w:right w:w="57" w:type="dxa"/>
            </w:tcMar>
            <w:vAlign w:val="center"/>
          </w:tcPr>
          <w:p w14:paraId="74946145">
            <w:pPr>
              <w:pStyle w:val="23"/>
              <w:jc w:val="center"/>
            </w:pPr>
            <w:r>
              <w:rPr>
                <w:rFonts w:hint="eastAsia"/>
              </w:rPr>
              <w:t>30</w:t>
            </w:r>
          </w:p>
        </w:tc>
        <w:tc>
          <w:tcPr>
            <w:tcW w:w="281" w:type="pct"/>
            <w:vMerge w:val="continue"/>
            <w:tcBorders>
              <w:tl2br w:val="nil"/>
              <w:tr2bl w:val="nil"/>
            </w:tcBorders>
            <w:noWrap/>
            <w:tcMar>
              <w:top w:w="57" w:type="dxa"/>
              <w:left w:w="57" w:type="dxa"/>
              <w:bottom w:w="57" w:type="dxa"/>
              <w:right w:w="57" w:type="dxa"/>
            </w:tcMar>
            <w:vAlign w:val="center"/>
          </w:tcPr>
          <w:p w14:paraId="7B648607">
            <w:pPr>
              <w:pStyle w:val="23"/>
              <w:jc w:val="center"/>
            </w:pPr>
          </w:p>
        </w:tc>
        <w:tc>
          <w:tcPr>
            <w:tcW w:w="2971" w:type="pct"/>
            <w:tcBorders>
              <w:tl2br w:val="nil"/>
              <w:tr2bl w:val="nil"/>
            </w:tcBorders>
            <w:tcMar>
              <w:top w:w="57" w:type="dxa"/>
              <w:left w:w="57" w:type="dxa"/>
              <w:bottom w:w="57" w:type="dxa"/>
              <w:right w:w="57" w:type="dxa"/>
            </w:tcMar>
            <w:vAlign w:val="center"/>
          </w:tcPr>
          <w:p w14:paraId="5A76C562">
            <w:pPr>
              <w:pStyle w:val="23"/>
            </w:pPr>
            <w:r>
              <w:rPr>
                <w:rFonts w:hint="eastAsia"/>
              </w:rPr>
              <w:t>对新列入的国家级孵化器、国家专业化众创空间示范单位、国家级众创空间，一次性给予50万元补贴。</w:t>
            </w:r>
          </w:p>
        </w:tc>
        <w:tc>
          <w:tcPr>
            <w:tcW w:w="1481" w:type="pct"/>
            <w:vMerge w:val="continue"/>
            <w:tcBorders>
              <w:tl2br w:val="nil"/>
              <w:tr2bl w:val="nil"/>
            </w:tcBorders>
            <w:tcMar>
              <w:top w:w="57" w:type="dxa"/>
              <w:left w:w="57" w:type="dxa"/>
              <w:bottom w:w="57" w:type="dxa"/>
              <w:right w:w="57" w:type="dxa"/>
            </w:tcMar>
            <w:vAlign w:val="center"/>
          </w:tcPr>
          <w:p w14:paraId="197F30C6">
            <w:pPr>
              <w:pStyle w:val="23"/>
            </w:pPr>
          </w:p>
        </w:tc>
      </w:tr>
      <w:tr w14:paraId="5A21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5" w:type="pct"/>
            <w:tcBorders>
              <w:tl2br w:val="nil"/>
              <w:tr2bl w:val="nil"/>
            </w:tcBorders>
            <w:tcMar>
              <w:top w:w="57" w:type="dxa"/>
              <w:left w:w="57" w:type="dxa"/>
              <w:bottom w:w="57" w:type="dxa"/>
              <w:right w:w="57" w:type="dxa"/>
            </w:tcMar>
            <w:vAlign w:val="center"/>
          </w:tcPr>
          <w:p w14:paraId="7E6C0003">
            <w:pPr>
              <w:pStyle w:val="23"/>
              <w:jc w:val="center"/>
            </w:pPr>
            <w:r>
              <w:rPr>
                <w:rFonts w:hint="eastAsia"/>
              </w:rPr>
              <w:t>31</w:t>
            </w:r>
          </w:p>
        </w:tc>
        <w:tc>
          <w:tcPr>
            <w:tcW w:w="281" w:type="pct"/>
            <w:vMerge w:val="continue"/>
            <w:tcBorders>
              <w:tl2br w:val="nil"/>
              <w:tr2bl w:val="nil"/>
            </w:tcBorders>
            <w:noWrap/>
            <w:tcMar>
              <w:top w:w="57" w:type="dxa"/>
              <w:left w:w="57" w:type="dxa"/>
              <w:bottom w:w="57" w:type="dxa"/>
              <w:right w:w="57" w:type="dxa"/>
            </w:tcMar>
            <w:vAlign w:val="center"/>
          </w:tcPr>
          <w:p w14:paraId="1049643C">
            <w:pPr>
              <w:pStyle w:val="23"/>
              <w:jc w:val="center"/>
            </w:pPr>
          </w:p>
        </w:tc>
        <w:tc>
          <w:tcPr>
            <w:tcW w:w="2971" w:type="pct"/>
            <w:tcBorders>
              <w:tl2br w:val="nil"/>
              <w:tr2bl w:val="nil"/>
            </w:tcBorders>
            <w:tcMar>
              <w:top w:w="57" w:type="dxa"/>
              <w:left w:w="57" w:type="dxa"/>
              <w:bottom w:w="57" w:type="dxa"/>
              <w:right w:w="57" w:type="dxa"/>
            </w:tcMar>
            <w:vAlign w:val="center"/>
          </w:tcPr>
          <w:p w14:paraId="6A97100F">
            <w:pPr>
              <w:pStyle w:val="23"/>
            </w:pPr>
            <w:r>
              <w:rPr>
                <w:rFonts w:hint="eastAsia"/>
              </w:rPr>
              <w:t>对新认定的科技企业加速器、省级孵化器、省级众创空间，一次性给予20万元补贴。</w:t>
            </w:r>
          </w:p>
        </w:tc>
        <w:tc>
          <w:tcPr>
            <w:tcW w:w="1481" w:type="pct"/>
            <w:vMerge w:val="continue"/>
            <w:tcBorders>
              <w:tl2br w:val="nil"/>
              <w:tr2bl w:val="nil"/>
            </w:tcBorders>
            <w:tcMar>
              <w:top w:w="57" w:type="dxa"/>
              <w:left w:w="57" w:type="dxa"/>
              <w:bottom w:w="57" w:type="dxa"/>
              <w:right w:w="57" w:type="dxa"/>
            </w:tcMar>
            <w:vAlign w:val="center"/>
          </w:tcPr>
          <w:p w14:paraId="40500D7B">
            <w:pPr>
              <w:pStyle w:val="23"/>
            </w:pPr>
          </w:p>
        </w:tc>
      </w:tr>
      <w:tr w14:paraId="44CB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5" w:type="pct"/>
            <w:tcBorders>
              <w:tl2br w:val="nil"/>
              <w:tr2bl w:val="nil"/>
            </w:tcBorders>
            <w:tcMar>
              <w:top w:w="57" w:type="dxa"/>
              <w:left w:w="57" w:type="dxa"/>
              <w:bottom w:w="57" w:type="dxa"/>
              <w:right w:w="57" w:type="dxa"/>
            </w:tcMar>
            <w:vAlign w:val="center"/>
          </w:tcPr>
          <w:p w14:paraId="62DE232A">
            <w:pPr>
              <w:pStyle w:val="23"/>
              <w:jc w:val="center"/>
            </w:pPr>
            <w:r>
              <w:rPr>
                <w:rFonts w:hint="eastAsia"/>
              </w:rPr>
              <w:t>32</w:t>
            </w:r>
          </w:p>
        </w:tc>
        <w:tc>
          <w:tcPr>
            <w:tcW w:w="281" w:type="pct"/>
            <w:vMerge w:val="continue"/>
            <w:tcBorders>
              <w:tl2br w:val="nil"/>
              <w:tr2bl w:val="nil"/>
            </w:tcBorders>
            <w:noWrap/>
            <w:tcMar>
              <w:top w:w="57" w:type="dxa"/>
              <w:left w:w="57" w:type="dxa"/>
              <w:bottom w:w="57" w:type="dxa"/>
              <w:right w:w="57" w:type="dxa"/>
            </w:tcMar>
            <w:vAlign w:val="center"/>
          </w:tcPr>
          <w:p w14:paraId="7EF7EBFA">
            <w:pPr>
              <w:pStyle w:val="23"/>
              <w:jc w:val="center"/>
            </w:pPr>
          </w:p>
        </w:tc>
        <w:tc>
          <w:tcPr>
            <w:tcW w:w="2971" w:type="pct"/>
            <w:tcBorders>
              <w:tl2br w:val="nil"/>
              <w:tr2bl w:val="nil"/>
            </w:tcBorders>
            <w:tcMar>
              <w:top w:w="57" w:type="dxa"/>
              <w:left w:w="57" w:type="dxa"/>
              <w:bottom w:w="57" w:type="dxa"/>
              <w:right w:w="57" w:type="dxa"/>
            </w:tcMar>
            <w:vAlign w:val="center"/>
          </w:tcPr>
          <w:p w14:paraId="0824E157">
            <w:pPr>
              <w:pStyle w:val="23"/>
            </w:pPr>
            <w:r>
              <w:rPr>
                <w:rFonts w:hint="eastAsia"/>
              </w:rPr>
              <w:t>对实施技术改造后年营业收入首次突破1000亿元、500亿元、100亿元、50亿元的工业企业，分别一次性奖励企业1000万元、500万元、200万元、100万元。</w:t>
            </w:r>
          </w:p>
        </w:tc>
        <w:tc>
          <w:tcPr>
            <w:tcW w:w="1481" w:type="pct"/>
            <w:vMerge w:val="continue"/>
            <w:tcBorders>
              <w:tl2br w:val="nil"/>
              <w:tr2bl w:val="nil"/>
            </w:tcBorders>
            <w:tcMar>
              <w:top w:w="57" w:type="dxa"/>
              <w:left w:w="57" w:type="dxa"/>
              <w:bottom w:w="57" w:type="dxa"/>
              <w:right w:w="57" w:type="dxa"/>
            </w:tcMar>
            <w:vAlign w:val="center"/>
          </w:tcPr>
          <w:p w14:paraId="09E5827A">
            <w:pPr>
              <w:pStyle w:val="23"/>
            </w:pPr>
          </w:p>
        </w:tc>
      </w:tr>
      <w:tr w14:paraId="186A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5" w:type="pct"/>
            <w:tcBorders>
              <w:tl2br w:val="nil"/>
              <w:tr2bl w:val="nil"/>
            </w:tcBorders>
            <w:tcMar>
              <w:top w:w="57" w:type="dxa"/>
              <w:left w:w="57" w:type="dxa"/>
              <w:bottom w:w="57" w:type="dxa"/>
              <w:right w:w="57" w:type="dxa"/>
            </w:tcMar>
            <w:vAlign w:val="center"/>
          </w:tcPr>
          <w:p w14:paraId="439C3C1E">
            <w:pPr>
              <w:pStyle w:val="23"/>
              <w:jc w:val="center"/>
            </w:pPr>
            <w:r>
              <w:rPr>
                <w:rFonts w:hint="eastAsia"/>
              </w:rPr>
              <w:t>33</w:t>
            </w:r>
          </w:p>
        </w:tc>
        <w:tc>
          <w:tcPr>
            <w:tcW w:w="281" w:type="pct"/>
            <w:vMerge w:val="continue"/>
            <w:tcBorders>
              <w:tl2br w:val="nil"/>
              <w:tr2bl w:val="nil"/>
            </w:tcBorders>
            <w:noWrap/>
            <w:tcMar>
              <w:top w:w="57" w:type="dxa"/>
              <w:left w:w="57" w:type="dxa"/>
              <w:bottom w:w="57" w:type="dxa"/>
              <w:right w:w="57" w:type="dxa"/>
            </w:tcMar>
            <w:vAlign w:val="center"/>
          </w:tcPr>
          <w:p w14:paraId="5BBB1CB8">
            <w:pPr>
              <w:pStyle w:val="23"/>
              <w:jc w:val="center"/>
            </w:pPr>
          </w:p>
        </w:tc>
        <w:tc>
          <w:tcPr>
            <w:tcW w:w="2971" w:type="pct"/>
            <w:tcBorders>
              <w:tl2br w:val="nil"/>
              <w:tr2bl w:val="nil"/>
            </w:tcBorders>
            <w:tcMar>
              <w:top w:w="57" w:type="dxa"/>
              <w:left w:w="57" w:type="dxa"/>
              <w:bottom w:w="57" w:type="dxa"/>
              <w:right w:w="57" w:type="dxa"/>
            </w:tcMar>
            <w:vAlign w:val="center"/>
          </w:tcPr>
          <w:p w14:paraId="3449A62C">
            <w:pPr>
              <w:pStyle w:val="23"/>
            </w:pPr>
            <w:r>
              <w:rPr>
                <w:rFonts w:hint="eastAsia"/>
              </w:rPr>
              <w:t>对获得国家和省级专精特新“小巨人”企业，分别给予最高一次性奖补50万元和20万元。</w:t>
            </w:r>
          </w:p>
        </w:tc>
        <w:tc>
          <w:tcPr>
            <w:tcW w:w="1481" w:type="pct"/>
            <w:vMerge w:val="continue"/>
            <w:tcBorders>
              <w:tl2br w:val="nil"/>
              <w:tr2bl w:val="nil"/>
            </w:tcBorders>
            <w:tcMar>
              <w:top w:w="57" w:type="dxa"/>
              <w:left w:w="57" w:type="dxa"/>
              <w:bottom w:w="57" w:type="dxa"/>
              <w:right w:w="57" w:type="dxa"/>
            </w:tcMar>
            <w:vAlign w:val="center"/>
          </w:tcPr>
          <w:p w14:paraId="0878ABF9">
            <w:pPr>
              <w:pStyle w:val="23"/>
            </w:pPr>
          </w:p>
        </w:tc>
      </w:tr>
      <w:tr w14:paraId="7FA3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5" w:type="pct"/>
            <w:tcBorders>
              <w:tl2br w:val="nil"/>
              <w:tr2bl w:val="nil"/>
            </w:tcBorders>
            <w:tcMar>
              <w:top w:w="57" w:type="dxa"/>
              <w:left w:w="57" w:type="dxa"/>
              <w:bottom w:w="57" w:type="dxa"/>
              <w:right w:w="57" w:type="dxa"/>
            </w:tcMar>
            <w:vAlign w:val="center"/>
          </w:tcPr>
          <w:p w14:paraId="38CB5384">
            <w:pPr>
              <w:pStyle w:val="23"/>
              <w:jc w:val="center"/>
            </w:pPr>
            <w:r>
              <w:rPr>
                <w:rFonts w:hint="eastAsia"/>
              </w:rPr>
              <w:t>34</w:t>
            </w:r>
          </w:p>
        </w:tc>
        <w:tc>
          <w:tcPr>
            <w:tcW w:w="281" w:type="pct"/>
            <w:vMerge w:val="continue"/>
            <w:tcBorders>
              <w:tl2br w:val="nil"/>
              <w:tr2bl w:val="nil"/>
            </w:tcBorders>
            <w:noWrap/>
            <w:tcMar>
              <w:top w:w="57" w:type="dxa"/>
              <w:left w:w="57" w:type="dxa"/>
              <w:bottom w:w="57" w:type="dxa"/>
              <w:right w:w="57" w:type="dxa"/>
            </w:tcMar>
            <w:vAlign w:val="center"/>
          </w:tcPr>
          <w:p w14:paraId="6B4FCCFC">
            <w:pPr>
              <w:pStyle w:val="23"/>
              <w:jc w:val="center"/>
            </w:pPr>
          </w:p>
        </w:tc>
        <w:tc>
          <w:tcPr>
            <w:tcW w:w="2971" w:type="pct"/>
            <w:tcBorders>
              <w:tl2br w:val="nil"/>
              <w:tr2bl w:val="nil"/>
            </w:tcBorders>
            <w:tcMar>
              <w:top w:w="57" w:type="dxa"/>
              <w:left w:w="57" w:type="dxa"/>
              <w:bottom w:w="57" w:type="dxa"/>
              <w:right w:w="57" w:type="dxa"/>
            </w:tcMar>
            <w:vAlign w:val="center"/>
          </w:tcPr>
          <w:p w14:paraId="6F77DE2C">
            <w:pPr>
              <w:pStyle w:val="23"/>
            </w:pPr>
            <w:r>
              <w:rPr>
                <w:rFonts w:hint="eastAsia"/>
              </w:rPr>
              <w:t>对获得国家制造业单项冠军及国家智能制造、服务型制造、绿色工厂等试点示范的企业，给予最高一次性奖补100万元。</w:t>
            </w:r>
          </w:p>
        </w:tc>
        <w:tc>
          <w:tcPr>
            <w:tcW w:w="1481" w:type="pct"/>
            <w:vMerge w:val="continue"/>
            <w:tcBorders>
              <w:tl2br w:val="nil"/>
              <w:tr2bl w:val="nil"/>
            </w:tcBorders>
            <w:tcMar>
              <w:top w:w="57" w:type="dxa"/>
              <w:left w:w="57" w:type="dxa"/>
              <w:bottom w:w="57" w:type="dxa"/>
              <w:right w:w="57" w:type="dxa"/>
            </w:tcMar>
            <w:vAlign w:val="center"/>
          </w:tcPr>
          <w:p w14:paraId="64933D49">
            <w:pPr>
              <w:pStyle w:val="23"/>
            </w:pPr>
          </w:p>
        </w:tc>
      </w:tr>
      <w:tr w14:paraId="39B0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5" w:type="pct"/>
            <w:tcBorders>
              <w:tl2br w:val="nil"/>
              <w:tr2bl w:val="nil"/>
            </w:tcBorders>
            <w:tcMar>
              <w:top w:w="57" w:type="dxa"/>
              <w:left w:w="57" w:type="dxa"/>
              <w:bottom w:w="57" w:type="dxa"/>
              <w:right w:w="57" w:type="dxa"/>
            </w:tcMar>
            <w:vAlign w:val="center"/>
          </w:tcPr>
          <w:p w14:paraId="2CDFB9BF">
            <w:pPr>
              <w:pStyle w:val="23"/>
              <w:jc w:val="center"/>
            </w:pPr>
            <w:r>
              <w:rPr>
                <w:rFonts w:hint="eastAsia"/>
              </w:rPr>
              <w:t>35</w:t>
            </w:r>
          </w:p>
        </w:tc>
        <w:tc>
          <w:tcPr>
            <w:tcW w:w="281" w:type="pct"/>
            <w:vMerge w:val="continue"/>
            <w:tcBorders>
              <w:tl2br w:val="nil"/>
              <w:tr2bl w:val="nil"/>
            </w:tcBorders>
            <w:noWrap/>
            <w:tcMar>
              <w:top w:w="57" w:type="dxa"/>
              <w:left w:w="57" w:type="dxa"/>
              <w:bottom w:w="57" w:type="dxa"/>
              <w:right w:w="57" w:type="dxa"/>
            </w:tcMar>
            <w:vAlign w:val="center"/>
          </w:tcPr>
          <w:p w14:paraId="1DE59A26">
            <w:pPr>
              <w:pStyle w:val="23"/>
              <w:jc w:val="center"/>
            </w:pPr>
          </w:p>
        </w:tc>
        <w:tc>
          <w:tcPr>
            <w:tcW w:w="2971" w:type="pct"/>
            <w:tcBorders>
              <w:tl2br w:val="nil"/>
              <w:tr2bl w:val="nil"/>
            </w:tcBorders>
            <w:tcMar>
              <w:top w:w="57" w:type="dxa"/>
              <w:left w:w="57" w:type="dxa"/>
              <w:bottom w:w="57" w:type="dxa"/>
              <w:right w:w="57" w:type="dxa"/>
            </w:tcMar>
            <w:vAlign w:val="center"/>
          </w:tcPr>
          <w:p w14:paraId="0C575B68">
            <w:pPr>
              <w:pStyle w:val="23"/>
            </w:pPr>
            <w:r>
              <w:rPr>
                <w:rFonts w:hint="eastAsia"/>
              </w:rPr>
              <w:t>对获得国家中小企业公共服务平台、国家新型工业化示范基地，给予最高一次性奖补500万元。</w:t>
            </w:r>
          </w:p>
        </w:tc>
        <w:tc>
          <w:tcPr>
            <w:tcW w:w="1481" w:type="pct"/>
            <w:vMerge w:val="continue"/>
            <w:tcBorders>
              <w:tl2br w:val="nil"/>
              <w:tr2bl w:val="nil"/>
            </w:tcBorders>
            <w:tcMar>
              <w:top w:w="57" w:type="dxa"/>
              <w:left w:w="57" w:type="dxa"/>
              <w:bottom w:w="57" w:type="dxa"/>
              <w:right w:w="57" w:type="dxa"/>
            </w:tcMar>
            <w:vAlign w:val="center"/>
          </w:tcPr>
          <w:p w14:paraId="0E5A4FB8">
            <w:pPr>
              <w:pStyle w:val="23"/>
            </w:pPr>
          </w:p>
        </w:tc>
      </w:tr>
      <w:tr w14:paraId="1D67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5" w:type="pct"/>
            <w:tcBorders>
              <w:tl2br w:val="nil"/>
              <w:tr2bl w:val="nil"/>
            </w:tcBorders>
            <w:tcMar>
              <w:top w:w="57" w:type="dxa"/>
              <w:left w:w="57" w:type="dxa"/>
              <w:bottom w:w="57" w:type="dxa"/>
              <w:right w:w="57" w:type="dxa"/>
            </w:tcMar>
            <w:vAlign w:val="center"/>
          </w:tcPr>
          <w:p w14:paraId="55CF6B28">
            <w:pPr>
              <w:pStyle w:val="23"/>
              <w:jc w:val="center"/>
            </w:pPr>
            <w:r>
              <w:rPr>
                <w:rFonts w:hint="eastAsia"/>
              </w:rPr>
              <w:t>36</w:t>
            </w:r>
          </w:p>
        </w:tc>
        <w:tc>
          <w:tcPr>
            <w:tcW w:w="281" w:type="pct"/>
            <w:vMerge w:val="continue"/>
            <w:tcBorders>
              <w:tl2br w:val="nil"/>
              <w:tr2bl w:val="nil"/>
            </w:tcBorders>
            <w:noWrap/>
            <w:tcMar>
              <w:top w:w="57" w:type="dxa"/>
              <w:left w:w="57" w:type="dxa"/>
              <w:bottom w:w="57" w:type="dxa"/>
              <w:right w:w="57" w:type="dxa"/>
            </w:tcMar>
            <w:vAlign w:val="center"/>
          </w:tcPr>
          <w:p w14:paraId="114ECDC7">
            <w:pPr>
              <w:pStyle w:val="23"/>
              <w:jc w:val="center"/>
            </w:pPr>
          </w:p>
        </w:tc>
        <w:tc>
          <w:tcPr>
            <w:tcW w:w="2971" w:type="pct"/>
            <w:tcBorders>
              <w:tl2br w:val="nil"/>
              <w:tr2bl w:val="nil"/>
            </w:tcBorders>
            <w:tcMar>
              <w:top w:w="57" w:type="dxa"/>
              <w:left w:w="57" w:type="dxa"/>
              <w:bottom w:w="57" w:type="dxa"/>
              <w:right w:w="57" w:type="dxa"/>
            </w:tcMar>
            <w:vAlign w:val="center"/>
          </w:tcPr>
          <w:p w14:paraId="17390285">
            <w:pPr>
              <w:pStyle w:val="23"/>
            </w:pPr>
            <w:r>
              <w:rPr>
                <w:rFonts w:hint="eastAsia"/>
              </w:rPr>
              <w:t>对成功创建国家级制造业创新中心的企业给予1000万元奖励。</w:t>
            </w:r>
          </w:p>
        </w:tc>
        <w:tc>
          <w:tcPr>
            <w:tcW w:w="1481" w:type="pct"/>
            <w:vMerge w:val="continue"/>
            <w:tcBorders>
              <w:tl2br w:val="nil"/>
              <w:tr2bl w:val="nil"/>
            </w:tcBorders>
            <w:tcMar>
              <w:top w:w="57" w:type="dxa"/>
              <w:left w:w="57" w:type="dxa"/>
              <w:bottom w:w="57" w:type="dxa"/>
              <w:right w:w="57" w:type="dxa"/>
            </w:tcMar>
            <w:vAlign w:val="center"/>
          </w:tcPr>
          <w:p w14:paraId="012256C7">
            <w:pPr>
              <w:pStyle w:val="23"/>
            </w:pPr>
          </w:p>
        </w:tc>
      </w:tr>
      <w:tr w14:paraId="2B0D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5" w:type="pct"/>
            <w:tcBorders>
              <w:tl2br w:val="nil"/>
              <w:tr2bl w:val="nil"/>
            </w:tcBorders>
            <w:tcMar>
              <w:top w:w="57" w:type="dxa"/>
              <w:left w:w="57" w:type="dxa"/>
              <w:bottom w:w="57" w:type="dxa"/>
              <w:right w:w="57" w:type="dxa"/>
            </w:tcMar>
            <w:vAlign w:val="center"/>
          </w:tcPr>
          <w:p w14:paraId="2E9AC797">
            <w:pPr>
              <w:pStyle w:val="23"/>
              <w:jc w:val="center"/>
            </w:pPr>
            <w:r>
              <w:rPr>
                <w:rFonts w:hint="eastAsia"/>
              </w:rPr>
              <w:t>37</w:t>
            </w:r>
          </w:p>
        </w:tc>
        <w:tc>
          <w:tcPr>
            <w:tcW w:w="281" w:type="pct"/>
            <w:vMerge w:val="continue"/>
            <w:tcBorders>
              <w:tl2br w:val="nil"/>
              <w:tr2bl w:val="nil"/>
            </w:tcBorders>
            <w:noWrap/>
            <w:tcMar>
              <w:top w:w="57" w:type="dxa"/>
              <w:left w:w="57" w:type="dxa"/>
              <w:bottom w:w="57" w:type="dxa"/>
              <w:right w:w="57" w:type="dxa"/>
            </w:tcMar>
            <w:vAlign w:val="center"/>
          </w:tcPr>
          <w:p w14:paraId="02E7AC7C">
            <w:pPr>
              <w:pStyle w:val="23"/>
              <w:jc w:val="center"/>
            </w:pPr>
          </w:p>
        </w:tc>
        <w:tc>
          <w:tcPr>
            <w:tcW w:w="2971" w:type="pct"/>
            <w:tcBorders>
              <w:tl2br w:val="nil"/>
              <w:tr2bl w:val="nil"/>
            </w:tcBorders>
            <w:tcMar>
              <w:top w:w="57" w:type="dxa"/>
              <w:left w:w="57" w:type="dxa"/>
              <w:bottom w:w="57" w:type="dxa"/>
              <w:right w:w="57" w:type="dxa"/>
            </w:tcMar>
            <w:vAlign w:val="center"/>
          </w:tcPr>
          <w:p w14:paraId="0CD0CADC">
            <w:pPr>
              <w:pStyle w:val="23"/>
            </w:pPr>
            <w:r>
              <w:rPr>
                <w:rFonts w:hint="eastAsia"/>
              </w:rPr>
              <w:t>农村客运车辆保险补助按照相关标准和期限投保或续保承运人责任险及第三者责任险，且投保期间内正常营运的客运车辆享受全年的全额补助政策；农村客运车辆4G动态监控流量信息和服务费实行全额补助。</w:t>
            </w:r>
          </w:p>
        </w:tc>
        <w:tc>
          <w:tcPr>
            <w:tcW w:w="1481" w:type="pct"/>
            <w:vMerge w:val="continue"/>
            <w:tcBorders>
              <w:tl2br w:val="nil"/>
              <w:tr2bl w:val="nil"/>
            </w:tcBorders>
            <w:tcMar>
              <w:top w:w="57" w:type="dxa"/>
              <w:left w:w="57" w:type="dxa"/>
              <w:bottom w:w="57" w:type="dxa"/>
              <w:right w:w="57" w:type="dxa"/>
            </w:tcMar>
            <w:vAlign w:val="center"/>
          </w:tcPr>
          <w:p w14:paraId="4102FF6D">
            <w:pPr>
              <w:pStyle w:val="23"/>
            </w:pPr>
          </w:p>
        </w:tc>
      </w:tr>
      <w:tr w14:paraId="1DCB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5" w:type="pct"/>
            <w:tcBorders>
              <w:tl2br w:val="nil"/>
              <w:tr2bl w:val="nil"/>
            </w:tcBorders>
            <w:tcMar>
              <w:top w:w="57" w:type="dxa"/>
              <w:left w:w="57" w:type="dxa"/>
              <w:bottom w:w="57" w:type="dxa"/>
              <w:right w:w="57" w:type="dxa"/>
            </w:tcMar>
            <w:vAlign w:val="center"/>
          </w:tcPr>
          <w:p w14:paraId="4C5E57AC">
            <w:pPr>
              <w:pStyle w:val="23"/>
              <w:jc w:val="center"/>
            </w:pPr>
            <w:r>
              <w:rPr>
                <w:rFonts w:hint="eastAsia"/>
              </w:rPr>
              <w:t>38</w:t>
            </w:r>
          </w:p>
        </w:tc>
        <w:tc>
          <w:tcPr>
            <w:tcW w:w="281" w:type="pct"/>
            <w:vMerge w:val="continue"/>
            <w:tcBorders>
              <w:tl2br w:val="nil"/>
              <w:tr2bl w:val="nil"/>
            </w:tcBorders>
            <w:noWrap/>
            <w:tcMar>
              <w:top w:w="57" w:type="dxa"/>
              <w:left w:w="57" w:type="dxa"/>
              <w:bottom w:w="57" w:type="dxa"/>
              <w:right w:w="57" w:type="dxa"/>
            </w:tcMar>
            <w:vAlign w:val="center"/>
          </w:tcPr>
          <w:p w14:paraId="5A564BF5">
            <w:pPr>
              <w:pStyle w:val="23"/>
              <w:jc w:val="center"/>
            </w:pPr>
          </w:p>
        </w:tc>
        <w:tc>
          <w:tcPr>
            <w:tcW w:w="2971" w:type="pct"/>
            <w:tcBorders>
              <w:tl2br w:val="nil"/>
              <w:tr2bl w:val="nil"/>
            </w:tcBorders>
            <w:tcMar>
              <w:top w:w="57" w:type="dxa"/>
              <w:left w:w="57" w:type="dxa"/>
              <w:bottom w:w="57" w:type="dxa"/>
              <w:right w:w="57" w:type="dxa"/>
            </w:tcMar>
            <w:vAlign w:val="center"/>
          </w:tcPr>
          <w:p w14:paraId="3BACD41D">
            <w:pPr>
              <w:pStyle w:val="23"/>
            </w:pPr>
            <w:r>
              <w:rPr>
                <w:rFonts w:hint="eastAsia"/>
              </w:rPr>
              <w:t>对首次纳入“全国科技型中小企业信息库”的科技型中小企业给予1万元奖励（已被认定为高新技术企业的不重复奖励）。</w:t>
            </w:r>
          </w:p>
        </w:tc>
        <w:tc>
          <w:tcPr>
            <w:tcW w:w="1481" w:type="pct"/>
            <w:vMerge w:val="continue"/>
            <w:tcBorders>
              <w:tl2br w:val="nil"/>
              <w:tr2bl w:val="nil"/>
            </w:tcBorders>
            <w:tcMar>
              <w:top w:w="57" w:type="dxa"/>
              <w:left w:w="57" w:type="dxa"/>
              <w:bottom w:w="57" w:type="dxa"/>
              <w:right w:w="57" w:type="dxa"/>
            </w:tcMar>
            <w:vAlign w:val="center"/>
          </w:tcPr>
          <w:p w14:paraId="70523BC4">
            <w:pPr>
              <w:pStyle w:val="23"/>
            </w:pPr>
          </w:p>
        </w:tc>
      </w:tr>
      <w:tr w14:paraId="5B00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5" w:type="pct"/>
            <w:tcBorders>
              <w:tl2br w:val="nil"/>
              <w:tr2bl w:val="nil"/>
            </w:tcBorders>
            <w:tcMar>
              <w:top w:w="57" w:type="dxa"/>
              <w:left w:w="57" w:type="dxa"/>
              <w:bottom w:w="57" w:type="dxa"/>
              <w:right w:w="57" w:type="dxa"/>
            </w:tcMar>
            <w:vAlign w:val="center"/>
          </w:tcPr>
          <w:p w14:paraId="2DF3E687">
            <w:pPr>
              <w:pStyle w:val="23"/>
              <w:jc w:val="center"/>
            </w:pPr>
            <w:r>
              <w:rPr>
                <w:rFonts w:hint="eastAsia"/>
              </w:rPr>
              <w:t>39</w:t>
            </w:r>
          </w:p>
        </w:tc>
        <w:tc>
          <w:tcPr>
            <w:tcW w:w="281" w:type="pct"/>
            <w:vMerge w:val="continue"/>
            <w:tcBorders>
              <w:tl2br w:val="nil"/>
              <w:tr2bl w:val="nil"/>
            </w:tcBorders>
            <w:noWrap/>
            <w:tcMar>
              <w:top w:w="57" w:type="dxa"/>
              <w:left w:w="57" w:type="dxa"/>
              <w:bottom w:w="57" w:type="dxa"/>
              <w:right w:w="57" w:type="dxa"/>
            </w:tcMar>
            <w:vAlign w:val="center"/>
          </w:tcPr>
          <w:p w14:paraId="00DF99D2">
            <w:pPr>
              <w:pStyle w:val="23"/>
              <w:jc w:val="center"/>
            </w:pPr>
          </w:p>
        </w:tc>
        <w:tc>
          <w:tcPr>
            <w:tcW w:w="2971" w:type="pct"/>
            <w:tcBorders>
              <w:tl2br w:val="nil"/>
              <w:tr2bl w:val="nil"/>
            </w:tcBorders>
            <w:tcMar>
              <w:top w:w="57" w:type="dxa"/>
              <w:left w:w="57" w:type="dxa"/>
              <w:bottom w:w="57" w:type="dxa"/>
              <w:right w:w="57" w:type="dxa"/>
            </w:tcMar>
            <w:vAlign w:val="center"/>
          </w:tcPr>
          <w:p w14:paraId="1D1CB96D">
            <w:pPr>
              <w:pStyle w:val="23"/>
            </w:pPr>
            <w:r>
              <w:rPr>
                <w:rFonts w:hint="eastAsia"/>
              </w:rPr>
              <w:t>对认定为市级人力资源服务产业园的，由市就业资金给予一次性补贴10万元奖励。推荐市级人力资源服务产业园申报省级人力资源服务产业园，对认定成功的由就业资金给予一次性补贴100万元奖励。</w:t>
            </w:r>
          </w:p>
        </w:tc>
        <w:tc>
          <w:tcPr>
            <w:tcW w:w="1481" w:type="pct"/>
            <w:tcBorders>
              <w:tl2br w:val="nil"/>
              <w:tr2bl w:val="nil"/>
            </w:tcBorders>
            <w:tcMar>
              <w:top w:w="57" w:type="dxa"/>
              <w:left w:w="57" w:type="dxa"/>
              <w:bottom w:w="57" w:type="dxa"/>
              <w:right w:w="57" w:type="dxa"/>
            </w:tcMar>
            <w:vAlign w:val="center"/>
          </w:tcPr>
          <w:p w14:paraId="72023D8C">
            <w:pPr>
              <w:pStyle w:val="23"/>
            </w:pPr>
            <w:r>
              <w:rPr>
                <w:rFonts w:hint="eastAsia"/>
              </w:rPr>
              <w:t>2022年8月1日，《市人力资源和社会保障局 市财政局关于印发&lt;鄂州市市级人力资源服务产业园管理办法（试行）&gt;的通知》（鄂州人社函〔2022〕83号）</w:t>
            </w:r>
          </w:p>
        </w:tc>
      </w:tr>
      <w:tr w14:paraId="1A0A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5" w:type="pct"/>
            <w:tcBorders>
              <w:tl2br w:val="nil"/>
              <w:tr2bl w:val="nil"/>
            </w:tcBorders>
            <w:tcMar>
              <w:top w:w="57" w:type="dxa"/>
              <w:left w:w="57" w:type="dxa"/>
              <w:bottom w:w="57" w:type="dxa"/>
              <w:right w:w="57" w:type="dxa"/>
            </w:tcMar>
            <w:vAlign w:val="center"/>
          </w:tcPr>
          <w:p w14:paraId="2E64A7D2">
            <w:pPr>
              <w:pStyle w:val="23"/>
              <w:jc w:val="center"/>
            </w:pPr>
            <w:r>
              <w:rPr>
                <w:rFonts w:hint="eastAsia"/>
              </w:rPr>
              <w:t>40</w:t>
            </w:r>
          </w:p>
        </w:tc>
        <w:tc>
          <w:tcPr>
            <w:tcW w:w="281" w:type="pct"/>
            <w:vMerge w:val="continue"/>
            <w:tcBorders>
              <w:tl2br w:val="nil"/>
              <w:tr2bl w:val="nil"/>
            </w:tcBorders>
            <w:noWrap/>
            <w:tcMar>
              <w:top w:w="57" w:type="dxa"/>
              <w:left w:w="57" w:type="dxa"/>
              <w:bottom w:w="57" w:type="dxa"/>
              <w:right w:w="57" w:type="dxa"/>
            </w:tcMar>
            <w:vAlign w:val="center"/>
          </w:tcPr>
          <w:p w14:paraId="6686E693">
            <w:pPr>
              <w:pStyle w:val="23"/>
              <w:jc w:val="center"/>
            </w:pPr>
          </w:p>
        </w:tc>
        <w:tc>
          <w:tcPr>
            <w:tcW w:w="2971" w:type="pct"/>
            <w:tcBorders>
              <w:tl2br w:val="nil"/>
              <w:tr2bl w:val="nil"/>
            </w:tcBorders>
            <w:tcMar>
              <w:top w:w="57" w:type="dxa"/>
              <w:left w:w="57" w:type="dxa"/>
              <w:bottom w:w="57" w:type="dxa"/>
              <w:right w:w="57" w:type="dxa"/>
            </w:tcMar>
            <w:vAlign w:val="center"/>
          </w:tcPr>
          <w:p w14:paraId="60487396">
            <w:pPr>
              <w:pStyle w:val="23"/>
            </w:pPr>
            <w:r>
              <w:rPr>
                <w:rFonts w:hint="eastAsia"/>
              </w:rPr>
              <w:t>民办养老机构、社会单位（组织）、餐饮企业（包含个体户）提供助餐服务的，日均服务老年人50人次以上的，每年给予设施设备折旧费3万元。</w:t>
            </w:r>
          </w:p>
        </w:tc>
        <w:tc>
          <w:tcPr>
            <w:tcW w:w="1481" w:type="pct"/>
            <w:tcBorders>
              <w:tl2br w:val="nil"/>
              <w:tr2bl w:val="nil"/>
            </w:tcBorders>
            <w:tcMar>
              <w:top w:w="57" w:type="dxa"/>
              <w:left w:w="57" w:type="dxa"/>
              <w:bottom w:w="57" w:type="dxa"/>
              <w:right w:w="57" w:type="dxa"/>
            </w:tcMar>
            <w:vAlign w:val="center"/>
          </w:tcPr>
          <w:p w14:paraId="568727B1">
            <w:pPr>
              <w:pStyle w:val="23"/>
            </w:pPr>
            <w:r>
              <w:rPr>
                <w:rFonts w:hint="eastAsia"/>
              </w:rPr>
              <w:t>2022年9月26日，《鄂州市民政局关于印发&lt;老年助餐服务专项行动方案&gt;的通知》（鄂州民政函〔2022〕85号）</w:t>
            </w:r>
          </w:p>
        </w:tc>
      </w:tr>
      <w:tr w14:paraId="28C2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65" w:type="pct"/>
            <w:tcBorders>
              <w:tl2br w:val="nil"/>
              <w:tr2bl w:val="nil"/>
            </w:tcBorders>
            <w:tcMar>
              <w:top w:w="57" w:type="dxa"/>
              <w:left w:w="57" w:type="dxa"/>
              <w:bottom w:w="57" w:type="dxa"/>
              <w:right w:w="57" w:type="dxa"/>
            </w:tcMar>
            <w:vAlign w:val="center"/>
          </w:tcPr>
          <w:p w14:paraId="25E40393">
            <w:pPr>
              <w:pStyle w:val="23"/>
              <w:jc w:val="center"/>
            </w:pPr>
            <w:r>
              <w:rPr>
                <w:rFonts w:hint="eastAsia"/>
              </w:rPr>
              <w:t>41</w:t>
            </w:r>
          </w:p>
        </w:tc>
        <w:tc>
          <w:tcPr>
            <w:tcW w:w="281" w:type="pct"/>
            <w:vMerge w:val="continue"/>
            <w:tcBorders>
              <w:tl2br w:val="nil"/>
              <w:tr2bl w:val="nil"/>
            </w:tcBorders>
            <w:noWrap/>
            <w:tcMar>
              <w:top w:w="57" w:type="dxa"/>
              <w:left w:w="57" w:type="dxa"/>
              <w:bottom w:w="57" w:type="dxa"/>
              <w:right w:w="57" w:type="dxa"/>
            </w:tcMar>
            <w:vAlign w:val="center"/>
          </w:tcPr>
          <w:p w14:paraId="3769DDB8">
            <w:pPr>
              <w:pStyle w:val="23"/>
              <w:jc w:val="center"/>
            </w:pPr>
          </w:p>
        </w:tc>
        <w:tc>
          <w:tcPr>
            <w:tcW w:w="2971" w:type="pct"/>
            <w:tcBorders>
              <w:tl2br w:val="nil"/>
              <w:tr2bl w:val="nil"/>
            </w:tcBorders>
            <w:tcMar>
              <w:top w:w="57" w:type="dxa"/>
              <w:left w:w="57" w:type="dxa"/>
              <w:bottom w:w="57" w:type="dxa"/>
              <w:right w:w="57" w:type="dxa"/>
            </w:tcMar>
            <w:vAlign w:val="center"/>
          </w:tcPr>
          <w:p w14:paraId="736BA1F9">
            <w:pPr>
              <w:pStyle w:val="23"/>
            </w:pPr>
            <w:r>
              <w:rPr>
                <w:rFonts w:hint="eastAsia"/>
              </w:rPr>
              <w:t>对2022年以来新增限额以上的批发、零售、住宿、餐饮法人企业（首次入库），一次性奖励5万元；对2022年以来新增限额以上的批发、零售、住宿、餐饮个体单位（首次入库），一次性奖励1万元，在库稳定运行2年后追加奖励1万元。对于在库限额以上企业年零售额增速达到20%以上的企业，每新增1000万元零售额，奖励5万元，单个企业奖励最高不超过100万元（央企不在奖励范围之内）。</w:t>
            </w:r>
          </w:p>
        </w:tc>
        <w:tc>
          <w:tcPr>
            <w:tcW w:w="1481" w:type="pct"/>
            <w:tcBorders>
              <w:tl2br w:val="nil"/>
              <w:tr2bl w:val="nil"/>
            </w:tcBorders>
            <w:tcMar>
              <w:top w:w="57" w:type="dxa"/>
              <w:left w:w="57" w:type="dxa"/>
              <w:bottom w:w="57" w:type="dxa"/>
              <w:right w:w="57" w:type="dxa"/>
            </w:tcMar>
            <w:vAlign w:val="center"/>
          </w:tcPr>
          <w:p w14:paraId="0331CE43">
            <w:pPr>
              <w:pStyle w:val="23"/>
            </w:pPr>
            <w:r>
              <w:rPr>
                <w:rFonts w:hint="eastAsia"/>
              </w:rPr>
              <w:t>2022年10月13日，《市人民政府办公室关于印发进一步激发市场活力稳住全市经济增长若干措施的通知》（鄂州政办发〔2022〕32号）</w:t>
            </w:r>
          </w:p>
        </w:tc>
      </w:tr>
      <w:tr w14:paraId="0D26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65" w:type="pct"/>
            <w:tcBorders>
              <w:tl2br w:val="nil"/>
              <w:tr2bl w:val="nil"/>
            </w:tcBorders>
            <w:tcMar>
              <w:top w:w="57" w:type="dxa"/>
              <w:left w:w="57" w:type="dxa"/>
              <w:bottom w:w="57" w:type="dxa"/>
              <w:right w:w="57" w:type="dxa"/>
            </w:tcMar>
            <w:vAlign w:val="center"/>
          </w:tcPr>
          <w:p w14:paraId="4D11FA90">
            <w:pPr>
              <w:pStyle w:val="23"/>
              <w:jc w:val="center"/>
            </w:pPr>
            <w:r>
              <w:rPr>
                <w:rFonts w:hint="eastAsia"/>
              </w:rPr>
              <w:t>42</w:t>
            </w:r>
          </w:p>
        </w:tc>
        <w:tc>
          <w:tcPr>
            <w:tcW w:w="281" w:type="pct"/>
            <w:vMerge w:val="continue"/>
            <w:tcBorders>
              <w:tl2br w:val="nil"/>
              <w:tr2bl w:val="nil"/>
            </w:tcBorders>
            <w:noWrap/>
            <w:tcMar>
              <w:top w:w="57" w:type="dxa"/>
              <w:left w:w="57" w:type="dxa"/>
              <w:bottom w:w="57" w:type="dxa"/>
              <w:right w:w="57" w:type="dxa"/>
            </w:tcMar>
            <w:vAlign w:val="center"/>
          </w:tcPr>
          <w:p w14:paraId="45C64A6B">
            <w:pPr>
              <w:pStyle w:val="23"/>
              <w:jc w:val="center"/>
            </w:pPr>
          </w:p>
        </w:tc>
        <w:tc>
          <w:tcPr>
            <w:tcW w:w="2971" w:type="pct"/>
            <w:tcBorders>
              <w:tl2br w:val="nil"/>
              <w:tr2bl w:val="nil"/>
            </w:tcBorders>
            <w:tcMar>
              <w:top w:w="57" w:type="dxa"/>
              <w:left w:w="57" w:type="dxa"/>
              <w:bottom w:w="57" w:type="dxa"/>
              <w:right w:w="57" w:type="dxa"/>
            </w:tcMar>
            <w:vAlign w:val="center"/>
          </w:tcPr>
          <w:p w14:paraId="6321B81F">
            <w:pPr>
              <w:pStyle w:val="23"/>
            </w:pPr>
            <w:r>
              <w:rPr>
                <w:rFonts w:hint="eastAsia"/>
              </w:rPr>
              <w:t>企业吸纳退捕渔民中就业困难人员实现就业且签订1年以上劳动合同并按规定缴纳社会保险费的，按企业为其实际缴纳的基本养老保险费、基本医疗保险费和失业保险费给予全额补贴（不包括个人缴纳部分），补贴期限最长不超过三年。</w:t>
            </w:r>
          </w:p>
        </w:tc>
        <w:tc>
          <w:tcPr>
            <w:tcW w:w="1481" w:type="pct"/>
            <w:vMerge w:val="restart"/>
            <w:tcBorders>
              <w:tl2br w:val="nil"/>
              <w:tr2bl w:val="nil"/>
            </w:tcBorders>
            <w:tcMar>
              <w:top w:w="57" w:type="dxa"/>
              <w:left w:w="57" w:type="dxa"/>
              <w:bottom w:w="57" w:type="dxa"/>
              <w:right w:w="57" w:type="dxa"/>
            </w:tcMar>
            <w:vAlign w:val="center"/>
          </w:tcPr>
          <w:p w14:paraId="1FA16185">
            <w:pPr>
              <w:pStyle w:val="23"/>
            </w:pPr>
            <w:r>
              <w:rPr>
                <w:rFonts w:hint="eastAsia"/>
              </w:rPr>
              <w:t>2022年10月14日，《鄂州市财政局关于印发&lt;财政资金支持类“免申即享”清单（第二批）&gt;的通知 》（鄂州财产发〔2022〕360号）</w:t>
            </w:r>
          </w:p>
        </w:tc>
      </w:tr>
      <w:tr w14:paraId="261F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65" w:type="pct"/>
            <w:tcBorders>
              <w:tl2br w:val="nil"/>
              <w:tr2bl w:val="nil"/>
            </w:tcBorders>
            <w:tcMar>
              <w:top w:w="57" w:type="dxa"/>
              <w:left w:w="57" w:type="dxa"/>
              <w:bottom w:w="57" w:type="dxa"/>
              <w:right w:w="57" w:type="dxa"/>
            </w:tcMar>
            <w:vAlign w:val="center"/>
          </w:tcPr>
          <w:p w14:paraId="2771A118">
            <w:pPr>
              <w:pStyle w:val="23"/>
              <w:jc w:val="center"/>
            </w:pPr>
            <w:r>
              <w:rPr>
                <w:rFonts w:hint="eastAsia"/>
              </w:rPr>
              <w:t>43</w:t>
            </w:r>
          </w:p>
        </w:tc>
        <w:tc>
          <w:tcPr>
            <w:tcW w:w="281" w:type="pct"/>
            <w:vMerge w:val="continue"/>
            <w:tcBorders>
              <w:tl2br w:val="nil"/>
              <w:tr2bl w:val="nil"/>
            </w:tcBorders>
            <w:noWrap/>
            <w:tcMar>
              <w:top w:w="57" w:type="dxa"/>
              <w:left w:w="57" w:type="dxa"/>
              <w:bottom w:w="57" w:type="dxa"/>
              <w:right w:w="57" w:type="dxa"/>
            </w:tcMar>
            <w:vAlign w:val="center"/>
          </w:tcPr>
          <w:p w14:paraId="4D3DCB4B">
            <w:pPr>
              <w:pStyle w:val="23"/>
              <w:jc w:val="center"/>
            </w:pPr>
          </w:p>
        </w:tc>
        <w:tc>
          <w:tcPr>
            <w:tcW w:w="2971" w:type="pct"/>
            <w:tcBorders>
              <w:tl2br w:val="nil"/>
              <w:tr2bl w:val="nil"/>
            </w:tcBorders>
            <w:tcMar>
              <w:top w:w="57" w:type="dxa"/>
              <w:left w:w="57" w:type="dxa"/>
              <w:bottom w:w="57" w:type="dxa"/>
              <w:right w:w="57" w:type="dxa"/>
            </w:tcMar>
            <w:vAlign w:val="center"/>
          </w:tcPr>
          <w:p w14:paraId="56ACD137">
            <w:pPr>
              <w:pStyle w:val="23"/>
            </w:pPr>
            <w:r>
              <w:rPr>
                <w:rFonts w:hint="eastAsia"/>
              </w:rPr>
              <w:t>吸纳退役1年以内（2019年9月1日以后退役的）退役军人，签订1年以上劳动合同，实现稳定就业1年以上的在鄂企业，按照企业吸纳退役军人2000元/人的标准给予就业奖补。</w:t>
            </w:r>
          </w:p>
        </w:tc>
        <w:tc>
          <w:tcPr>
            <w:tcW w:w="1481" w:type="pct"/>
            <w:vMerge w:val="continue"/>
            <w:tcBorders>
              <w:tl2br w:val="nil"/>
              <w:tr2bl w:val="nil"/>
            </w:tcBorders>
            <w:tcMar>
              <w:top w:w="57" w:type="dxa"/>
              <w:left w:w="57" w:type="dxa"/>
              <w:bottom w:w="57" w:type="dxa"/>
              <w:right w:w="57" w:type="dxa"/>
            </w:tcMar>
            <w:vAlign w:val="center"/>
          </w:tcPr>
          <w:p w14:paraId="3EE30412">
            <w:pPr>
              <w:pStyle w:val="23"/>
            </w:pPr>
          </w:p>
        </w:tc>
      </w:tr>
      <w:tr w14:paraId="4E33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65" w:type="pct"/>
            <w:tcBorders>
              <w:tl2br w:val="nil"/>
              <w:tr2bl w:val="nil"/>
            </w:tcBorders>
            <w:tcMar>
              <w:top w:w="57" w:type="dxa"/>
              <w:left w:w="57" w:type="dxa"/>
              <w:bottom w:w="57" w:type="dxa"/>
              <w:right w:w="57" w:type="dxa"/>
            </w:tcMar>
            <w:vAlign w:val="center"/>
          </w:tcPr>
          <w:p w14:paraId="34903CDA">
            <w:pPr>
              <w:pStyle w:val="23"/>
              <w:jc w:val="center"/>
            </w:pPr>
            <w:r>
              <w:rPr>
                <w:rFonts w:hint="eastAsia"/>
              </w:rPr>
              <w:t>44</w:t>
            </w:r>
          </w:p>
        </w:tc>
        <w:tc>
          <w:tcPr>
            <w:tcW w:w="281" w:type="pct"/>
            <w:vMerge w:val="continue"/>
            <w:tcBorders>
              <w:tl2br w:val="nil"/>
              <w:tr2bl w:val="nil"/>
            </w:tcBorders>
            <w:noWrap/>
            <w:tcMar>
              <w:top w:w="57" w:type="dxa"/>
              <w:left w:w="57" w:type="dxa"/>
              <w:bottom w:w="57" w:type="dxa"/>
              <w:right w:w="57" w:type="dxa"/>
            </w:tcMar>
            <w:vAlign w:val="center"/>
          </w:tcPr>
          <w:p w14:paraId="1C7B41AD">
            <w:pPr>
              <w:pStyle w:val="23"/>
              <w:jc w:val="center"/>
            </w:pPr>
          </w:p>
        </w:tc>
        <w:tc>
          <w:tcPr>
            <w:tcW w:w="2971" w:type="pct"/>
            <w:tcBorders>
              <w:tl2br w:val="nil"/>
              <w:tr2bl w:val="nil"/>
            </w:tcBorders>
            <w:tcMar>
              <w:top w:w="57" w:type="dxa"/>
              <w:left w:w="57" w:type="dxa"/>
              <w:bottom w:w="57" w:type="dxa"/>
              <w:right w:w="57" w:type="dxa"/>
            </w:tcMar>
            <w:vAlign w:val="center"/>
          </w:tcPr>
          <w:p w14:paraId="3F935274">
            <w:pPr>
              <w:pStyle w:val="23"/>
            </w:pPr>
            <w:r>
              <w:rPr>
                <w:rFonts w:hint="eastAsia"/>
              </w:rPr>
              <w:t>对企业吸纳脱贫人口就业，签订1年以上劳动合同、实现就业1年以上的，按每吸纳1人补贴2000元的标准给予奖补，并按规定享受社会保险补贴。企业招用超过法定退休年龄的建档立卡贫困人员，签订1年以上劳务协议的，可按规定给予一次性吸纳就业补贴。</w:t>
            </w:r>
          </w:p>
        </w:tc>
        <w:tc>
          <w:tcPr>
            <w:tcW w:w="1481" w:type="pct"/>
            <w:vMerge w:val="continue"/>
            <w:tcBorders>
              <w:tl2br w:val="nil"/>
              <w:tr2bl w:val="nil"/>
            </w:tcBorders>
            <w:tcMar>
              <w:top w:w="57" w:type="dxa"/>
              <w:left w:w="57" w:type="dxa"/>
              <w:bottom w:w="57" w:type="dxa"/>
              <w:right w:w="57" w:type="dxa"/>
            </w:tcMar>
            <w:vAlign w:val="center"/>
          </w:tcPr>
          <w:p w14:paraId="11CF065C">
            <w:pPr>
              <w:pStyle w:val="23"/>
            </w:pPr>
          </w:p>
        </w:tc>
      </w:tr>
      <w:tr w14:paraId="24B5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5" w:type="pct"/>
            <w:tcBorders>
              <w:tl2br w:val="nil"/>
              <w:tr2bl w:val="nil"/>
            </w:tcBorders>
            <w:tcMar>
              <w:top w:w="57" w:type="dxa"/>
              <w:left w:w="57" w:type="dxa"/>
              <w:bottom w:w="57" w:type="dxa"/>
              <w:right w:w="57" w:type="dxa"/>
            </w:tcMar>
            <w:vAlign w:val="center"/>
          </w:tcPr>
          <w:p w14:paraId="2D6F9F67">
            <w:pPr>
              <w:pStyle w:val="23"/>
              <w:jc w:val="center"/>
            </w:pPr>
            <w:r>
              <w:rPr>
                <w:rFonts w:hint="eastAsia"/>
              </w:rPr>
              <w:t>45</w:t>
            </w:r>
          </w:p>
        </w:tc>
        <w:tc>
          <w:tcPr>
            <w:tcW w:w="281" w:type="pct"/>
            <w:vMerge w:val="continue"/>
            <w:tcBorders>
              <w:tl2br w:val="nil"/>
              <w:tr2bl w:val="nil"/>
            </w:tcBorders>
            <w:noWrap/>
            <w:tcMar>
              <w:top w:w="57" w:type="dxa"/>
              <w:left w:w="57" w:type="dxa"/>
              <w:bottom w:w="57" w:type="dxa"/>
              <w:right w:w="57" w:type="dxa"/>
            </w:tcMar>
            <w:vAlign w:val="center"/>
          </w:tcPr>
          <w:p w14:paraId="2E430285">
            <w:pPr>
              <w:pStyle w:val="23"/>
              <w:jc w:val="center"/>
            </w:pPr>
          </w:p>
        </w:tc>
        <w:tc>
          <w:tcPr>
            <w:tcW w:w="2971" w:type="pct"/>
            <w:tcBorders>
              <w:tl2br w:val="nil"/>
              <w:tr2bl w:val="nil"/>
            </w:tcBorders>
            <w:tcMar>
              <w:top w:w="57" w:type="dxa"/>
              <w:left w:w="57" w:type="dxa"/>
              <w:bottom w:w="57" w:type="dxa"/>
              <w:right w:w="57" w:type="dxa"/>
            </w:tcMar>
            <w:vAlign w:val="center"/>
          </w:tcPr>
          <w:p w14:paraId="5BC46276">
            <w:pPr>
              <w:pStyle w:val="23"/>
            </w:pPr>
            <w:r>
              <w:rPr>
                <w:rFonts w:hint="eastAsia"/>
              </w:rPr>
              <w:t>普惠性民办幼儿园生均财政拨款标准200元/年人。</w:t>
            </w:r>
          </w:p>
        </w:tc>
        <w:tc>
          <w:tcPr>
            <w:tcW w:w="1481" w:type="pct"/>
            <w:vMerge w:val="continue"/>
            <w:tcBorders>
              <w:tl2br w:val="nil"/>
              <w:tr2bl w:val="nil"/>
            </w:tcBorders>
            <w:tcMar>
              <w:top w:w="57" w:type="dxa"/>
              <w:left w:w="57" w:type="dxa"/>
              <w:bottom w:w="57" w:type="dxa"/>
              <w:right w:w="57" w:type="dxa"/>
            </w:tcMar>
            <w:vAlign w:val="center"/>
          </w:tcPr>
          <w:p w14:paraId="180220E9">
            <w:pPr>
              <w:pStyle w:val="23"/>
            </w:pPr>
          </w:p>
        </w:tc>
      </w:tr>
      <w:tr w14:paraId="7A52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65" w:type="pct"/>
            <w:tcBorders>
              <w:tl2br w:val="nil"/>
              <w:tr2bl w:val="nil"/>
            </w:tcBorders>
            <w:tcMar>
              <w:top w:w="57" w:type="dxa"/>
              <w:left w:w="57" w:type="dxa"/>
              <w:bottom w:w="57" w:type="dxa"/>
              <w:right w:w="57" w:type="dxa"/>
            </w:tcMar>
            <w:vAlign w:val="center"/>
          </w:tcPr>
          <w:p w14:paraId="5A92809C">
            <w:pPr>
              <w:pStyle w:val="23"/>
              <w:jc w:val="center"/>
            </w:pPr>
            <w:r>
              <w:rPr>
                <w:rFonts w:hint="eastAsia"/>
              </w:rPr>
              <w:t>46</w:t>
            </w:r>
          </w:p>
        </w:tc>
        <w:tc>
          <w:tcPr>
            <w:tcW w:w="281" w:type="pct"/>
            <w:vMerge w:val="continue"/>
            <w:tcBorders>
              <w:tl2br w:val="nil"/>
              <w:tr2bl w:val="nil"/>
            </w:tcBorders>
            <w:noWrap/>
            <w:tcMar>
              <w:top w:w="57" w:type="dxa"/>
              <w:left w:w="57" w:type="dxa"/>
              <w:bottom w:w="57" w:type="dxa"/>
              <w:right w:w="57" w:type="dxa"/>
            </w:tcMar>
            <w:vAlign w:val="center"/>
          </w:tcPr>
          <w:p w14:paraId="415CCC45">
            <w:pPr>
              <w:pStyle w:val="23"/>
              <w:jc w:val="center"/>
            </w:pPr>
          </w:p>
        </w:tc>
        <w:tc>
          <w:tcPr>
            <w:tcW w:w="2971" w:type="pct"/>
            <w:tcBorders>
              <w:tl2br w:val="nil"/>
              <w:tr2bl w:val="nil"/>
            </w:tcBorders>
            <w:tcMar>
              <w:top w:w="57" w:type="dxa"/>
              <w:left w:w="57" w:type="dxa"/>
              <w:bottom w:w="57" w:type="dxa"/>
              <w:right w:w="57" w:type="dxa"/>
            </w:tcMar>
            <w:vAlign w:val="center"/>
          </w:tcPr>
          <w:p w14:paraId="2015469D">
            <w:pPr>
              <w:pStyle w:val="23"/>
            </w:pPr>
            <w:r>
              <w:rPr>
                <w:rFonts w:hint="eastAsia"/>
              </w:rPr>
              <w:t>每头病死猪补助80元，其中中央财政承担50元，省级财政承担20元，县（市、区）财政承担10元。</w:t>
            </w:r>
          </w:p>
        </w:tc>
        <w:tc>
          <w:tcPr>
            <w:tcW w:w="1481" w:type="pct"/>
            <w:vMerge w:val="continue"/>
            <w:tcBorders>
              <w:tl2br w:val="nil"/>
              <w:tr2bl w:val="nil"/>
            </w:tcBorders>
            <w:tcMar>
              <w:top w:w="57" w:type="dxa"/>
              <w:left w:w="57" w:type="dxa"/>
              <w:bottom w:w="57" w:type="dxa"/>
              <w:right w:w="57" w:type="dxa"/>
            </w:tcMar>
            <w:vAlign w:val="center"/>
          </w:tcPr>
          <w:p w14:paraId="6B42BCD0">
            <w:pPr>
              <w:pStyle w:val="23"/>
            </w:pPr>
          </w:p>
        </w:tc>
      </w:tr>
      <w:tr w14:paraId="1333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65" w:type="pct"/>
            <w:tcBorders>
              <w:tl2br w:val="nil"/>
              <w:tr2bl w:val="nil"/>
            </w:tcBorders>
            <w:tcMar>
              <w:top w:w="57" w:type="dxa"/>
              <w:left w:w="57" w:type="dxa"/>
              <w:bottom w:w="57" w:type="dxa"/>
              <w:right w:w="57" w:type="dxa"/>
            </w:tcMar>
            <w:vAlign w:val="center"/>
          </w:tcPr>
          <w:p w14:paraId="48DAAB2C">
            <w:pPr>
              <w:pStyle w:val="23"/>
              <w:jc w:val="center"/>
            </w:pPr>
            <w:r>
              <w:rPr>
                <w:rFonts w:hint="eastAsia"/>
              </w:rPr>
              <w:t>47</w:t>
            </w:r>
          </w:p>
        </w:tc>
        <w:tc>
          <w:tcPr>
            <w:tcW w:w="281" w:type="pct"/>
            <w:vMerge w:val="continue"/>
            <w:tcBorders>
              <w:tl2br w:val="nil"/>
              <w:tr2bl w:val="nil"/>
            </w:tcBorders>
            <w:noWrap/>
            <w:tcMar>
              <w:top w:w="57" w:type="dxa"/>
              <w:left w:w="57" w:type="dxa"/>
              <w:bottom w:w="57" w:type="dxa"/>
              <w:right w:w="57" w:type="dxa"/>
            </w:tcMar>
            <w:vAlign w:val="center"/>
          </w:tcPr>
          <w:p w14:paraId="07E5A50F">
            <w:pPr>
              <w:pStyle w:val="23"/>
              <w:jc w:val="center"/>
            </w:pPr>
          </w:p>
        </w:tc>
        <w:tc>
          <w:tcPr>
            <w:tcW w:w="2971" w:type="pct"/>
            <w:tcBorders>
              <w:tl2br w:val="nil"/>
              <w:tr2bl w:val="nil"/>
            </w:tcBorders>
            <w:tcMar>
              <w:top w:w="57" w:type="dxa"/>
              <w:left w:w="57" w:type="dxa"/>
              <w:bottom w:w="57" w:type="dxa"/>
              <w:right w:w="57" w:type="dxa"/>
            </w:tcMar>
            <w:vAlign w:val="center"/>
          </w:tcPr>
          <w:p w14:paraId="0FF9DD69">
            <w:pPr>
              <w:pStyle w:val="23"/>
            </w:pPr>
            <w:r>
              <w:rPr>
                <w:rFonts w:hint="eastAsia"/>
              </w:rPr>
              <w:t>对新认定的国家级、省级、市级农业产业化龙头企业，分别一次性奖补50万元、30万元和10万元。对新认定的国家级、省级、市级示范合作社，分别一次性奖补30万元、15万元和5万元；对新认定的国家级、省级、市级示范家庭农场，分别一次性奖补20万元、10万元和3万元。对新进规的农产品加工产品企业在原有政策上额外奖补20万元。</w:t>
            </w:r>
          </w:p>
        </w:tc>
        <w:tc>
          <w:tcPr>
            <w:tcW w:w="1481" w:type="pct"/>
            <w:vMerge w:val="continue"/>
            <w:tcBorders>
              <w:tl2br w:val="nil"/>
              <w:tr2bl w:val="nil"/>
            </w:tcBorders>
            <w:tcMar>
              <w:top w:w="57" w:type="dxa"/>
              <w:left w:w="57" w:type="dxa"/>
              <w:bottom w:w="57" w:type="dxa"/>
              <w:right w:w="57" w:type="dxa"/>
            </w:tcMar>
            <w:vAlign w:val="center"/>
          </w:tcPr>
          <w:p w14:paraId="7FAFB804">
            <w:pPr>
              <w:pStyle w:val="23"/>
            </w:pPr>
          </w:p>
        </w:tc>
      </w:tr>
      <w:tr w14:paraId="3D33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65" w:type="pct"/>
            <w:tcBorders>
              <w:tl2br w:val="nil"/>
              <w:tr2bl w:val="nil"/>
            </w:tcBorders>
            <w:tcMar>
              <w:top w:w="57" w:type="dxa"/>
              <w:left w:w="57" w:type="dxa"/>
              <w:bottom w:w="57" w:type="dxa"/>
              <w:right w:w="57" w:type="dxa"/>
            </w:tcMar>
            <w:vAlign w:val="center"/>
          </w:tcPr>
          <w:p w14:paraId="398795BD">
            <w:pPr>
              <w:pStyle w:val="23"/>
              <w:jc w:val="center"/>
            </w:pPr>
            <w:r>
              <w:rPr>
                <w:rFonts w:hint="eastAsia"/>
              </w:rPr>
              <w:t>48</w:t>
            </w:r>
          </w:p>
        </w:tc>
        <w:tc>
          <w:tcPr>
            <w:tcW w:w="281" w:type="pct"/>
            <w:vMerge w:val="continue"/>
            <w:tcBorders>
              <w:tl2br w:val="nil"/>
              <w:tr2bl w:val="nil"/>
            </w:tcBorders>
            <w:noWrap/>
            <w:tcMar>
              <w:top w:w="57" w:type="dxa"/>
              <w:left w:w="57" w:type="dxa"/>
              <w:bottom w:w="57" w:type="dxa"/>
              <w:right w:w="57" w:type="dxa"/>
            </w:tcMar>
            <w:vAlign w:val="center"/>
          </w:tcPr>
          <w:p w14:paraId="21884CD4">
            <w:pPr>
              <w:pStyle w:val="23"/>
              <w:jc w:val="center"/>
            </w:pPr>
          </w:p>
        </w:tc>
        <w:tc>
          <w:tcPr>
            <w:tcW w:w="2971" w:type="pct"/>
            <w:tcBorders>
              <w:tl2br w:val="nil"/>
              <w:tr2bl w:val="nil"/>
            </w:tcBorders>
            <w:tcMar>
              <w:top w:w="57" w:type="dxa"/>
              <w:left w:w="57" w:type="dxa"/>
              <w:bottom w:w="57" w:type="dxa"/>
              <w:right w:w="57" w:type="dxa"/>
            </w:tcMar>
            <w:vAlign w:val="center"/>
          </w:tcPr>
          <w:p w14:paraId="04F81A57">
            <w:pPr>
              <w:pStyle w:val="23"/>
            </w:pPr>
            <w:r>
              <w:rPr>
                <w:rFonts w:hint="eastAsia"/>
              </w:rPr>
              <w:t>对签订农产品订单达1000万元，有订单销售合同、税务部门或银行部门出具的资金交易记录证明的，每年给予10万元奖励、每增加订单销售农产品300万元，新增奖励资金2万元，单个主体最高奖励不超过30万元。</w:t>
            </w:r>
          </w:p>
        </w:tc>
        <w:tc>
          <w:tcPr>
            <w:tcW w:w="1481" w:type="pct"/>
            <w:vMerge w:val="continue"/>
            <w:tcBorders>
              <w:tl2br w:val="nil"/>
              <w:tr2bl w:val="nil"/>
            </w:tcBorders>
            <w:tcMar>
              <w:top w:w="57" w:type="dxa"/>
              <w:left w:w="57" w:type="dxa"/>
              <w:bottom w:w="57" w:type="dxa"/>
              <w:right w:w="57" w:type="dxa"/>
            </w:tcMar>
            <w:vAlign w:val="center"/>
          </w:tcPr>
          <w:p w14:paraId="3D172D5C">
            <w:pPr>
              <w:pStyle w:val="23"/>
            </w:pPr>
          </w:p>
        </w:tc>
      </w:tr>
      <w:tr w14:paraId="2D7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65" w:type="pct"/>
            <w:tcBorders>
              <w:tl2br w:val="nil"/>
              <w:tr2bl w:val="nil"/>
            </w:tcBorders>
            <w:tcMar>
              <w:top w:w="57" w:type="dxa"/>
              <w:left w:w="57" w:type="dxa"/>
              <w:bottom w:w="57" w:type="dxa"/>
              <w:right w:w="57" w:type="dxa"/>
            </w:tcMar>
            <w:vAlign w:val="center"/>
          </w:tcPr>
          <w:p w14:paraId="0C2281E1">
            <w:pPr>
              <w:pStyle w:val="23"/>
              <w:jc w:val="center"/>
            </w:pPr>
            <w:r>
              <w:rPr>
                <w:rFonts w:hint="eastAsia"/>
              </w:rPr>
              <w:t>49</w:t>
            </w:r>
          </w:p>
        </w:tc>
        <w:tc>
          <w:tcPr>
            <w:tcW w:w="281" w:type="pct"/>
            <w:vMerge w:val="continue"/>
            <w:tcBorders>
              <w:tl2br w:val="nil"/>
              <w:tr2bl w:val="nil"/>
            </w:tcBorders>
            <w:noWrap/>
            <w:tcMar>
              <w:top w:w="57" w:type="dxa"/>
              <w:left w:w="57" w:type="dxa"/>
              <w:bottom w:w="57" w:type="dxa"/>
              <w:right w:w="57" w:type="dxa"/>
            </w:tcMar>
            <w:vAlign w:val="center"/>
          </w:tcPr>
          <w:p w14:paraId="22DD5A59">
            <w:pPr>
              <w:pStyle w:val="23"/>
              <w:jc w:val="center"/>
            </w:pPr>
          </w:p>
        </w:tc>
        <w:tc>
          <w:tcPr>
            <w:tcW w:w="2971" w:type="pct"/>
            <w:tcBorders>
              <w:tl2br w:val="nil"/>
              <w:tr2bl w:val="nil"/>
            </w:tcBorders>
            <w:tcMar>
              <w:top w:w="57" w:type="dxa"/>
              <w:left w:w="57" w:type="dxa"/>
              <w:bottom w:w="57" w:type="dxa"/>
              <w:right w:w="57" w:type="dxa"/>
            </w:tcMar>
            <w:vAlign w:val="center"/>
          </w:tcPr>
          <w:p w14:paraId="20DFD85C">
            <w:pPr>
              <w:pStyle w:val="23"/>
            </w:pPr>
            <w:r>
              <w:rPr>
                <w:rFonts w:hint="eastAsia"/>
              </w:rPr>
              <w:t>1.养老机构内设医疗机构建设补贴：养老机构（含医养结合机构）内部设置诊所、医务室或护理站的给予5万元一次性建设补贴；设置综合门诊部的给予10万元一次性建设补贴；设置一级综合医疗机构以及老年病医院、护理医院、康复医院的给予30万元一次性建设补贴；设置二级及以上综合医疗机构以及老年病医院、护理医院、康复医院的给予50万元一次性建设补贴。</w:t>
            </w:r>
          </w:p>
          <w:p w14:paraId="467BF499">
            <w:pPr>
              <w:pStyle w:val="23"/>
            </w:pPr>
            <w:r>
              <w:rPr>
                <w:rFonts w:hint="eastAsia"/>
              </w:rPr>
              <w:t>2.医疗机构运营补贴：以实际入住养老机构的老年人数，对诊所、医务室或护理站按照500元/人/年的标准给予运营补贴；对综合门诊按照700元/人/年的标准给予运营补贴；对一级综合医疗机构以及老年病医院、护理医院、康复医院的按照1000元/人/年的标准给予运营补贴；对二级及以上综合医疗机构以及老年病医院、护理医院、康复医院的按照1500元/人/年的标准给予运营补贴。运营补贴以老年人自上年度11月1至本年度10月31日在养老机构实际入住的月数据实结算，超过15天（含）的可享受当月补贴。老年人入住和离院时间以区级民政部门审核确认为准。</w:t>
            </w:r>
          </w:p>
        </w:tc>
        <w:tc>
          <w:tcPr>
            <w:tcW w:w="1481" w:type="pct"/>
            <w:tcBorders>
              <w:tl2br w:val="nil"/>
              <w:tr2bl w:val="nil"/>
            </w:tcBorders>
            <w:tcMar>
              <w:top w:w="57" w:type="dxa"/>
              <w:left w:w="57" w:type="dxa"/>
              <w:bottom w:w="57" w:type="dxa"/>
              <w:right w:w="57" w:type="dxa"/>
            </w:tcMar>
            <w:vAlign w:val="center"/>
          </w:tcPr>
          <w:p w14:paraId="1C636DBF">
            <w:pPr>
              <w:pStyle w:val="23"/>
            </w:pPr>
            <w:r>
              <w:rPr>
                <w:rFonts w:hint="eastAsia"/>
              </w:rPr>
              <w:t>2023年1月28日，《关于印发&lt;鄂州市医养结合服务补贴实施细则&gt;的通知》（鄂州卫发〔2023〕3号）</w:t>
            </w:r>
          </w:p>
        </w:tc>
      </w:tr>
      <w:tr w14:paraId="0A02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265" w:type="pct"/>
            <w:tcBorders>
              <w:tl2br w:val="nil"/>
              <w:tr2bl w:val="nil"/>
            </w:tcBorders>
            <w:tcMar>
              <w:top w:w="57" w:type="dxa"/>
              <w:left w:w="57" w:type="dxa"/>
              <w:bottom w:w="57" w:type="dxa"/>
              <w:right w:w="57" w:type="dxa"/>
            </w:tcMar>
            <w:vAlign w:val="center"/>
          </w:tcPr>
          <w:p w14:paraId="224D7349">
            <w:pPr>
              <w:pStyle w:val="23"/>
              <w:jc w:val="center"/>
            </w:pPr>
            <w:r>
              <w:rPr>
                <w:rFonts w:hint="eastAsia"/>
              </w:rPr>
              <w:t>50</w:t>
            </w:r>
          </w:p>
        </w:tc>
        <w:tc>
          <w:tcPr>
            <w:tcW w:w="281" w:type="pct"/>
            <w:vMerge w:val="continue"/>
            <w:tcBorders>
              <w:tl2br w:val="nil"/>
              <w:tr2bl w:val="nil"/>
            </w:tcBorders>
            <w:noWrap/>
            <w:tcMar>
              <w:top w:w="57" w:type="dxa"/>
              <w:left w:w="57" w:type="dxa"/>
              <w:bottom w:w="57" w:type="dxa"/>
              <w:right w:w="57" w:type="dxa"/>
            </w:tcMar>
            <w:vAlign w:val="center"/>
          </w:tcPr>
          <w:p w14:paraId="104C6B00">
            <w:pPr>
              <w:pStyle w:val="23"/>
              <w:jc w:val="center"/>
            </w:pPr>
          </w:p>
        </w:tc>
        <w:tc>
          <w:tcPr>
            <w:tcW w:w="2971" w:type="pct"/>
            <w:tcBorders>
              <w:tl2br w:val="nil"/>
              <w:tr2bl w:val="nil"/>
            </w:tcBorders>
            <w:tcMar>
              <w:top w:w="57" w:type="dxa"/>
              <w:left w:w="57" w:type="dxa"/>
              <w:bottom w:w="57" w:type="dxa"/>
              <w:right w:w="57" w:type="dxa"/>
            </w:tcMar>
            <w:vAlign w:val="center"/>
          </w:tcPr>
          <w:p w14:paraId="5EB18A4F">
            <w:pPr>
              <w:pStyle w:val="23"/>
            </w:pPr>
            <w:r>
              <w:rPr>
                <w:rFonts w:hint="eastAsia"/>
              </w:rPr>
              <w:t>1.航班机型可用业载80吨以上（含80吨），按6万元/飞行小时的标准给予奖励。其中，直航航距5000公里以上（含5000公里）每个往返航班最高奖励上限120万元；直航航距5000公里以下，每个往返航班最高奖励上限40万元。（飞行小时：在国家民航局批复该往返航班的飞行时刻上增加1个小时，计算总飞行小时&lt;扣除技术经停时间&gt;）</w:t>
            </w:r>
          </w:p>
          <w:p w14:paraId="5C13D216">
            <w:pPr>
              <w:pStyle w:val="23"/>
            </w:pPr>
            <w:r>
              <w:rPr>
                <w:rFonts w:hint="eastAsia"/>
              </w:rPr>
              <w:t>2.航班机型可用业载40吨以上（含40吨）、80吨以下，按3.5万元/飞行小时的标准给予奖励，每个往返航班最高奖励上限40万元。</w:t>
            </w:r>
          </w:p>
          <w:p w14:paraId="7F6F8A94">
            <w:pPr>
              <w:pStyle w:val="23"/>
            </w:pPr>
            <w:r>
              <w:rPr>
                <w:rFonts w:hint="eastAsia"/>
              </w:rPr>
              <w:t>3.航班机型可用业载20吨以上（含20吨）、40吨以下，按2.5万元/飞行小时的标准给予奖励，每个往返航班最高奖励上限30万元。</w:t>
            </w:r>
          </w:p>
          <w:p w14:paraId="752441E1">
            <w:pPr>
              <w:pStyle w:val="23"/>
            </w:pPr>
            <w:r>
              <w:rPr>
                <w:rFonts w:hint="eastAsia"/>
              </w:rPr>
              <w:t>4.航班机型可用业载20吨以下，按2万元/飞行小时的标准给予奖励，每个往返航班最高奖励上限10万元。</w:t>
            </w:r>
          </w:p>
          <w:p w14:paraId="0B004728">
            <w:pPr>
              <w:pStyle w:val="23"/>
            </w:pPr>
            <w:r>
              <w:rPr>
                <w:rFonts w:hint="eastAsia"/>
              </w:rPr>
              <w:t>5.有利于国际货运航线稳定执飞和国际货量增长的其他项目，按“一事一议”方式另行商定。</w:t>
            </w:r>
          </w:p>
        </w:tc>
        <w:tc>
          <w:tcPr>
            <w:tcW w:w="1481" w:type="pct"/>
            <w:tcBorders>
              <w:tl2br w:val="nil"/>
              <w:tr2bl w:val="nil"/>
            </w:tcBorders>
            <w:tcMar>
              <w:top w:w="57" w:type="dxa"/>
              <w:left w:w="57" w:type="dxa"/>
              <w:bottom w:w="57" w:type="dxa"/>
              <w:right w:w="57" w:type="dxa"/>
            </w:tcMar>
            <w:vAlign w:val="center"/>
          </w:tcPr>
          <w:p w14:paraId="24B68B18">
            <w:pPr>
              <w:pStyle w:val="23"/>
            </w:pPr>
            <w:r>
              <w:rPr>
                <w:rFonts w:hint="eastAsia"/>
              </w:rPr>
              <w:t>2023年5月18日，《鄂州市人民政府办公室关于阶段性实施国际货运航班运行奖励的通知》（鄂州政办函〔2023〕18号）</w:t>
            </w:r>
          </w:p>
        </w:tc>
      </w:tr>
      <w:tr w14:paraId="747D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265" w:type="pct"/>
            <w:tcBorders>
              <w:tl2br w:val="nil"/>
              <w:tr2bl w:val="nil"/>
            </w:tcBorders>
            <w:tcMar>
              <w:top w:w="57" w:type="dxa"/>
              <w:left w:w="57" w:type="dxa"/>
              <w:bottom w:w="57" w:type="dxa"/>
              <w:right w:w="57" w:type="dxa"/>
            </w:tcMar>
            <w:vAlign w:val="center"/>
          </w:tcPr>
          <w:p w14:paraId="2D9AF0E4">
            <w:pPr>
              <w:pStyle w:val="23"/>
              <w:jc w:val="center"/>
            </w:pPr>
            <w:r>
              <w:rPr>
                <w:rFonts w:hint="eastAsia"/>
              </w:rPr>
              <w:t>51</w:t>
            </w:r>
          </w:p>
        </w:tc>
        <w:tc>
          <w:tcPr>
            <w:tcW w:w="281" w:type="pct"/>
            <w:vMerge w:val="continue"/>
            <w:tcBorders>
              <w:tl2br w:val="nil"/>
              <w:tr2bl w:val="nil"/>
            </w:tcBorders>
            <w:noWrap/>
            <w:tcMar>
              <w:top w:w="57" w:type="dxa"/>
              <w:left w:w="57" w:type="dxa"/>
              <w:bottom w:w="57" w:type="dxa"/>
              <w:right w:w="57" w:type="dxa"/>
            </w:tcMar>
            <w:vAlign w:val="center"/>
          </w:tcPr>
          <w:p w14:paraId="2C1822C3">
            <w:pPr>
              <w:pStyle w:val="23"/>
              <w:jc w:val="center"/>
            </w:pPr>
          </w:p>
        </w:tc>
        <w:tc>
          <w:tcPr>
            <w:tcW w:w="2971" w:type="pct"/>
            <w:tcBorders>
              <w:tl2br w:val="nil"/>
              <w:tr2bl w:val="nil"/>
            </w:tcBorders>
            <w:tcMar>
              <w:top w:w="57" w:type="dxa"/>
              <w:left w:w="57" w:type="dxa"/>
              <w:bottom w:w="57" w:type="dxa"/>
              <w:right w:w="57" w:type="dxa"/>
            </w:tcMar>
            <w:vAlign w:val="center"/>
          </w:tcPr>
          <w:p w14:paraId="34FA54B4">
            <w:pPr>
              <w:pStyle w:val="23"/>
            </w:pPr>
            <w:r>
              <w:rPr>
                <w:rFonts w:hint="eastAsia"/>
              </w:rPr>
              <w:t>支持国际国内大型商贸企业在我市设立区域性总部，对新落户的区域性总部企业，年社零额规模首次达到3亿元的，给予一次性奖励30万元。支持大宗商品贸易企业落户，对2023年1月1日以来落户我市、纳入限额以上统计的当年或次年销售额达到20亿元，且增速不低于10%的大宗商品贸易企业，连续三年按照每年购销合同金额万分之三的100%、70%、50%给予奖励，每年最高不超过200万元。</w:t>
            </w:r>
          </w:p>
        </w:tc>
        <w:tc>
          <w:tcPr>
            <w:tcW w:w="1481" w:type="pct"/>
            <w:vMerge w:val="restart"/>
            <w:tcBorders>
              <w:tl2br w:val="nil"/>
              <w:tr2bl w:val="nil"/>
            </w:tcBorders>
            <w:tcMar>
              <w:top w:w="57" w:type="dxa"/>
              <w:left w:w="57" w:type="dxa"/>
              <w:bottom w:w="57" w:type="dxa"/>
              <w:right w:w="57" w:type="dxa"/>
            </w:tcMar>
            <w:vAlign w:val="center"/>
          </w:tcPr>
          <w:p w14:paraId="02904A45">
            <w:pPr>
              <w:pStyle w:val="23"/>
            </w:pPr>
            <w:r>
              <w:rPr>
                <w:rFonts w:hint="eastAsia"/>
              </w:rPr>
              <w:t>2023年7月16日，《市人民政府办公室关于印发鄂州市促进商贸业高质量发展若干措施的通知》（鄂州政办发〔2023〕18号）</w:t>
            </w:r>
          </w:p>
        </w:tc>
      </w:tr>
      <w:tr w14:paraId="533D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265" w:type="pct"/>
            <w:tcBorders>
              <w:tl2br w:val="nil"/>
              <w:tr2bl w:val="nil"/>
            </w:tcBorders>
            <w:tcMar>
              <w:top w:w="57" w:type="dxa"/>
              <w:left w:w="57" w:type="dxa"/>
              <w:bottom w:w="57" w:type="dxa"/>
              <w:right w:w="57" w:type="dxa"/>
            </w:tcMar>
            <w:vAlign w:val="center"/>
          </w:tcPr>
          <w:p w14:paraId="1FFF0A1E">
            <w:pPr>
              <w:pStyle w:val="23"/>
              <w:jc w:val="center"/>
            </w:pPr>
            <w:r>
              <w:rPr>
                <w:rFonts w:hint="eastAsia"/>
              </w:rPr>
              <w:t>52</w:t>
            </w:r>
          </w:p>
        </w:tc>
        <w:tc>
          <w:tcPr>
            <w:tcW w:w="281" w:type="pct"/>
            <w:vMerge w:val="continue"/>
            <w:tcBorders>
              <w:tl2br w:val="nil"/>
              <w:tr2bl w:val="nil"/>
            </w:tcBorders>
            <w:noWrap/>
            <w:tcMar>
              <w:top w:w="57" w:type="dxa"/>
              <w:left w:w="57" w:type="dxa"/>
              <w:bottom w:w="57" w:type="dxa"/>
              <w:right w:w="57" w:type="dxa"/>
            </w:tcMar>
            <w:vAlign w:val="center"/>
          </w:tcPr>
          <w:p w14:paraId="1633EBC1">
            <w:pPr>
              <w:pStyle w:val="23"/>
              <w:jc w:val="center"/>
            </w:pPr>
          </w:p>
        </w:tc>
        <w:tc>
          <w:tcPr>
            <w:tcW w:w="2971" w:type="pct"/>
            <w:tcBorders>
              <w:tl2br w:val="nil"/>
              <w:tr2bl w:val="nil"/>
            </w:tcBorders>
            <w:tcMar>
              <w:top w:w="57" w:type="dxa"/>
              <w:left w:w="57" w:type="dxa"/>
              <w:bottom w:w="57" w:type="dxa"/>
              <w:right w:w="57" w:type="dxa"/>
            </w:tcMar>
            <w:vAlign w:val="center"/>
          </w:tcPr>
          <w:p w14:paraId="60E81032">
            <w:pPr>
              <w:pStyle w:val="23"/>
            </w:pPr>
            <w:r>
              <w:rPr>
                <w:rFonts w:hint="eastAsia"/>
              </w:rPr>
              <w:t>商业运营主体每引进一家商贸企业并纳入限额以上统计，当年或次年社零额规模达到2000万元以上的，按照3万元/家的标准给予一次性奖励，每年最高不超过30万元。</w:t>
            </w:r>
          </w:p>
        </w:tc>
        <w:tc>
          <w:tcPr>
            <w:tcW w:w="1481" w:type="pct"/>
            <w:vMerge w:val="continue"/>
            <w:tcBorders>
              <w:tl2br w:val="nil"/>
              <w:tr2bl w:val="nil"/>
            </w:tcBorders>
            <w:tcMar>
              <w:top w:w="57" w:type="dxa"/>
              <w:left w:w="57" w:type="dxa"/>
              <w:bottom w:w="57" w:type="dxa"/>
              <w:right w:w="57" w:type="dxa"/>
            </w:tcMar>
            <w:vAlign w:val="center"/>
          </w:tcPr>
          <w:p w14:paraId="41C23A23">
            <w:pPr>
              <w:pStyle w:val="23"/>
            </w:pPr>
          </w:p>
        </w:tc>
      </w:tr>
      <w:tr w14:paraId="22FC1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265" w:type="pct"/>
            <w:tcBorders>
              <w:tl2br w:val="nil"/>
              <w:tr2bl w:val="nil"/>
            </w:tcBorders>
            <w:tcMar>
              <w:top w:w="57" w:type="dxa"/>
              <w:left w:w="57" w:type="dxa"/>
              <w:bottom w:w="57" w:type="dxa"/>
              <w:right w:w="57" w:type="dxa"/>
            </w:tcMar>
            <w:vAlign w:val="center"/>
          </w:tcPr>
          <w:p w14:paraId="6B1DCC32">
            <w:pPr>
              <w:pStyle w:val="23"/>
              <w:jc w:val="center"/>
            </w:pPr>
            <w:r>
              <w:rPr>
                <w:rFonts w:hint="eastAsia"/>
              </w:rPr>
              <w:t>53</w:t>
            </w:r>
          </w:p>
        </w:tc>
        <w:tc>
          <w:tcPr>
            <w:tcW w:w="281" w:type="pct"/>
            <w:vMerge w:val="continue"/>
            <w:tcBorders>
              <w:tl2br w:val="nil"/>
              <w:tr2bl w:val="nil"/>
            </w:tcBorders>
            <w:noWrap/>
            <w:tcMar>
              <w:top w:w="57" w:type="dxa"/>
              <w:left w:w="57" w:type="dxa"/>
              <w:bottom w:w="57" w:type="dxa"/>
              <w:right w:w="57" w:type="dxa"/>
            </w:tcMar>
            <w:vAlign w:val="center"/>
          </w:tcPr>
          <w:p w14:paraId="712F9CB0">
            <w:pPr>
              <w:pStyle w:val="23"/>
              <w:jc w:val="center"/>
            </w:pPr>
          </w:p>
        </w:tc>
        <w:tc>
          <w:tcPr>
            <w:tcW w:w="2971" w:type="pct"/>
            <w:tcBorders>
              <w:tl2br w:val="nil"/>
              <w:tr2bl w:val="nil"/>
            </w:tcBorders>
            <w:tcMar>
              <w:top w:w="57" w:type="dxa"/>
              <w:left w:w="57" w:type="dxa"/>
              <w:bottom w:w="57" w:type="dxa"/>
              <w:right w:w="57" w:type="dxa"/>
            </w:tcMar>
            <w:vAlign w:val="center"/>
          </w:tcPr>
          <w:p w14:paraId="4A9AF5F6">
            <w:pPr>
              <w:pStyle w:val="23"/>
            </w:pPr>
            <w:r>
              <w:rPr>
                <w:rFonts w:hint="eastAsia"/>
              </w:rPr>
              <w:t>对2023年1月1日以来，年销售额规模在1亿元至10亿元（含）、10亿元至30亿元（含）、30亿元以上，且增速超过当年全市社零额目标增速的限额以上批发企业，分别给予一次性奖励15万元、30万元和50万元。对2023年1月1日以来，年零售额规模在2000万元至1亿元（含）、1亿元至10亿（含）、10亿元以上，且增速超过当年全市社零额目标增速的限额以上零售企业，分别给予一次性奖励10万元、30万元、40万元。对2023年1月1日以来，年营业额规模在1000万元至1亿元（含）、1亿元至2亿元（含）、2亿元以上，且增速超过当年全市社零额目标增速的限额以上住宿、餐饮企业，分别给予一次性奖励10万元、20万元、30万元。同时满足多项条件的企业按就高不重复原则给予奖励。</w:t>
            </w:r>
          </w:p>
        </w:tc>
        <w:tc>
          <w:tcPr>
            <w:tcW w:w="1481" w:type="pct"/>
            <w:vMerge w:val="continue"/>
            <w:tcBorders>
              <w:tl2br w:val="nil"/>
              <w:tr2bl w:val="nil"/>
            </w:tcBorders>
            <w:tcMar>
              <w:top w:w="57" w:type="dxa"/>
              <w:left w:w="57" w:type="dxa"/>
              <w:bottom w:w="57" w:type="dxa"/>
              <w:right w:w="57" w:type="dxa"/>
            </w:tcMar>
            <w:vAlign w:val="center"/>
          </w:tcPr>
          <w:p w14:paraId="35DAB91B">
            <w:pPr>
              <w:pStyle w:val="23"/>
            </w:pPr>
          </w:p>
        </w:tc>
      </w:tr>
      <w:tr w14:paraId="585C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265" w:type="pct"/>
            <w:tcBorders>
              <w:tl2br w:val="nil"/>
              <w:tr2bl w:val="nil"/>
            </w:tcBorders>
            <w:tcMar>
              <w:top w:w="57" w:type="dxa"/>
              <w:left w:w="57" w:type="dxa"/>
              <w:bottom w:w="57" w:type="dxa"/>
              <w:right w:w="57" w:type="dxa"/>
            </w:tcMar>
            <w:vAlign w:val="center"/>
          </w:tcPr>
          <w:p w14:paraId="3C66462D">
            <w:pPr>
              <w:pStyle w:val="23"/>
              <w:jc w:val="center"/>
            </w:pPr>
            <w:r>
              <w:rPr>
                <w:rFonts w:hint="eastAsia"/>
              </w:rPr>
              <w:t>54</w:t>
            </w:r>
          </w:p>
        </w:tc>
        <w:tc>
          <w:tcPr>
            <w:tcW w:w="281" w:type="pct"/>
            <w:vMerge w:val="continue"/>
            <w:tcBorders>
              <w:tl2br w:val="nil"/>
              <w:tr2bl w:val="nil"/>
            </w:tcBorders>
            <w:noWrap/>
            <w:tcMar>
              <w:top w:w="57" w:type="dxa"/>
              <w:left w:w="57" w:type="dxa"/>
              <w:bottom w:w="57" w:type="dxa"/>
              <w:right w:w="57" w:type="dxa"/>
            </w:tcMar>
            <w:vAlign w:val="center"/>
          </w:tcPr>
          <w:p w14:paraId="3A9EFF12">
            <w:pPr>
              <w:pStyle w:val="23"/>
              <w:jc w:val="center"/>
            </w:pPr>
          </w:p>
        </w:tc>
        <w:tc>
          <w:tcPr>
            <w:tcW w:w="2971" w:type="pct"/>
            <w:tcBorders>
              <w:tl2br w:val="nil"/>
              <w:tr2bl w:val="nil"/>
            </w:tcBorders>
            <w:tcMar>
              <w:top w:w="57" w:type="dxa"/>
              <w:left w:w="57" w:type="dxa"/>
              <w:bottom w:w="57" w:type="dxa"/>
              <w:right w:w="57" w:type="dxa"/>
            </w:tcMar>
            <w:vAlign w:val="center"/>
          </w:tcPr>
          <w:p w14:paraId="00AC1D66">
            <w:pPr>
              <w:pStyle w:val="23"/>
            </w:pPr>
            <w:r>
              <w:rPr>
                <w:rFonts w:hint="eastAsia"/>
              </w:rPr>
              <w:t>限额以上零售、餐饮、住宿企业年销售额（营业额）分别不低于2000万元、1000万元、1000万元，且增速超过全市当年社零额目标增速的，对其线上渠道推广的服务费用（包括网络优化宣传、搜索引擎付费点击、聘请直播人员等支出）按照20%的标准给予补贴，最高不超过50万元。对营业面积达到2万平方米的限额以上商业综合体、购物中心举办线下促消费活动，按照每场促消费活动费用（包括宣传推广、场地租用搭建等）的30%给予补贴，同一企业每年最多补贴2场，累计补贴金额最高不超过50万元。</w:t>
            </w:r>
          </w:p>
        </w:tc>
        <w:tc>
          <w:tcPr>
            <w:tcW w:w="1481" w:type="pct"/>
            <w:vMerge w:val="continue"/>
            <w:tcBorders>
              <w:tl2br w:val="nil"/>
              <w:tr2bl w:val="nil"/>
            </w:tcBorders>
            <w:tcMar>
              <w:top w:w="57" w:type="dxa"/>
              <w:left w:w="57" w:type="dxa"/>
              <w:bottom w:w="57" w:type="dxa"/>
              <w:right w:w="57" w:type="dxa"/>
            </w:tcMar>
            <w:vAlign w:val="center"/>
          </w:tcPr>
          <w:p w14:paraId="65F08CF2">
            <w:pPr>
              <w:pStyle w:val="23"/>
            </w:pPr>
          </w:p>
        </w:tc>
      </w:tr>
      <w:tr w14:paraId="5BA0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65" w:type="pct"/>
            <w:tcBorders>
              <w:tl2br w:val="nil"/>
              <w:tr2bl w:val="nil"/>
            </w:tcBorders>
            <w:tcMar>
              <w:top w:w="57" w:type="dxa"/>
              <w:left w:w="57" w:type="dxa"/>
              <w:bottom w:w="57" w:type="dxa"/>
              <w:right w:w="57" w:type="dxa"/>
            </w:tcMar>
            <w:vAlign w:val="center"/>
          </w:tcPr>
          <w:p w14:paraId="5FF5CB4B">
            <w:pPr>
              <w:pStyle w:val="23"/>
              <w:jc w:val="center"/>
            </w:pPr>
            <w:r>
              <w:rPr>
                <w:rFonts w:hint="eastAsia"/>
              </w:rPr>
              <w:t>55</w:t>
            </w:r>
          </w:p>
        </w:tc>
        <w:tc>
          <w:tcPr>
            <w:tcW w:w="281" w:type="pct"/>
            <w:vMerge w:val="continue"/>
            <w:tcBorders>
              <w:tl2br w:val="nil"/>
              <w:tr2bl w:val="nil"/>
            </w:tcBorders>
            <w:noWrap/>
            <w:tcMar>
              <w:top w:w="57" w:type="dxa"/>
              <w:left w:w="57" w:type="dxa"/>
              <w:bottom w:w="57" w:type="dxa"/>
              <w:right w:w="57" w:type="dxa"/>
            </w:tcMar>
            <w:vAlign w:val="center"/>
          </w:tcPr>
          <w:p w14:paraId="7384E78A">
            <w:pPr>
              <w:pStyle w:val="23"/>
              <w:jc w:val="center"/>
            </w:pPr>
          </w:p>
        </w:tc>
        <w:tc>
          <w:tcPr>
            <w:tcW w:w="2971" w:type="pct"/>
            <w:tcBorders>
              <w:tl2br w:val="nil"/>
              <w:tr2bl w:val="nil"/>
            </w:tcBorders>
            <w:tcMar>
              <w:top w:w="57" w:type="dxa"/>
              <w:left w:w="57" w:type="dxa"/>
              <w:bottom w:w="57" w:type="dxa"/>
              <w:right w:w="57" w:type="dxa"/>
            </w:tcMar>
            <w:vAlign w:val="center"/>
          </w:tcPr>
          <w:p w14:paraId="4CB39D88">
            <w:pPr>
              <w:pStyle w:val="23"/>
            </w:pPr>
            <w:r>
              <w:rPr>
                <w:rFonts w:hint="eastAsia"/>
              </w:rPr>
              <w:t>对2023年1月1日以来引入国内外知名品牌在鄂州开设首店、旗舰店的商业载体给予奖励，具体奖励标准为：引入全球首店、亚洲首店的最高给予100万元奖励；引入中国（内地）首店的最高给予50万元奖励；引入湖北首店、旗舰店的最高给予10万元奖励；引入鄂州首店、旗舰店的最高给予5万元奖励。单个商业载体每年奖励不超过200万元。对在鄂州具有独立法人资格且纳入限额以上统计的品牌首店、旗舰店的运营企业，品牌年度主营业务收入超过1000万元的，最高给予20万元奖励。</w:t>
            </w:r>
          </w:p>
        </w:tc>
        <w:tc>
          <w:tcPr>
            <w:tcW w:w="1481" w:type="pct"/>
            <w:vMerge w:val="continue"/>
            <w:tcBorders>
              <w:tl2br w:val="nil"/>
              <w:tr2bl w:val="nil"/>
            </w:tcBorders>
            <w:tcMar>
              <w:top w:w="57" w:type="dxa"/>
              <w:left w:w="57" w:type="dxa"/>
              <w:bottom w:w="57" w:type="dxa"/>
              <w:right w:w="57" w:type="dxa"/>
            </w:tcMar>
            <w:vAlign w:val="center"/>
          </w:tcPr>
          <w:p w14:paraId="21AF42C0">
            <w:pPr>
              <w:pStyle w:val="23"/>
            </w:pPr>
          </w:p>
        </w:tc>
      </w:tr>
      <w:tr w14:paraId="687F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65" w:type="pct"/>
            <w:tcBorders>
              <w:tl2br w:val="nil"/>
              <w:tr2bl w:val="nil"/>
            </w:tcBorders>
            <w:tcMar>
              <w:top w:w="57" w:type="dxa"/>
              <w:left w:w="57" w:type="dxa"/>
              <w:bottom w:w="57" w:type="dxa"/>
              <w:right w:w="57" w:type="dxa"/>
            </w:tcMar>
            <w:vAlign w:val="center"/>
          </w:tcPr>
          <w:p w14:paraId="36545F87">
            <w:pPr>
              <w:pStyle w:val="23"/>
              <w:jc w:val="center"/>
            </w:pPr>
            <w:r>
              <w:rPr>
                <w:rFonts w:hint="eastAsia"/>
              </w:rPr>
              <w:t>56</w:t>
            </w:r>
          </w:p>
        </w:tc>
        <w:tc>
          <w:tcPr>
            <w:tcW w:w="281" w:type="pct"/>
            <w:vMerge w:val="continue"/>
            <w:tcBorders>
              <w:tl2br w:val="nil"/>
              <w:tr2bl w:val="nil"/>
            </w:tcBorders>
            <w:noWrap/>
            <w:tcMar>
              <w:top w:w="57" w:type="dxa"/>
              <w:left w:w="57" w:type="dxa"/>
              <w:bottom w:w="57" w:type="dxa"/>
              <w:right w:w="57" w:type="dxa"/>
            </w:tcMar>
            <w:vAlign w:val="center"/>
          </w:tcPr>
          <w:p w14:paraId="5DE184C6">
            <w:pPr>
              <w:pStyle w:val="23"/>
              <w:jc w:val="center"/>
            </w:pPr>
          </w:p>
        </w:tc>
        <w:tc>
          <w:tcPr>
            <w:tcW w:w="2971" w:type="pct"/>
            <w:tcBorders>
              <w:tl2br w:val="nil"/>
              <w:tr2bl w:val="nil"/>
            </w:tcBorders>
            <w:tcMar>
              <w:top w:w="57" w:type="dxa"/>
              <w:left w:w="57" w:type="dxa"/>
              <w:bottom w:w="57" w:type="dxa"/>
              <w:right w:w="57" w:type="dxa"/>
            </w:tcMar>
            <w:vAlign w:val="center"/>
          </w:tcPr>
          <w:p w14:paraId="2FAF8BC1">
            <w:pPr>
              <w:pStyle w:val="23"/>
            </w:pPr>
            <w:r>
              <w:rPr>
                <w:rFonts w:hint="eastAsia"/>
              </w:rPr>
              <w:t>对2023年1月1日以来首次实现集中收银，且纳入限额以上统计后第一个自然年度销售额达到1亿元的传统市场和商贸企业，按集中收银实际投入的50%给予一次性补贴，最高不超过50万元。</w:t>
            </w:r>
          </w:p>
        </w:tc>
        <w:tc>
          <w:tcPr>
            <w:tcW w:w="1481" w:type="pct"/>
            <w:vMerge w:val="continue"/>
            <w:tcBorders>
              <w:tl2br w:val="nil"/>
              <w:tr2bl w:val="nil"/>
            </w:tcBorders>
            <w:tcMar>
              <w:top w:w="57" w:type="dxa"/>
              <w:left w:w="57" w:type="dxa"/>
              <w:bottom w:w="57" w:type="dxa"/>
              <w:right w:w="57" w:type="dxa"/>
            </w:tcMar>
            <w:vAlign w:val="center"/>
          </w:tcPr>
          <w:p w14:paraId="7C912D32">
            <w:pPr>
              <w:pStyle w:val="23"/>
            </w:pPr>
          </w:p>
        </w:tc>
      </w:tr>
      <w:tr w14:paraId="3EBE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65" w:type="pct"/>
            <w:tcBorders>
              <w:tl2br w:val="nil"/>
              <w:tr2bl w:val="nil"/>
            </w:tcBorders>
            <w:tcMar>
              <w:top w:w="57" w:type="dxa"/>
              <w:left w:w="57" w:type="dxa"/>
              <w:bottom w:w="57" w:type="dxa"/>
              <w:right w:w="57" w:type="dxa"/>
            </w:tcMar>
            <w:vAlign w:val="center"/>
          </w:tcPr>
          <w:p w14:paraId="0CA6B531">
            <w:pPr>
              <w:pStyle w:val="23"/>
              <w:jc w:val="center"/>
            </w:pPr>
            <w:r>
              <w:rPr>
                <w:rFonts w:hint="eastAsia"/>
              </w:rPr>
              <w:t>57</w:t>
            </w:r>
          </w:p>
        </w:tc>
        <w:tc>
          <w:tcPr>
            <w:tcW w:w="281" w:type="pct"/>
            <w:vMerge w:val="continue"/>
            <w:tcBorders>
              <w:tl2br w:val="nil"/>
              <w:tr2bl w:val="nil"/>
            </w:tcBorders>
            <w:noWrap/>
            <w:tcMar>
              <w:top w:w="57" w:type="dxa"/>
              <w:left w:w="57" w:type="dxa"/>
              <w:bottom w:w="57" w:type="dxa"/>
              <w:right w:w="57" w:type="dxa"/>
            </w:tcMar>
            <w:vAlign w:val="center"/>
          </w:tcPr>
          <w:p w14:paraId="7281C3F5">
            <w:pPr>
              <w:pStyle w:val="23"/>
              <w:jc w:val="center"/>
            </w:pPr>
          </w:p>
        </w:tc>
        <w:tc>
          <w:tcPr>
            <w:tcW w:w="2971" w:type="pct"/>
            <w:tcBorders>
              <w:tl2br w:val="nil"/>
              <w:tr2bl w:val="nil"/>
            </w:tcBorders>
            <w:tcMar>
              <w:top w:w="57" w:type="dxa"/>
              <w:left w:w="57" w:type="dxa"/>
              <w:bottom w:w="57" w:type="dxa"/>
              <w:right w:w="57" w:type="dxa"/>
            </w:tcMar>
            <w:vAlign w:val="center"/>
          </w:tcPr>
          <w:p w14:paraId="77477FD1">
            <w:pPr>
              <w:pStyle w:val="23"/>
            </w:pPr>
            <w:r>
              <w:rPr>
                <w:rFonts w:hint="eastAsia"/>
              </w:rPr>
              <w:t>支持市烹饪酒店行业协会组织开展培训、学习考察、技能竞赛、企业参展、钻级认定等工作。对参加市外展会（博览会）推广鄂州特色菜品的餐饮企业每次给予2万元补贴，单个企业补贴每年不超过6万元。对获得湖北省楚菜大师工作室、中国烹饪大师等荣誉称号的组织和个人分别给予10万元、3万元的一次性奖励。对获得国家级绿色饭店（餐饮）的企业给予不超过10万元的一次性奖励。</w:t>
            </w:r>
          </w:p>
        </w:tc>
        <w:tc>
          <w:tcPr>
            <w:tcW w:w="1481" w:type="pct"/>
            <w:vMerge w:val="continue"/>
            <w:tcBorders>
              <w:tl2br w:val="nil"/>
              <w:tr2bl w:val="nil"/>
            </w:tcBorders>
            <w:tcMar>
              <w:top w:w="57" w:type="dxa"/>
              <w:left w:w="57" w:type="dxa"/>
              <w:bottom w:w="57" w:type="dxa"/>
              <w:right w:w="57" w:type="dxa"/>
            </w:tcMar>
            <w:vAlign w:val="center"/>
          </w:tcPr>
          <w:p w14:paraId="0CFF71D6">
            <w:pPr>
              <w:pStyle w:val="23"/>
            </w:pPr>
          </w:p>
        </w:tc>
      </w:tr>
      <w:tr w14:paraId="46EA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65" w:type="pct"/>
            <w:tcBorders>
              <w:tl2br w:val="nil"/>
              <w:tr2bl w:val="nil"/>
            </w:tcBorders>
            <w:tcMar>
              <w:top w:w="57" w:type="dxa"/>
              <w:left w:w="57" w:type="dxa"/>
              <w:bottom w:w="57" w:type="dxa"/>
              <w:right w:w="57" w:type="dxa"/>
            </w:tcMar>
            <w:vAlign w:val="center"/>
          </w:tcPr>
          <w:p w14:paraId="38688D77">
            <w:pPr>
              <w:pStyle w:val="23"/>
              <w:jc w:val="center"/>
            </w:pPr>
            <w:r>
              <w:rPr>
                <w:rFonts w:hint="eastAsia"/>
              </w:rPr>
              <w:t>58</w:t>
            </w:r>
          </w:p>
        </w:tc>
        <w:tc>
          <w:tcPr>
            <w:tcW w:w="281" w:type="pct"/>
            <w:vMerge w:val="continue"/>
            <w:tcBorders>
              <w:tl2br w:val="nil"/>
              <w:tr2bl w:val="nil"/>
            </w:tcBorders>
            <w:noWrap/>
            <w:tcMar>
              <w:top w:w="57" w:type="dxa"/>
              <w:left w:w="57" w:type="dxa"/>
              <w:bottom w:w="57" w:type="dxa"/>
              <w:right w:w="57" w:type="dxa"/>
            </w:tcMar>
            <w:vAlign w:val="center"/>
          </w:tcPr>
          <w:p w14:paraId="1E07EE37">
            <w:pPr>
              <w:pStyle w:val="23"/>
              <w:jc w:val="center"/>
            </w:pPr>
          </w:p>
        </w:tc>
        <w:tc>
          <w:tcPr>
            <w:tcW w:w="2971" w:type="pct"/>
            <w:tcBorders>
              <w:tl2br w:val="nil"/>
              <w:tr2bl w:val="nil"/>
            </w:tcBorders>
            <w:tcMar>
              <w:top w:w="57" w:type="dxa"/>
              <w:left w:w="57" w:type="dxa"/>
              <w:bottom w:w="57" w:type="dxa"/>
              <w:right w:w="57" w:type="dxa"/>
            </w:tcMar>
            <w:vAlign w:val="center"/>
          </w:tcPr>
          <w:p w14:paraId="314A819B">
            <w:pPr>
              <w:pStyle w:val="23"/>
            </w:pPr>
            <w:r>
              <w:rPr>
                <w:rFonts w:hint="eastAsia"/>
              </w:rPr>
              <w:t>对获批的国家实验室、国家重大科技基础设施、国家重点实验室、国家技术创新中心、国家临床医学研究中心、国家工程研究中心、国家制造业创新中心、国家产业创新中心，给予1000万元奖励。对获批的国家科技资源共享服务平台、国家野外科学观测研究站、国家企业技术中心给予不低于200万元的支持。</w:t>
            </w:r>
          </w:p>
        </w:tc>
        <w:tc>
          <w:tcPr>
            <w:tcW w:w="1481" w:type="pct"/>
            <w:vMerge w:val="restart"/>
            <w:tcBorders>
              <w:tl2br w:val="nil"/>
              <w:tr2bl w:val="nil"/>
            </w:tcBorders>
            <w:tcMar>
              <w:top w:w="57" w:type="dxa"/>
              <w:left w:w="57" w:type="dxa"/>
              <w:bottom w:w="57" w:type="dxa"/>
              <w:right w:w="57" w:type="dxa"/>
            </w:tcMar>
            <w:vAlign w:val="center"/>
          </w:tcPr>
          <w:p w14:paraId="125AF80B">
            <w:pPr>
              <w:pStyle w:val="23"/>
            </w:pPr>
            <w:r>
              <w:rPr>
                <w:rFonts w:hint="eastAsia"/>
              </w:rPr>
              <w:t>2023年7月18日，《鄂州市财政局关于印发&lt;财政资金支持类“免申即享”清单（第三批）&gt;的通知 》（鄂州财产发〔2023〕257号）</w:t>
            </w:r>
          </w:p>
        </w:tc>
      </w:tr>
      <w:tr w14:paraId="26D9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65" w:type="pct"/>
            <w:tcBorders>
              <w:tl2br w:val="nil"/>
              <w:tr2bl w:val="nil"/>
            </w:tcBorders>
            <w:tcMar>
              <w:top w:w="57" w:type="dxa"/>
              <w:left w:w="57" w:type="dxa"/>
              <w:bottom w:w="57" w:type="dxa"/>
              <w:right w:w="57" w:type="dxa"/>
            </w:tcMar>
            <w:vAlign w:val="center"/>
          </w:tcPr>
          <w:p w14:paraId="2DECFFA7">
            <w:pPr>
              <w:pStyle w:val="23"/>
              <w:jc w:val="center"/>
            </w:pPr>
            <w:r>
              <w:rPr>
                <w:rFonts w:hint="eastAsia"/>
              </w:rPr>
              <w:t>59</w:t>
            </w:r>
          </w:p>
        </w:tc>
        <w:tc>
          <w:tcPr>
            <w:tcW w:w="281" w:type="pct"/>
            <w:vMerge w:val="continue"/>
            <w:tcBorders>
              <w:tl2br w:val="nil"/>
              <w:tr2bl w:val="nil"/>
            </w:tcBorders>
            <w:noWrap/>
            <w:tcMar>
              <w:top w:w="57" w:type="dxa"/>
              <w:left w:w="57" w:type="dxa"/>
              <w:bottom w:w="57" w:type="dxa"/>
              <w:right w:w="57" w:type="dxa"/>
            </w:tcMar>
            <w:vAlign w:val="center"/>
          </w:tcPr>
          <w:p w14:paraId="781873FE">
            <w:pPr>
              <w:pStyle w:val="23"/>
              <w:jc w:val="center"/>
            </w:pPr>
          </w:p>
        </w:tc>
        <w:tc>
          <w:tcPr>
            <w:tcW w:w="2971" w:type="pct"/>
            <w:tcBorders>
              <w:tl2br w:val="nil"/>
              <w:tr2bl w:val="nil"/>
            </w:tcBorders>
            <w:tcMar>
              <w:top w:w="57" w:type="dxa"/>
              <w:left w:w="57" w:type="dxa"/>
              <w:bottom w:w="57" w:type="dxa"/>
              <w:right w:w="57" w:type="dxa"/>
            </w:tcMar>
            <w:vAlign w:val="center"/>
          </w:tcPr>
          <w:p w14:paraId="5D26DEAB">
            <w:pPr>
              <w:pStyle w:val="23"/>
            </w:pPr>
            <w:r>
              <w:rPr>
                <w:rFonts w:hint="eastAsia"/>
              </w:rPr>
              <w:t>对新获批（备案）的省级重点实验室、技术创新中心、临床医学研究中心、综合型技术创新平台、产业技术研究院、产业创新联合体、工程研究中心、制造业创新中心、产业创新中心给予50万元奖励。对新获批（备案）的省级专业型研究所（公司）、企校联合创新研究中心、企业技术中心给予20万元奖励。</w:t>
            </w:r>
          </w:p>
        </w:tc>
        <w:tc>
          <w:tcPr>
            <w:tcW w:w="1481" w:type="pct"/>
            <w:vMerge w:val="continue"/>
            <w:tcBorders>
              <w:tl2br w:val="nil"/>
              <w:tr2bl w:val="nil"/>
            </w:tcBorders>
            <w:tcMar>
              <w:top w:w="57" w:type="dxa"/>
              <w:left w:w="57" w:type="dxa"/>
              <w:bottom w:w="57" w:type="dxa"/>
              <w:right w:w="57" w:type="dxa"/>
            </w:tcMar>
            <w:vAlign w:val="center"/>
          </w:tcPr>
          <w:p w14:paraId="373928A7">
            <w:pPr>
              <w:pStyle w:val="23"/>
            </w:pPr>
          </w:p>
        </w:tc>
      </w:tr>
      <w:tr w14:paraId="6294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65" w:type="pct"/>
            <w:tcBorders>
              <w:tl2br w:val="nil"/>
              <w:tr2bl w:val="nil"/>
            </w:tcBorders>
            <w:tcMar>
              <w:top w:w="57" w:type="dxa"/>
              <w:left w:w="57" w:type="dxa"/>
              <w:bottom w:w="57" w:type="dxa"/>
              <w:right w:w="57" w:type="dxa"/>
            </w:tcMar>
            <w:vAlign w:val="center"/>
          </w:tcPr>
          <w:p w14:paraId="7CB93E56">
            <w:pPr>
              <w:pStyle w:val="23"/>
              <w:jc w:val="center"/>
            </w:pPr>
            <w:r>
              <w:rPr>
                <w:rFonts w:hint="eastAsia"/>
              </w:rPr>
              <w:t>60</w:t>
            </w:r>
          </w:p>
        </w:tc>
        <w:tc>
          <w:tcPr>
            <w:tcW w:w="281" w:type="pct"/>
            <w:vMerge w:val="continue"/>
            <w:tcBorders>
              <w:tl2br w:val="nil"/>
              <w:tr2bl w:val="nil"/>
            </w:tcBorders>
            <w:noWrap/>
            <w:tcMar>
              <w:top w:w="57" w:type="dxa"/>
              <w:left w:w="57" w:type="dxa"/>
              <w:bottom w:w="57" w:type="dxa"/>
              <w:right w:w="57" w:type="dxa"/>
            </w:tcMar>
            <w:vAlign w:val="center"/>
          </w:tcPr>
          <w:p w14:paraId="699962EC">
            <w:pPr>
              <w:pStyle w:val="23"/>
              <w:jc w:val="center"/>
            </w:pPr>
          </w:p>
        </w:tc>
        <w:tc>
          <w:tcPr>
            <w:tcW w:w="2971" w:type="pct"/>
            <w:tcBorders>
              <w:tl2br w:val="nil"/>
              <w:tr2bl w:val="nil"/>
            </w:tcBorders>
            <w:tcMar>
              <w:top w:w="57" w:type="dxa"/>
              <w:left w:w="57" w:type="dxa"/>
              <w:bottom w:w="57" w:type="dxa"/>
              <w:right w:w="57" w:type="dxa"/>
            </w:tcMar>
            <w:vAlign w:val="center"/>
          </w:tcPr>
          <w:p w14:paraId="3C74F756">
            <w:pPr>
              <w:pStyle w:val="23"/>
            </w:pPr>
            <w:r>
              <w:rPr>
                <w:rFonts w:hint="eastAsia"/>
              </w:rPr>
              <w:t>每两年开展一次市级技能大师工作室推荐评选工作，对获评市级工作室的，分别给予5万元的奖励资金。</w:t>
            </w:r>
          </w:p>
        </w:tc>
        <w:tc>
          <w:tcPr>
            <w:tcW w:w="1481" w:type="pct"/>
            <w:vMerge w:val="continue"/>
            <w:tcBorders>
              <w:tl2br w:val="nil"/>
              <w:tr2bl w:val="nil"/>
            </w:tcBorders>
            <w:tcMar>
              <w:top w:w="57" w:type="dxa"/>
              <w:left w:w="57" w:type="dxa"/>
              <w:bottom w:w="57" w:type="dxa"/>
              <w:right w:w="57" w:type="dxa"/>
            </w:tcMar>
            <w:vAlign w:val="center"/>
          </w:tcPr>
          <w:p w14:paraId="6E4184E4">
            <w:pPr>
              <w:pStyle w:val="23"/>
            </w:pPr>
          </w:p>
        </w:tc>
      </w:tr>
      <w:tr w14:paraId="7E2F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65" w:type="pct"/>
            <w:tcBorders>
              <w:tl2br w:val="nil"/>
              <w:tr2bl w:val="nil"/>
            </w:tcBorders>
            <w:tcMar>
              <w:top w:w="57" w:type="dxa"/>
              <w:left w:w="57" w:type="dxa"/>
              <w:bottom w:w="57" w:type="dxa"/>
              <w:right w:w="57" w:type="dxa"/>
            </w:tcMar>
            <w:vAlign w:val="center"/>
          </w:tcPr>
          <w:p w14:paraId="669711BD">
            <w:pPr>
              <w:pStyle w:val="23"/>
              <w:jc w:val="center"/>
            </w:pPr>
            <w:r>
              <w:rPr>
                <w:rFonts w:hint="eastAsia"/>
              </w:rPr>
              <w:t>61</w:t>
            </w:r>
          </w:p>
        </w:tc>
        <w:tc>
          <w:tcPr>
            <w:tcW w:w="281" w:type="pct"/>
            <w:vMerge w:val="continue"/>
            <w:tcBorders>
              <w:tl2br w:val="nil"/>
              <w:tr2bl w:val="nil"/>
            </w:tcBorders>
            <w:noWrap/>
            <w:tcMar>
              <w:top w:w="57" w:type="dxa"/>
              <w:left w:w="57" w:type="dxa"/>
              <w:bottom w:w="57" w:type="dxa"/>
              <w:right w:w="57" w:type="dxa"/>
            </w:tcMar>
            <w:vAlign w:val="center"/>
          </w:tcPr>
          <w:p w14:paraId="4C906E8E">
            <w:pPr>
              <w:pStyle w:val="23"/>
              <w:jc w:val="center"/>
            </w:pPr>
          </w:p>
        </w:tc>
        <w:tc>
          <w:tcPr>
            <w:tcW w:w="2971" w:type="pct"/>
            <w:tcBorders>
              <w:tl2br w:val="nil"/>
              <w:tr2bl w:val="nil"/>
            </w:tcBorders>
            <w:tcMar>
              <w:top w:w="57" w:type="dxa"/>
              <w:left w:w="57" w:type="dxa"/>
              <w:bottom w:w="57" w:type="dxa"/>
              <w:right w:w="57" w:type="dxa"/>
            </w:tcMar>
            <w:vAlign w:val="center"/>
          </w:tcPr>
          <w:p w14:paraId="5BEE10D4">
            <w:pPr>
              <w:pStyle w:val="23"/>
            </w:pPr>
            <w:r>
              <w:rPr>
                <w:rFonts w:hint="eastAsia"/>
              </w:rPr>
              <w:t>对首次获得国家、省、市老字号的农业经营主体，分别一次性给予30万元、20万元、10万元的奖励（不重复奖励）。</w:t>
            </w:r>
          </w:p>
        </w:tc>
        <w:tc>
          <w:tcPr>
            <w:tcW w:w="1481" w:type="pct"/>
            <w:vMerge w:val="continue"/>
            <w:tcBorders>
              <w:tl2br w:val="nil"/>
              <w:tr2bl w:val="nil"/>
            </w:tcBorders>
            <w:tcMar>
              <w:top w:w="57" w:type="dxa"/>
              <w:left w:w="57" w:type="dxa"/>
              <w:bottom w:w="57" w:type="dxa"/>
              <w:right w:w="57" w:type="dxa"/>
            </w:tcMar>
            <w:vAlign w:val="center"/>
          </w:tcPr>
          <w:p w14:paraId="57088DA6">
            <w:pPr>
              <w:pStyle w:val="23"/>
            </w:pPr>
          </w:p>
        </w:tc>
      </w:tr>
      <w:tr w14:paraId="2A15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65" w:type="pct"/>
            <w:tcBorders>
              <w:tl2br w:val="nil"/>
              <w:tr2bl w:val="nil"/>
            </w:tcBorders>
            <w:tcMar>
              <w:top w:w="57" w:type="dxa"/>
              <w:left w:w="57" w:type="dxa"/>
              <w:bottom w:w="57" w:type="dxa"/>
              <w:right w:w="57" w:type="dxa"/>
            </w:tcMar>
            <w:vAlign w:val="center"/>
          </w:tcPr>
          <w:p w14:paraId="6CBC46E2">
            <w:pPr>
              <w:pStyle w:val="23"/>
              <w:jc w:val="center"/>
            </w:pPr>
            <w:r>
              <w:rPr>
                <w:rFonts w:hint="eastAsia"/>
              </w:rPr>
              <w:t>62</w:t>
            </w:r>
          </w:p>
        </w:tc>
        <w:tc>
          <w:tcPr>
            <w:tcW w:w="281" w:type="pct"/>
            <w:vMerge w:val="continue"/>
            <w:tcBorders>
              <w:tl2br w:val="nil"/>
              <w:tr2bl w:val="nil"/>
            </w:tcBorders>
            <w:noWrap/>
            <w:tcMar>
              <w:top w:w="57" w:type="dxa"/>
              <w:left w:w="57" w:type="dxa"/>
              <w:bottom w:w="57" w:type="dxa"/>
              <w:right w:w="57" w:type="dxa"/>
            </w:tcMar>
            <w:vAlign w:val="center"/>
          </w:tcPr>
          <w:p w14:paraId="0DF84138">
            <w:pPr>
              <w:pStyle w:val="23"/>
              <w:jc w:val="center"/>
            </w:pPr>
          </w:p>
        </w:tc>
        <w:tc>
          <w:tcPr>
            <w:tcW w:w="2971" w:type="pct"/>
            <w:tcBorders>
              <w:tl2br w:val="nil"/>
              <w:tr2bl w:val="nil"/>
            </w:tcBorders>
            <w:tcMar>
              <w:top w:w="57" w:type="dxa"/>
              <w:left w:w="57" w:type="dxa"/>
              <w:bottom w:w="57" w:type="dxa"/>
              <w:right w:w="57" w:type="dxa"/>
            </w:tcMar>
            <w:vAlign w:val="center"/>
          </w:tcPr>
          <w:p w14:paraId="07EAB13A">
            <w:pPr>
              <w:pStyle w:val="23"/>
            </w:pPr>
            <w:r>
              <w:rPr>
                <w:rFonts w:hint="eastAsia"/>
              </w:rPr>
              <w:t>对获得国家绿色食品、有机农产品认证的农业经营主体，分别按照每个品种0.5万元、1万元给予奖励，复查换证的比照给予奖励。</w:t>
            </w:r>
          </w:p>
        </w:tc>
        <w:tc>
          <w:tcPr>
            <w:tcW w:w="1481" w:type="pct"/>
            <w:vMerge w:val="continue"/>
            <w:tcBorders>
              <w:tl2br w:val="nil"/>
              <w:tr2bl w:val="nil"/>
            </w:tcBorders>
            <w:tcMar>
              <w:top w:w="57" w:type="dxa"/>
              <w:left w:w="57" w:type="dxa"/>
              <w:bottom w:w="57" w:type="dxa"/>
              <w:right w:w="57" w:type="dxa"/>
            </w:tcMar>
            <w:vAlign w:val="center"/>
          </w:tcPr>
          <w:p w14:paraId="519DB42B">
            <w:pPr>
              <w:pStyle w:val="23"/>
            </w:pPr>
          </w:p>
        </w:tc>
      </w:tr>
      <w:tr w14:paraId="6613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65" w:type="pct"/>
            <w:tcBorders>
              <w:tl2br w:val="nil"/>
              <w:tr2bl w:val="nil"/>
            </w:tcBorders>
            <w:tcMar>
              <w:top w:w="57" w:type="dxa"/>
              <w:left w:w="57" w:type="dxa"/>
              <w:bottom w:w="57" w:type="dxa"/>
              <w:right w:w="57" w:type="dxa"/>
            </w:tcMar>
            <w:vAlign w:val="center"/>
          </w:tcPr>
          <w:p w14:paraId="1DCDC9F9">
            <w:pPr>
              <w:pStyle w:val="23"/>
              <w:jc w:val="center"/>
            </w:pPr>
            <w:r>
              <w:rPr>
                <w:rFonts w:hint="eastAsia"/>
              </w:rPr>
              <w:t>63</w:t>
            </w:r>
          </w:p>
        </w:tc>
        <w:tc>
          <w:tcPr>
            <w:tcW w:w="281" w:type="pct"/>
            <w:vMerge w:val="continue"/>
            <w:tcBorders>
              <w:tl2br w:val="nil"/>
              <w:tr2bl w:val="nil"/>
            </w:tcBorders>
            <w:noWrap/>
            <w:tcMar>
              <w:top w:w="57" w:type="dxa"/>
              <w:left w:w="57" w:type="dxa"/>
              <w:bottom w:w="57" w:type="dxa"/>
              <w:right w:w="57" w:type="dxa"/>
            </w:tcMar>
            <w:vAlign w:val="center"/>
          </w:tcPr>
          <w:p w14:paraId="7ACA0A6E">
            <w:pPr>
              <w:pStyle w:val="23"/>
              <w:jc w:val="center"/>
            </w:pPr>
          </w:p>
        </w:tc>
        <w:tc>
          <w:tcPr>
            <w:tcW w:w="2971" w:type="pct"/>
            <w:tcBorders>
              <w:tl2br w:val="nil"/>
              <w:tr2bl w:val="nil"/>
            </w:tcBorders>
            <w:tcMar>
              <w:top w:w="57" w:type="dxa"/>
              <w:left w:w="57" w:type="dxa"/>
              <w:bottom w:w="57" w:type="dxa"/>
              <w:right w:w="57" w:type="dxa"/>
            </w:tcMar>
            <w:vAlign w:val="center"/>
          </w:tcPr>
          <w:p w14:paraId="33FF07E9">
            <w:pPr>
              <w:pStyle w:val="23"/>
            </w:pPr>
            <w:r>
              <w:rPr>
                <w:rFonts w:hint="eastAsia"/>
              </w:rPr>
              <w:t>对获长江质量奖（含提名奖）的组织奖励50万元，对获市长质量奖的组织奖励50万元，对获市长质量奖提名奖的组织奖励20万元。</w:t>
            </w:r>
          </w:p>
        </w:tc>
        <w:tc>
          <w:tcPr>
            <w:tcW w:w="1481" w:type="pct"/>
            <w:vMerge w:val="continue"/>
            <w:tcBorders>
              <w:tl2br w:val="nil"/>
              <w:tr2bl w:val="nil"/>
            </w:tcBorders>
            <w:tcMar>
              <w:top w:w="57" w:type="dxa"/>
              <w:left w:w="57" w:type="dxa"/>
              <w:bottom w:w="57" w:type="dxa"/>
              <w:right w:w="57" w:type="dxa"/>
            </w:tcMar>
            <w:vAlign w:val="center"/>
          </w:tcPr>
          <w:p w14:paraId="59DF497D">
            <w:pPr>
              <w:pStyle w:val="23"/>
            </w:pPr>
          </w:p>
        </w:tc>
      </w:tr>
      <w:tr w14:paraId="0826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65" w:type="pct"/>
            <w:tcBorders>
              <w:tl2br w:val="nil"/>
              <w:tr2bl w:val="nil"/>
            </w:tcBorders>
            <w:tcMar>
              <w:top w:w="57" w:type="dxa"/>
              <w:left w:w="57" w:type="dxa"/>
              <w:bottom w:w="57" w:type="dxa"/>
              <w:right w:w="57" w:type="dxa"/>
            </w:tcMar>
            <w:vAlign w:val="center"/>
          </w:tcPr>
          <w:p w14:paraId="075B69FC">
            <w:pPr>
              <w:pStyle w:val="23"/>
              <w:jc w:val="center"/>
            </w:pPr>
            <w:r>
              <w:rPr>
                <w:rFonts w:hint="eastAsia"/>
              </w:rPr>
              <w:t>64</w:t>
            </w:r>
          </w:p>
        </w:tc>
        <w:tc>
          <w:tcPr>
            <w:tcW w:w="281" w:type="pct"/>
            <w:vMerge w:val="continue"/>
            <w:tcBorders>
              <w:tl2br w:val="nil"/>
              <w:tr2bl w:val="nil"/>
            </w:tcBorders>
            <w:noWrap/>
            <w:tcMar>
              <w:top w:w="57" w:type="dxa"/>
              <w:left w:w="57" w:type="dxa"/>
              <w:bottom w:w="57" w:type="dxa"/>
              <w:right w:w="57" w:type="dxa"/>
            </w:tcMar>
            <w:vAlign w:val="center"/>
          </w:tcPr>
          <w:p w14:paraId="58FD98CD">
            <w:pPr>
              <w:pStyle w:val="23"/>
              <w:jc w:val="center"/>
            </w:pPr>
          </w:p>
        </w:tc>
        <w:tc>
          <w:tcPr>
            <w:tcW w:w="2971" w:type="pct"/>
            <w:tcBorders>
              <w:tl2br w:val="nil"/>
              <w:tr2bl w:val="nil"/>
            </w:tcBorders>
            <w:tcMar>
              <w:top w:w="57" w:type="dxa"/>
              <w:left w:w="57" w:type="dxa"/>
              <w:bottom w:w="57" w:type="dxa"/>
              <w:right w:w="57" w:type="dxa"/>
            </w:tcMar>
            <w:vAlign w:val="center"/>
          </w:tcPr>
          <w:p w14:paraId="13DBC96A">
            <w:pPr>
              <w:pStyle w:val="23"/>
            </w:pPr>
            <w:r>
              <w:rPr>
                <w:rFonts w:hint="eastAsia"/>
              </w:rPr>
              <w:t>对获得中国精品、中国驰名商标企业奖励60万元，对湖北精品企业奖励20 万元。</w:t>
            </w:r>
          </w:p>
        </w:tc>
        <w:tc>
          <w:tcPr>
            <w:tcW w:w="1481" w:type="pct"/>
            <w:vMerge w:val="continue"/>
            <w:tcBorders>
              <w:tl2br w:val="nil"/>
              <w:tr2bl w:val="nil"/>
            </w:tcBorders>
            <w:tcMar>
              <w:top w:w="57" w:type="dxa"/>
              <w:left w:w="57" w:type="dxa"/>
              <w:bottom w:w="57" w:type="dxa"/>
              <w:right w:w="57" w:type="dxa"/>
            </w:tcMar>
            <w:vAlign w:val="center"/>
          </w:tcPr>
          <w:p w14:paraId="71CAB249">
            <w:pPr>
              <w:pStyle w:val="23"/>
            </w:pPr>
          </w:p>
        </w:tc>
      </w:tr>
      <w:tr w14:paraId="484B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65" w:type="pct"/>
            <w:tcBorders>
              <w:tl2br w:val="nil"/>
              <w:tr2bl w:val="nil"/>
            </w:tcBorders>
            <w:tcMar>
              <w:top w:w="57" w:type="dxa"/>
              <w:left w:w="57" w:type="dxa"/>
              <w:bottom w:w="57" w:type="dxa"/>
              <w:right w:w="57" w:type="dxa"/>
            </w:tcMar>
            <w:vAlign w:val="center"/>
          </w:tcPr>
          <w:p w14:paraId="47E2ECCE">
            <w:pPr>
              <w:pStyle w:val="23"/>
              <w:jc w:val="center"/>
            </w:pPr>
            <w:r>
              <w:rPr>
                <w:rFonts w:hint="eastAsia"/>
              </w:rPr>
              <w:t>65</w:t>
            </w:r>
          </w:p>
        </w:tc>
        <w:tc>
          <w:tcPr>
            <w:tcW w:w="281" w:type="pct"/>
            <w:vMerge w:val="continue"/>
            <w:tcBorders>
              <w:tl2br w:val="nil"/>
              <w:tr2bl w:val="nil"/>
            </w:tcBorders>
            <w:noWrap/>
            <w:tcMar>
              <w:top w:w="57" w:type="dxa"/>
              <w:left w:w="57" w:type="dxa"/>
              <w:bottom w:w="57" w:type="dxa"/>
              <w:right w:w="57" w:type="dxa"/>
            </w:tcMar>
            <w:vAlign w:val="center"/>
          </w:tcPr>
          <w:p w14:paraId="67A37173">
            <w:pPr>
              <w:pStyle w:val="23"/>
              <w:jc w:val="center"/>
            </w:pPr>
          </w:p>
        </w:tc>
        <w:tc>
          <w:tcPr>
            <w:tcW w:w="2971" w:type="pct"/>
            <w:tcBorders>
              <w:tl2br w:val="nil"/>
              <w:tr2bl w:val="nil"/>
            </w:tcBorders>
            <w:tcMar>
              <w:top w:w="57" w:type="dxa"/>
              <w:left w:w="57" w:type="dxa"/>
              <w:bottom w:w="57" w:type="dxa"/>
              <w:right w:w="57" w:type="dxa"/>
            </w:tcMar>
            <w:vAlign w:val="center"/>
          </w:tcPr>
          <w:p w14:paraId="04444816">
            <w:pPr>
              <w:pStyle w:val="23"/>
            </w:pPr>
            <w:r>
              <w:rPr>
                <w:rFonts w:hint="eastAsia"/>
              </w:rPr>
              <w:t>对获得地理标志产品（证明商标）奖励 10 万元。</w:t>
            </w:r>
          </w:p>
        </w:tc>
        <w:tc>
          <w:tcPr>
            <w:tcW w:w="1481" w:type="pct"/>
            <w:vMerge w:val="continue"/>
            <w:tcBorders>
              <w:tl2br w:val="nil"/>
              <w:tr2bl w:val="nil"/>
            </w:tcBorders>
            <w:tcMar>
              <w:top w:w="57" w:type="dxa"/>
              <w:left w:w="57" w:type="dxa"/>
              <w:bottom w:w="57" w:type="dxa"/>
              <w:right w:w="57" w:type="dxa"/>
            </w:tcMar>
            <w:vAlign w:val="center"/>
          </w:tcPr>
          <w:p w14:paraId="4A8E1868">
            <w:pPr>
              <w:pStyle w:val="23"/>
            </w:pPr>
          </w:p>
        </w:tc>
      </w:tr>
      <w:tr w14:paraId="71D9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65" w:type="pct"/>
            <w:tcBorders>
              <w:tl2br w:val="nil"/>
              <w:tr2bl w:val="nil"/>
            </w:tcBorders>
            <w:tcMar>
              <w:top w:w="57" w:type="dxa"/>
              <w:left w:w="57" w:type="dxa"/>
              <w:bottom w:w="57" w:type="dxa"/>
              <w:right w:w="57" w:type="dxa"/>
            </w:tcMar>
            <w:vAlign w:val="center"/>
          </w:tcPr>
          <w:p w14:paraId="07D3FE13">
            <w:pPr>
              <w:pStyle w:val="23"/>
              <w:jc w:val="center"/>
            </w:pPr>
            <w:r>
              <w:rPr>
                <w:rFonts w:hint="eastAsia"/>
              </w:rPr>
              <w:t>66</w:t>
            </w:r>
          </w:p>
        </w:tc>
        <w:tc>
          <w:tcPr>
            <w:tcW w:w="281" w:type="pct"/>
            <w:vMerge w:val="continue"/>
            <w:tcBorders>
              <w:tl2br w:val="nil"/>
              <w:tr2bl w:val="nil"/>
            </w:tcBorders>
            <w:noWrap/>
            <w:tcMar>
              <w:top w:w="57" w:type="dxa"/>
              <w:left w:w="57" w:type="dxa"/>
              <w:bottom w:w="57" w:type="dxa"/>
              <w:right w:w="57" w:type="dxa"/>
            </w:tcMar>
            <w:vAlign w:val="center"/>
          </w:tcPr>
          <w:p w14:paraId="6AC6C830">
            <w:pPr>
              <w:pStyle w:val="23"/>
              <w:jc w:val="center"/>
            </w:pPr>
          </w:p>
        </w:tc>
        <w:tc>
          <w:tcPr>
            <w:tcW w:w="2971" w:type="pct"/>
            <w:tcBorders>
              <w:tl2br w:val="nil"/>
              <w:tr2bl w:val="nil"/>
            </w:tcBorders>
            <w:tcMar>
              <w:top w:w="57" w:type="dxa"/>
              <w:left w:w="57" w:type="dxa"/>
              <w:bottom w:w="57" w:type="dxa"/>
              <w:right w:w="57" w:type="dxa"/>
            </w:tcMar>
            <w:vAlign w:val="center"/>
          </w:tcPr>
          <w:p w14:paraId="66FAB67F">
            <w:pPr>
              <w:pStyle w:val="23"/>
            </w:pPr>
            <w:r>
              <w:rPr>
                <w:rFonts w:hint="eastAsia"/>
              </w:rPr>
              <w:t>对获得国家知识产权示范、优势企业、省级知识产权优势企业认定的，分别给予15万元、10万元、5万元奖励。</w:t>
            </w:r>
          </w:p>
        </w:tc>
        <w:tc>
          <w:tcPr>
            <w:tcW w:w="1481" w:type="pct"/>
            <w:vMerge w:val="continue"/>
            <w:tcBorders>
              <w:tl2br w:val="nil"/>
              <w:tr2bl w:val="nil"/>
            </w:tcBorders>
            <w:tcMar>
              <w:top w:w="57" w:type="dxa"/>
              <w:left w:w="57" w:type="dxa"/>
              <w:bottom w:w="57" w:type="dxa"/>
              <w:right w:w="57" w:type="dxa"/>
            </w:tcMar>
            <w:vAlign w:val="center"/>
          </w:tcPr>
          <w:p w14:paraId="3B38170E">
            <w:pPr>
              <w:pStyle w:val="23"/>
            </w:pPr>
          </w:p>
        </w:tc>
      </w:tr>
      <w:tr w14:paraId="416B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5" w:type="pct"/>
            <w:tcBorders>
              <w:tl2br w:val="nil"/>
              <w:tr2bl w:val="nil"/>
            </w:tcBorders>
            <w:tcMar>
              <w:top w:w="57" w:type="dxa"/>
              <w:left w:w="57" w:type="dxa"/>
              <w:bottom w:w="57" w:type="dxa"/>
              <w:right w:w="57" w:type="dxa"/>
            </w:tcMar>
            <w:vAlign w:val="center"/>
          </w:tcPr>
          <w:p w14:paraId="3705807D">
            <w:pPr>
              <w:pStyle w:val="23"/>
              <w:jc w:val="center"/>
            </w:pPr>
            <w:r>
              <w:rPr>
                <w:rFonts w:hint="eastAsia"/>
              </w:rPr>
              <w:t>67</w:t>
            </w:r>
          </w:p>
        </w:tc>
        <w:tc>
          <w:tcPr>
            <w:tcW w:w="281" w:type="pct"/>
            <w:vMerge w:val="continue"/>
            <w:tcBorders>
              <w:tl2br w:val="nil"/>
              <w:tr2bl w:val="nil"/>
            </w:tcBorders>
            <w:noWrap/>
            <w:tcMar>
              <w:top w:w="57" w:type="dxa"/>
              <w:left w:w="57" w:type="dxa"/>
              <w:bottom w:w="57" w:type="dxa"/>
              <w:right w:w="57" w:type="dxa"/>
            </w:tcMar>
            <w:vAlign w:val="center"/>
          </w:tcPr>
          <w:p w14:paraId="691F0A02">
            <w:pPr>
              <w:pStyle w:val="23"/>
              <w:jc w:val="center"/>
            </w:pPr>
          </w:p>
        </w:tc>
        <w:tc>
          <w:tcPr>
            <w:tcW w:w="2971" w:type="pct"/>
            <w:tcBorders>
              <w:tl2br w:val="nil"/>
              <w:tr2bl w:val="nil"/>
            </w:tcBorders>
            <w:tcMar>
              <w:top w:w="57" w:type="dxa"/>
              <w:left w:w="57" w:type="dxa"/>
              <w:bottom w:w="57" w:type="dxa"/>
              <w:right w:w="57" w:type="dxa"/>
            </w:tcMar>
            <w:vAlign w:val="center"/>
          </w:tcPr>
          <w:p w14:paraId="66CFDD52">
            <w:pPr>
              <w:pStyle w:val="23"/>
            </w:pPr>
            <w:r>
              <w:rPr>
                <w:rFonts w:hint="eastAsia"/>
              </w:rPr>
              <w:t>对获得国家级精神文明建设“五个一工程”奖电影、电视剧、电视片、戏剧、广播剧、歌曲、文艺类图书分别给予50万元、50万元、10万元、50万元、10万元、10万元、10万元的奖励；对对获得省级精神文明建设“五个一工程”奖电影、电视剧、电视片、戏剧、广播剧、歌曲、文艺类图书分别给予25万元、25万元、5万元、5万元 、2万元、2万元、2万元的奖励。</w:t>
            </w:r>
          </w:p>
        </w:tc>
        <w:tc>
          <w:tcPr>
            <w:tcW w:w="1481" w:type="pct"/>
            <w:vMerge w:val="continue"/>
            <w:tcBorders>
              <w:tl2br w:val="nil"/>
              <w:tr2bl w:val="nil"/>
            </w:tcBorders>
            <w:tcMar>
              <w:top w:w="57" w:type="dxa"/>
              <w:left w:w="57" w:type="dxa"/>
              <w:bottom w:w="57" w:type="dxa"/>
              <w:right w:w="57" w:type="dxa"/>
            </w:tcMar>
            <w:vAlign w:val="center"/>
          </w:tcPr>
          <w:p w14:paraId="4F6A7086">
            <w:pPr>
              <w:pStyle w:val="23"/>
            </w:pPr>
          </w:p>
        </w:tc>
      </w:tr>
      <w:tr w14:paraId="2156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5" w:type="pct"/>
            <w:tcBorders>
              <w:tl2br w:val="nil"/>
              <w:tr2bl w:val="nil"/>
            </w:tcBorders>
            <w:tcMar>
              <w:top w:w="57" w:type="dxa"/>
              <w:left w:w="57" w:type="dxa"/>
              <w:bottom w:w="57" w:type="dxa"/>
              <w:right w:w="57" w:type="dxa"/>
            </w:tcMar>
            <w:vAlign w:val="center"/>
          </w:tcPr>
          <w:p w14:paraId="5A033699">
            <w:pPr>
              <w:pStyle w:val="23"/>
              <w:jc w:val="center"/>
            </w:pPr>
            <w:r>
              <w:rPr>
                <w:rFonts w:hint="eastAsia"/>
              </w:rPr>
              <w:t>68</w:t>
            </w:r>
          </w:p>
        </w:tc>
        <w:tc>
          <w:tcPr>
            <w:tcW w:w="281" w:type="pct"/>
            <w:vMerge w:val="continue"/>
            <w:tcBorders>
              <w:tl2br w:val="nil"/>
              <w:tr2bl w:val="nil"/>
            </w:tcBorders>
            <w:noWrap/>
            <w:tcMar>
              <w:top w:w="57" w:type="dxa"/>
              <w:left w:w="57" w:type="dxa"/>
              <w:bottom w:w="57" w:type="dxa"/>
              <w:right w:w="57" w:type="dxa"/>
            </w:tcMar>
            <w:vAlign w:val="center"/>
          </w:tcPr>
          <w:p w14:paraId="48526D4A">
            <w:pPr>
              <w:pStyle w:val="23"/>
              <w:jc w:val="center"/>
            </w:pPr>
          </w:p>
        </w:tc>
        <w:tc>
          <w:tcPr>
            <w:tcW w:w="2971" w:type="pct"/>
            <w:tcBorders>
              <w:tl2br w:val="nil"/>
              <w:tr2bl w:val="nil"/>
            </w:tcBorders>
            <w:tcMar>
              <w:top w:w="57" w:type="dxa"/>
              <w:left w:w="57" w:type="dxa"/>
              <w:bottom w:w="57" w:type="dxa"/>
              <w:right w:w="57" w:type="dxa"/>
            </w:tcMar>
            <w:vAlign w:val="center"/>
          </w:tcPr>
          <w:p w14:paraId="1D378454">
            <w:pPr>
              <w:pStyle w:val="23"/>
            </w:pPr>
            <w:r>
              <w:rPr>
                <w:rFonts w:hint="eastAsia"/>
              </w:rPr>
              <w:t>鼓励制定旅游产业国家标准、全国行业标准、省级地方标准，对主要起草单位，每发布1个国家标准安排项目资金20万元、发布1个行业标准或地方标准安排项目资金10万元。对旅游公共服务基础设施项目安排资金200万。对公共社会旅游餐馆标准化环保厨房改造项目安排奖励补助资金15万。对提供旅游社会公共服务改造项目安排奖励补助资金15万。旅游标准化试点企业政府公共服务精细化培训项目安排资金40万。</w:t>
            </w:r>
          </w:p>
        </w:tc>
        <w:tc>
          <w:tcPr>
            <w:tcW w:w="1481" w:type="pct"/>
            <w:tcBorders>
              <w:tl2br w:val="nil"/>
              <w:tr2bl w:val="nil"/>
            </w:tcBorders>
            <w:tcMar>
              <w:top w:w="57" w:type="dxa"/>
              <w:left w:w="57" w:type="dxa"/>
              <w:bottom w:w="57" w:type="dxa"/>
              <w:right w:w="57" w:type="dxa"/>
            </w:tcMar>
            <w:vAlign w:val="center"/>
          </w:tcPr>
          <w:p w14:paraId="75DC5930">
            <w:pPr>
              <w:pStyle w:val="23"/>
            </w:pPr>
            <w:r>
              <w:rPr>
                <w:rFonts w:hint="eastAsia"/>
              </w:rPr>
              <w:t>2023年9月7日，《市人民政府办公室关于印发&lt;鄂州市巩固全国旅游标准化示范城市成果奖励考核办法&gt;的通知》（鄂州政办发〔2016〕32号，2023年9月7日修订）</w:t>
            </w:r>
          </w:p>
        </w:tc>
      </w:tr>
      <w:tr w14:paraId="4AB6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5" w:type="pct"/>
            <w:tcBorders>
              <w:tl2br w:val="nil"/>
              <w:tr2bl w:val="nil"/>
            </w:tcBorders>
            <w:tcMar>
              <w:top w:w="57" w:type="dxa"/>
              <w:left w:w="57" w:type="dxa"/>
              <w:bottom w:w="57" w:type="dxa"/>
              <w:right w:w="57" w:type="dxa"/>
            </w:tcMar>
            <w:vAlign w:val="center"/>
          </w:tcPr>
          <w:p w14:paraId="0DDFE5B1">
            <w:pPr>
              <w:pStyle w:val="23"/>
              <w:jc w:val="center"/>
            </w:pPr>
            <w:r>
              <w:rPr>
                <w:rFonts w:hint="eastAsia"/>
              </w:rPr>
              <w:t>69</w:t>
            </w:r>
          </w:p>
        </w:tc>
        <w:tc>
          <w:tcPr>
            <w:tcW w:w="281" w:type="pct"/>
            <w:vMerge w:val="continue"/>
            <w:tcBorders>
              <w:tl2br w:val="nil"/>
              <w:tr2bl w:val="nil"/>
            </w:tcBorders>
            <w:noWrap/>
            <w:tcMar>
              <w:top w:w="57" w:type="dxa"/>
              <w:left w:w="57" w:type="dxa"/>
              <w:bottom w:w="57" w:type="dxa"/>
              <w:right w:w="57" w:type="dxa"/>
            </w:tcMar>
            <w:vAlign w:val="center"/>
          </w:tcPr>
          <w:p w14:paraId="617B7B09">
            <w:pPr>
              <w:pStyle w:val="23"/>
              <w:jc w:val="center"/>
            </w:pPr>
          </w:p>
        </w:tc>
        <w:tc>
          <w:tcPr>
            <w:tcW w:w="2971" w:type="pct"/>
            <w:tcBorders>
              <w:tl2br w:val="nil"/>
              <w:tr2bl w:val="nil"/>
            </w:tcBorders>
            <w:tcMar>
              <w:top w:w="57" w:type="dxa"/>
              <w:left w:w="57" w:type="dxa"/>
              <w:bottom w:w="57" w:type="dxa"/>
              <w:right w:w="57" w:type="dxa"/>
            </w:tcMar>
            <w:vAlign w:val="center"/>
          </w:tcPr>
          <w:p w14:paraId="592BE9E6">
            <w:pPr>
              <w:pStyle w:val="23"/>
            </w:pPr>
            <w:r>
              <w:rPr>
                <w:rFonts w:hint="eastAsia"/>
              </w:rPr>
              <w:t>对符合支持范围企业，技术改造升级项目按照生产性设备投资的10%给予补助，单个项目最高补助额度不超过150万元。首次进规的工业企业3年内实施的技术改造项目，补助标准提高5个百分点，单个企业年度补助增加的金额不超过50万元。</w:t>
            </w:r>
          </w:p>
        </w:tc>
        <w:tc>
          <w:tcPr>
            <w:tcW w:w="1481" w:type="pct"/>
            <w:vMerge w:val="restart"/>
            <w:tcBorders>
              <w:tl2br w:val="nil"/>
              <w:tr2bl w:val="nil"/>
            </w:tcBorders>
            <w:tcMar>
              <w:top w:w="57" w:type="dxa"/>
              <w:left w:w="57" w:type="dxa"/>
              <w:bottom w:w="57" w:type="dxa"/>
              <w:right w:w="57" w:type="dxa"/>
            </w:tcMar>
            <w:vAlign w:val="center"/>
          </w:tcPr>
          <w:p w14:paraId="04B91066">
            <w:pPr>
              <w:pStyle w:val="23"/>
            </w:pPr>
            <w:r>
              <w:rPr>
                <w:rFonts w:hint="eastAsia"/>
              </w:rPr>
              <w:t>2023年10月31日，《关于印发&lt;鄂州市制造业高质量发展专项资金管理办法&gt;的通知》（鄂州经信发〔2023〕6号）</w:t>
            </w:r>
          </w:p>
        </w:tc>
      </w:tr>
      <w:tr w14:paraId="3DAE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5" w:type="pct"/>
            <w:tcBorders>
              <w:tl2br w:val="nil"/>
              <w:tr2bl w:val="nil"/>
            </w:tcBorders>
            <w:tcMar>
              <w:top w:w="57" w:type="dxa"/>
              <w:left w:w="57" w:type="dxa"/>
              <w:bottom w:w="57" w:type="dxa"/>
              <w:right w:w="57" w:type="dxa"/>
            </w:tcMar>
            <w:vAlign w:val="center"/>
          </w:tcPr>
          <w:p w14:paraId="60C31B3C">
            <w:pPr>
              <w:pStyle w:val="23"/>
              <w:jc w:val="center"/>
            </w:pPr>
            <w:r>
              <w:rPr>
                <w:rFonts w:hint="eastAsia"/>
              </w:rPr>
              <w:t>70</w:t>
            </w:r>
          </w:p>
        </w:tc>
        <w:tc>
          <w:tcPr>
            <w:tcW w:w="281" w:type="pct"/>
            <w:vMerge w:val="continue"/>
            <w:tcBorders>
              <w:tl2br w:val="nil"/>
              <w:tr2bl w:val="nil"/>
            </w:tcBorders>
            <w:noWrap/>
            <w:tcMar>
              <w:top w:w="57" w:type="dxa"/>
              <w:left w:w="57" w:type="dxa"/>
              <w:bottom w:w="57" w:type="dxa"/>
              <w:right w:w="57" w:type="dxa"/>
            </w:tcMar>
            <w:vAlign w:val="center"/>
          </w:tcPr>
          <w:p w14:paraId="37F8A9EF">
            <w:pPr>
              <w:pStyle w:val="23"/>
              <w:jc w:val="center"/>
            </w:pPr>
          </w:p>
        </w:tc>
        <w:tc>
          <w:tcPr>
            <w:tcW w:w="2971" w:type="pct"/>
            <w:tcBorders>
              <w:tl2br w:val="nil"/>
              <w:tr2bl w:val="nil"/>
            </w:tcBorders>
            <w:tcMar>
              <w:top w:w="57" w:type="dxa"/>
              <w:left w:w="57" w:type="dxa"/>
              <w:bottom w:w="57" w:type="dxa"/>
              <w:right w:w="57" w:type="dxa"/>
            </w:tcMar>
            <w:vAlign w:val="center"/>
          </w:tcPr>
          <w:p w14:paraId="599C0732">
            <w:pPr>
              <w:pStyle w:val="23"/>
            </w:pPr>
            <w:r>
              <w:rPr>
                <w:rFonts w:hint="eastAsia"/>
              </w:rPr>
              <w:t>对符合支持范围企业，数字化改造项目按照软性投入的12%给予补助，单个项目最高补助额度不超过50万。</w:t>
            </w:r>
          </w:p>
        </w:tc>
        <w:tc>
          <w:tcPr>
            <w:tcW w:w="1481" w:type="pct"/>
            <w:vMerge w:val="continue"/>
            <w:tcBorders>
              <w:tl2br w:val="nil"/>
              <w:tr2bl w:val="nil"/>
            </w:tcBorders>
            <w:tcMar>
              <w:top w:w="57" w:type="dxa"/>
              <w:left w:w="57" w:type="dxa"/>
              <w:bottom w:w="57" w:type="dxa"/>
              <w:right w:w="57" w:type="dxa"/>
            </w:tcMar>
            <w:vAlign w:val="center"/>
          </w:tcPr>
          <w:p w14:paraId="51CCED0B">
            <w:pPr>
              <w:pStyle w:val="23"/>
            </w:pPr>
          </w:p>
        </w:tc>
      </w:tr>
      <w:tr w14:paraId="2634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5" w:type="pct"/>
            <w:tcBorders>
              <w:tl2br w:val="nil"/>
              <w:tr2bl w:val="nil"/>
            </w:tcBorders>
            <w:tcMar>
              <w:top w:w="57" w:type="dxa"/>
              <w:left w:w="57" w:type="dxa"/>
              <w:bottom w:w="57" w:type="dxa"/>
              <w:right w:w="57" w:type="dxa"/>
            </w:tcMar>
            <w:vAlign w:val="center"/>
          </w:tcPr>
          <w:p w14:paraId="6EE4F301">
            <w:pPr>
              <w:pStyle w:val="23"/>
              <w:jc w:val="center"/>
            </w:pPr>
            <w:r>
              <w:rPr>
                <w:rFonts w:hint="eastAsia"/>
              </w:rPr>
              <w:t>71</w:t>
            </w:r>
          </w:p>
        </w:tc>
        <w:tc>
          <w:tcPr>
            <w:tcW w:w="281" w:type="pct"/>
            <w:vMerge w:val="continue"/>
            <w:tcBorders>
              <w:tl2br w:val="nil"/>
              <w:tr2bl w:val="nil"/>
            </w:tcBorders>
            <w:noWrap/>
            <w:tcMar>
              <w:top w:w="57" w:type="dxa"/>
              <w:left w:w="57" w:type="dxa"/>
              <w:bottom w:w="57" w:type="dxa"/>
              <w:right w:w="57" w:type="dxa"/>
            </w:tcMar>
            <w:vAlign w:val="center"/>
          </w:tcPr>
          <w:p w14:paraId="604B6DCA">
            <w:pPr>
              <w:pStyle w:val="23"/>
              <w:jc w:val="center"/>
            </w:pPr>
          </w:p>
        </w:tc>
        <w:tc>
          <w:tcPr>
            <w:tcW w:w="2971" w:type="pct"/>
            <w:tcBorders>
              <w:tl2br w:val="nil"/>
              <w:tr2bl w:val="nil"/>
            </w:tcBorders>
            <w:tcMar>
              <w:top w:w="57" w:type="dxa"/>
              <w:left w:w="57" w:type="dxa"/>
              <w:bottom w:w="57" w:type="dxa"/>
              <w:right w:w="57" w:type="dxa"/>
            </w:tcMar>
            <w:vAlign w:val="center"/>
          </w:tcPr>
          <w:p w14:paraId="48BFC51C">
            <w:pPr>
              <w:pStyle w:val="23"/>
            </w:pPr>
            <w:r>
              <w:rPr>
                <w:rFonts w:hint="eastAsia"/>
              </w:rPr>
              <w:t>对符合支持范围企业，符合鄂州市优势产业的企业技术改造项目补助标准提高至11%；省级专精特新企业和制造业单项冠军（产品）企业技术改造项目补助标准提高至12%；国家级专精特新企业和制造业单项冠军（产品）企业技术改造项目补助标准提高至 13%。</w:t>
            </w:r>
          </w:p>
        </w:tc>
        <w:tc>
          <w:tcPr>
            <w:tcW w:w="1481" w:type="pct"/>
            <w:vMerge w:val="continue"/>
            <w:tcBorders>
              <w:tl2br w:val="nil"/>
              <w:tr2bl w:val="nil"/>
            </w:tcBorders>
            <w:tcMar>
              <w:top w:w="57" w:type="dxa"/>
              <w:left w:w="57" w:type="dxa"/>
              <w:bottom w:w="57" w:type="dxa"/>
              <w:right w:w="57" w:type="dxa"/>
            </w:tcMar>
            <w:vAlign w:val="center"/>
          </w:tcPr>
          <w:p w14:paraId="7FF99E22">
            <w:pPr>
              <w:pStyle w:val="23"/>
            </w:pPr>
          </w:p>
        </w:tc>
      </w:tr>
      <w:tr w14:paraId="2E2C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5" w:type="pct"/>
            <w:tcBorders>
              <w:tl2br w:val="nil"/>
              <w:tr2bl w:val="nil"/>
            </w:tcBorders>
            <w:tcMar>
              <w:top w:w="57" w:type="dxa"/>
              <w:left w:w="57" w:type="dxa"/>
              <w:bottom w:w="57" w:type="dxa"/>
              <w:right w:w="57" w:type="dxa"/>
            </w:tcMar>
            <w:vAlign w:val="center"/>
          </w:tcPr>
          <w:p w14:paraId="44193FAA">
            <w:pPr>
              <w:pStyle w:val="23"/>
              <w:jc w:val="center"/>
            </w:pPr>
            <w:r>
              <w:rPr>
                <w:rFonts w:hint="eastAsia"/>
              </w:rPr>
              <w:t>72</w:t>
            </w:r>
          </w:p>
        </w:tc>
        <w:tc>
          <w:tcPr>
            <w:tcW w:w="281" w:type="pct"/>
            <w:vMerge w:val="continue"/>
            <w:tcBorders>
              <w:tl2br w:val="nil"/>
              <w:tr2bl w:val="nil"/>
            </w:tcBorders>
            <w:noWrap/>
            <w:tcMar>
              <w:top w:w="57" w:type="dxa"/>
              <w:left w:w="57" w:type="dxa"/>
              <w:bottom w:w="57" w:type="dxa"/>
              <w:right w:w="57" w:type="dxa"/>
            </w:tcMar>
            <w:vAlign w:val="center"/>
          </w:tcPr>
          <w:p w14:paraId="17AC3793">
            <w:pPr>
              <w:pStyle w:val="23"/>
              <w:jc w:val="center"/>
            </w:pPr>
          </w:p>
        </w:tc>
        <w:tc>
          <w:tcPr>
            <w:tcW w:w="2971" w:type="pct"/>
            <w:tcBorders>
              <w:tl2br w:val="nil"/>
              <w:tr2bl w:val="nil"/>
            </w:tcBorders>
            <w:tcMar>
              <w:top w:w="57" w:type="dxa"/>
              <w:left w:w="57" w:type="dxa"/>
              <w:bottom w:w="57" w:type="dxa"/>
              <w:right w:w="57" w:type="dxa"/>
            </w:tcMar>
            <w:vAlign w:val="center"/>
          </w:tcPr>
          <w:p w14:paraId="44DCBB93">
            <w:pPr>
              <w:pStyle w:val="23"/>
            </w:pPr>
            <w:r>
              <w:rPr>
                <w:rFonts w:hint="eastAsia"/>
              </w:rPr>
              <w:t>符合支持范围企业内，对获评省级上云标杆、信息消费、工业互联网平台等数字经济相关试点示范企业（项目、标杆、优秀案例）给予30万元一次性奖励，获评省级两化融合试点示范企业给予10万元一次性奖励。对通过国家两化融合管理体系贯标认定的A级、AA级企业，分别给予10万元、20万元一次性奖励。</w:t>
            </w:r>
          </w:p>
        </w:tc>
        <w:tc>
          <w:tcPr>
            <w:tcW w:w="1481" w:type="pct"/>
            <w:vMerge w:val="continue"/>
            <w:tcBorders>
              <w:tl2br w:val="nil"/>
              <w:tr2bl w:val="nil"/>
            </w:tcBorders>
            <w:tcMar>
              <w:top w:w="57" w:type="dxa"/>
              <w:left w:w="57" w:type="dxa"/>
              <w:bottom w:w="57" w:type="dxa"/>
              <w:right w:w="57" w:type="dxa"/>
            </w:tcMar>
            <w:vAlign w:val="center"/>
          </w:tcPr>
          <w:p w14:paraId="6314C094">
            <w:pPr>
              <w:pStyle w:val="23"/>
            </w:pPr>
          </w:p>
        </w:tc>
      </w:tr>
      <w:tr w14:paraId="5E52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5" w:type="pct"/>
            <w:tcBorders>
              <w:tl2br w:val="nil"/>
              <w:tr2bl w:val="nil"/>
            </w:tcBorders>
            <w:tcMar>
              <w:top w:w="57" w:type="dxa"/>
              <w:left w:w="57" w:type="dxa"/>
              <w:bottom w:w="57" w:type="dxa"/>
              <w:right w:w="57" w:type="dxa"/>
            </w:tcMar>
            <w:vAlign w:val="center"/>
          </w:tcPr>
          <w:p w14:paraId="0BAF6069">
            <w:pPr>
              <w:pStyle w:val="23"/>
              <w:jc w:val="center"/>
            </w:pPr>
            <w:r>
              <w:rPr>
                <w:rFonts w:hint="eastAsia"/>
              </w:rPr>
              <w:t>73</w:t>
            </w:r>
          </w:p>
        </w:tc>
        <w:tc>
          <w:tcPr>
            <w:tcW w:w="281" w:type="pct"/>
            <w:vMerge w:val="continue"/>
            <w:tcBorders>
              <w:tl2br w:val="nil"/>
              <w:tr2bl w:val="nil"/>
            </w:tcBorders>
            <w:noWrap/>
            <w:tcMar>
              <w:top w:w="57" w:type="dxa"/>
              <w:left w:w="57" w:type="dxa"/>
              <w:bottom w:w="57" w:type="dxa"/>
              <w:right w:w="57" w:type="dxa"/>
            </w:tcMar>
            <w:vAlign w:val="center"/>
          </w:tcPr>
          <w:p w14:paraId="6212426E">
            <w:pPr>
              <w:pStyle w:val="23"/>
              <w:jc w:val="center"/>
            </w:pPr>
          </w:p>
        </w:tc>
        <w:tc>
          <w:tcPr>
            <w:tcW w:w="2971" w:type="pct"/>
            <w:tcBorders>
              <w:tl2br w:val="nil"/>
              <w:tr2bl w:val="nil"/>
            </w:tcBorders>
            <w:tcMar>
              <w:top w:w="57" w:type="dxa"/>
              <w:left w:w="57" w:type="dxa"/>
              <w:bottom w:w="57" w:type="dxa"/>
              <w:right w:w="57" w:type="dxa"/>
            </w:tcMar>
            <w:vAlign w:val="center"/>
          </w:tcPr>
          <w:p w14:paraId="718B6F31">
            <w:pPr>
              <w:pStyle w:val="23"/>
            </w:pPr>
            <w:r>
              <w:rPr>
                <w:rFonts w:hint="eastAsia"/>
              </w:rPr>
              <w:t>符合支持范围企业内，对获批的省级中小企业公共服务示范平台、省级制造业创新中心给予30万元一次性奖励。</w:t>
            </w:r>
          </w:p>
        </w:tc>
        <w:tc>
          <w:tcPr>
            <w:tcW w:w="1481" w:type="pct"/>
            <w:vMerge w:val="continue"/>
            <w:tcBorders>
              <w:tl2br w:val="nil"/>
              <w:tr2bl w:val="nil"/>
            </w:tcBorders>
            <w:tcMar>
              <w:top w:w="57" w:type="dxa"/>
              <w:left w:w="57" w:type="dxa"/>
              <w:bottom w:w="57" w:type="dxa"/>
              <w:right w:w="57" w:type="dxa"/>
            </w:tcMar>
            <w:vAlign w:val="center"/>
          </w:tcPr>
          <w:p w14:paraId="0D35A6F6">
            <w:pPr>
              <w:pStyle w:val="23"/>
            </w:pPr>
          </w:p>
        </w:tc>
      </w:tr>
      <w:tr w14:paraId="068C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5" w:type="pct"/>
            <w:tcBorders>
              <w:tl2br w:val="nil"/>
              <w:tr2bl w:val="nil"/>
            </w:tcBorders>
            <w:tcMar>
              <w:top w:w="57" w:type="dxa"/>
              <w:left w:w="57" w:type="dxa"/>
              <w:bottom w:w="57" w:type="dxa"/>
              <w:right w:w="57" w:type="dxa"/>
            </w:tcMar>
            <w:vAlign w:val="center"/>
          </w:tcPr>
          <w:p w14:paraId="2C1F176F">
            <w:pPr>
              <w:pStyle w:val="23"/>
              <w:jc w:val="center"/>
            </w:pPr>
            <w:r>
              <w:rPr>
                <w:rFonts w:hint="eastAsia"/>
              </w:rPr>
              <w:t>74</w:t>
            </w:r>
          </w:p>
        </w:tc>
        <w:tc>
          <w:tcPr>
            <w:tcW w:w="281" w:type="pct"/>
            <w:vMerge w:val="continue"/>
            <w:tcBorders>
              <w:tl2br w:val="nil"/>
              <w:tr2bl w:val="nil"/>
            </w:tcBorders>
            <w:noWrap/>
            <w:tcMar>
              <w:top w:w="57" w:type="dxa"/>
              <w:left w:w="57" w:type="dxa"/>
              <w:bottom w:w="57" w:type="dxa"/>
              <w:right w:w="57" w:type="dxa"/>
            </w:tcMar>
            <w:vAlign w:val="center"/>
          </w:tcPr>
          <w:p w14:paraId="3FD2D990">
            <w:pPr>
              <w:pStyle w:val="23"/>
              <w:jc w:val="center"/>
            </w:pPr>
          </w:p>
        </w:tc>
        <w:tc>
          <w:tcPr>
            <w:tcW w:w="2971" w:type="pct"/>
            <w:tcBorders>
              <w:tl2br w:val="nil"/>
              <w:tr2bl w:val="nil"/>
            </w:tcBorders>
            <w:tcMar>
              <w:top w:w="57" w:type="dxa"/>
              <w:left w:w="57" w:type="dxa"/>
              <w:bottom w:w="57" w:type="dxa"/>
              <w:right w:w="57" w:type="dxa"/>
            </w:tcMar>
            <w:vAlign w:val="center"/>
          </w:tcPr>
          <w:p w14:paraId="16F133CB">
            <w:pPr>
              <w:pStyle w:val="23"/>
            </w:pPr>
            <w:r>
              <w:rPr>
                <w:rFonts w:hint="eastAsia"/>
              </w:rPr>
              <w:t>符合支持范围企业内，对获评省级智能制造、服务型制造示范分别奖励30万元。对获评省级技术创新示范企业、省级企业工业设计中心奖励20万元，省级工业设计企业奖励30万元。</w:t>
            </w:r>
          </w:p>
        </w:tc>
        <w:tc>
          <w:tcPr>
            <w:tcW w:w="1481" w:type="pct"/>
            <w:vMerge w:val="continue"/>
            <w:tcBorders>
              <w:tl2br w:val="nil"/>
              <w:tr2bl w:val="nil"/>
            </w:tcBorders>
            <w:tcMar>
              <w:top w:w="57" w:type="dxa"/>
              <w:left w:w="57" w:type="dxa"/>
              <w:bottom w:w="57" w:type="dxa"/>
              <w:right w:w="57" w:type="dxa"/>
            </w:tcMar>
            <w:vAlign w:val="center"/>
          </w:tcPr>
          <w:p w14:paraId="3E5CBB5A">
            <w:pPr>
              <w:pStyle w:val="23"/>
            </w:pPr>
          </w:p>
        </w:tc>
      </w:tr>
      <w:tr w14:paraId="6666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5" w:type="pct"/>
            <w:tcBorders>
              <w:tl2br w:val="nil"/>
              <w:tr2bl w:val="nil"/>
            </w:tcBorders>
            <w:tcMar>
              <w:top w:w="57" w:type="dxa"/>
              <w:left w:w="57" w:type="dxa"/>
              <w:bottom w:w="57" w:type="dxa"/>
              <w:right w:w="57" w:type="dxa"/>
            </w:tcMar>
            <w:vAlign w:val="center"/>
          </w:tcPr>
          <w:p w14:paraId="4E62C9CB">
            <w:pPr>
              <w:pStyle w:val="23"/>
              <w:jc w:val="center"/>
            </w:pPr>
            <w:r>
              <w:rPr>
                <w:rFonts w:hint="eastAsia"/>
              </w:rPr>
              <w:t>75</w:t>
            </w:r>
          </w:p>
        </w:tc>
        <w:tc>
          <w:tcPr>
            <w:tcW w:w="281" w:type="pct"/>
            <w:vMerge w:val="continue"/>
            <w:tcBorders>
              <w:tl2br w:val="nil"/>
              <w:tr2bl w:val="nil"/>
            </w:tcBorders>
            <w:noWrap/>
            <w:tcMar>
              <w:top w:w="57" w:type="dxa"/>
              <w:left w:w="57" w:type="dxa"/>
              <w:bottom w:w="57" w:type="dxa"/>
              <w:right w:w="57" w:type="dxa"/>
            </w:tcMar>
            <w:vAlign w:val="center"/>
          </w:tcPr>
          <w:p w14:paraId="3EE45BE5">
            <w:pPr>
              <w:pStyle w:val="23"/>
              <w:jc w:val="center"/>
            </w:pPr>
          </w:p>
        </w:tc>
        <w:tc>
          <w:tcPr>
            <w:tcW w:w="2971" w:type="pct"/>
            <w:tcBorders>
              <w:tl2br w:val="nil"/>
              <w:tr2bl w:val="nil"/>
            </w:tcBorders>
            <w:tcMar>
              <w:top w:w="57" w:type="dxa"/>
              <w:left w:w="57" w:type="dxa"/>
              <w:bottom w:w="57" w:type="dxa"/>
              <w:right w:w="57" w:type="dxa"/>
            </w:tcMar>
            <w:vAlign w:val="center"/>
          </w:tcPr>
          <w:p w14:paraId="59A6304A">
            <w:pPr>
              <w:pStyle w:val="23"/>
            </w:pPr>
            <w:r>
              <w:rPr>
                <w:rFonts w:hint="eastAsia"/>
              </w:rPr>
              <w:t>符合支持范围企业内，对获评省级绿色工厂、绿色供应链企业分别奖励30万元，省级绿色设计产品每个奖励5万元，单个企业单年度绿色设计产品累计不超过15万元。</w:t>
            </w:r>
          </w:p>
        </w:tc>
        <w:tc>
          <w:tcPr>
            <w:tcW w:w="1481" w:type="pct"/>
            <w:vMerge w:val="continue"/>
            <w:tcBorders>
              <w:tl2br w:val="nil"/>
              <w:tr2bl w:val="nil"/>
            </w:tcBorders>
            <w:tcMar>
              <w:top w:w="57" w:type="dxa"/>
              <w:left w:w="57" w:type="dxa"/>
              <w:bottom w:w="57" w:type="dxa"/>
              <w:right w:w="57" w:type="dxa"/>
            </w:tcMar>
            <w:vAlign w:val="center"/>
          </w:tcPr>
          <w:p w14:paraId="57976764">
            <w:pPr>
              <w:pStyle w:val="23"/>
            </w:pPr>
          </w:p>
        </w:tc>
      </w:tr>
      <w:tr w14:paraId="1CCC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5" w:type="pct"/>
            <w:tcBorders>
              <w:tl2br w:val="nil"/>
              <w:tr2bl w:val="nil"/>
            </w:tcBorders>
            <w:tcMar>
              <w:top w:w="57" w:type="dxa"/>
              <w:left w:w="57" w:type="dxa"/>
              <w:bottom w:w="57" w:type="dxa"/>
              <w:right w:w="57" w:type="dxa"/>
            </w:tcMar>
            <w:vAlign w:val="center"/>
          </w:tcPr>
          <w:p w14:paraId="7B99E365">
            <w:pPr>
              <w:pStyle w:val="23"/>
              <w:jc w:val="center"/>
            </w:pPr>
            <w:r>
              <w:rPr>
                <w:rFonts w:hint="eastAsia"/>
              </w:rPr>
              <w:t>76</w:t>
            </w:r>
          </w:p>
        </w:tc>
        <w:tc>
          <w:tcPr>
            <w:tcW w:w="281" w:type="pct"/>
            <w:vMerge w:val="continue"/>
            <w:tcBorders>
              <w:tl2br w:val="nil"/>
              <w:tr2bl w:val="nil"/>
            </w:tcBorders>
            <w:noWrap/>
            <w:tcMar>
              <w:top w:w="57" w:type="dxa"/>
              <w:left w:w="57" w:type="dxa"/>
              <w:bottom w:w="57" w:type="dxa"/>
              <w:right w:w="57" w:type="dxa"/>
            </w:tcMar>
            <w:vAlign w:val="center"/>
          </w:tcPr>
          <w:p w14:paraId="59B58942">
            <w:pPr>
              <w:pStyle w:val="23"/>
              <w:jc w:val="center"/>
            </w:pPr>
          </w:p>
        </w:tc>
        <w:tc>
          <w:tcPr>
            <w:tcW w:w="2971" w:type="pct"/>
            <w:tcBorders>
              <w:tl2br w:val="nil"/>
              <w:tr2bl w:val="nil"/>
            </w:tcBorders>
            <w:tcMar>
              <w:top w:w="57" w:type="dxa"/>
              <w:left w:w="57" w:type="dxa"/>
              <w:bottom w:w="57" w:type="dxa"/>
              <w:right w:w="57" w:type="dxa"/>
            </w:tcMar>
            <w:vAlign w:val="center"/>
          </w:tcPr>
          <w:p w14:paraId="245F94A7">
            <w:pPr>
              <w:pStyle w:val="23"/>
            </w:pPr>
            <w:r>
              <w:rPr>
                <w:rFonts w:hint="eastAsia"/>
              </w:rPr>
              <w:t>符合支持范围企业内，首次获评省级制造业单项冠军示范企业和单项冠军产品企业分别奖励30万元和20万元，其中，由省级制造业单项冠军产品企业（含原省级隐形冠军科技小巨人企业）提档升级为省级制造业单项冠军示范企业一次性奖励10万元。</w:t>
            </w:r>
          </w:p>
        </w:tc>
        <w:tc>
          <w:tcPr>
            <w:tcW w:w="1481" w:type="pct"/>
            <w:vMerge w:val="continue"/>
            <w:tcBorders>
              <w:tl2br w:val="nil"/>
              <w:tr2bl w:val="nil"/>
            </w:tcBorders>
            <w:tcMar>
              <w:top w:w="57" w:type="dxa"/>
              <w:left w:w="57" w:type="dxa"/>
              <w:bottom w:w="57" w:type="dxa"/>
              <w:right w:w="57" w:type="dxa"/>
            </w:tcMar>
            <w:vAlign w:val="center"/>
          </w:tcPr>
          <w:p w14:paraId="01D67ED2">
            <w:pPr>
              <w:pStyle w:val="23"/>
            </w:pPr>
          </w:p>
        </w:tc>
      </w:tr>
      <w:tr w14:paraId="6DBB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5" w:type="pct"/>
            <w:tcBorders>
              <w:tl2br w:val="nil"/>
              <w:tr2bl w:val="nil"/>
            </w:tcBorders>
            <w:tcMar>
              <w:top w:w="57" w:type="dxa"/>
              <w:left w:w="57" w:type="dxa"/>
              <w:bottom w:w="57" w:type="dxa"/>
              <w:right w:w="57" w:type="dxa"/>
            </w:tcMar>
            <w:vAlign w:val="center"/>
          </w:tcPr>
          <w:p w14:paraId="5973A1F1">
            <w:pPr>
              <w:pStyle w:val="23"/>
              <w:jc w:val="center"/>
            </w:pPr>
            <w:r>
              <w:rPr>
                <w:rFonts w:hint="eastAsia"/>
              </w:rPr>
              <w:t>77</w:t>
            </w:r>
          </w:p>
        </w:tc>
        <w:tc>
          <w:tcPr>
            <w:tcW w:w="281" w:type="pct"/>
            <w:vMerge w:val="continue"/>
            <w:tcBorders>
              <w:tl2br w:val="nil"/>
              <w:tr2bl w:val="nil"/>
            </w:tcBorders>
            <w:noWrap/>
            <w:tcMar>
              <w:top w:w="57" w:type="dxa"/>
              <w:left w:w="57" w:type="dxa"/>
              <w:bottom w:w="57" w:type="dxa"/>
              <w:right w:w="57" w:type="dxa"/>
            </w:tcMar>
            <w:vAlign w:val="center"/>
          </w:tcPr>
          <w:p w14:paraId="44188327">
            <w:pPr>
              <w:pStyle w:val="23"/>
              <w:jc w:val="center"/>
            </w:pPr>
          </w:p>
        </w:tc>
        <w:tc>
          <w:tcPr>
            <w:tcW w:w="2971" w:type="pct"/>
            <w:tcBorders>
              <w:tl2br w:val="nil"/>
              <w:tr2bl w:val="nil"/>
            </w:tcBorders>
            <w:tcMar>
              <w:top w:w="57" w:type="dxa"/>
              <w:left w:w="57" w:type="dxa"/>
              <w:bottom w:w="57" w:type="dxa"/>
              <w:right w:w="57" w:type="dxa"/>
            </w:tcMar>
            <w:vAlign w:val="center"/>
          </w:tcPr>
          <w:p w14:paraId="7B6C3885">
            <w:pPr>
              <w:pStyle w:val="23"/>
            </w:pPr>
            <w:r>
              <w:rPr>
                <w:rFonts w:hint="eastAsia"/>
              </w:rPr>
              <w:t>符合支持范围企业内，对主营业务收入首次突破5亿元、10亿元的工业企业分别一次性奖励10万元、20万元。</w:t>
            </w:r>
          </w:p>
        </w:tc>
        <w:tc>
          <w:tcPr>
            <w:tcW w:w="1481" w:type="pct"/>
            <w:vMerge w:val="continue"/>
            <w:tcBorders>
              <w:tl2br w:val="nil"/>
              <w:tr2bl w:val="nil"/>
            </w:tcBorders>
            <w:tcMar>
              <w:top w:w="57" w:type="dxa"/>
              <w:left w:w="57" w:type="dxa"/>
              <w:bottom w:w="57" w:type="dxa"/>
              <w:right w:w="57" w:type="dxa"/>
            </w:tcMar>
            <w:vAlign w:val="center"/>
          </w:tcPr>
          <w:p w14:paraId="01C13FDB">
            <w:pPr>
              <w:pStyle w:val="23"/>
            </w:pPr>
          </w:p>
        </w:tc>
      </w:tr>
      <w:tr w14:paraId="3E7E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5" w:type="pct"/>
            <w:tcBorders>
              <w:tl2br w:val="nil"/>
              <w:tr2bl w:val="nil"/>
            </w:tcBorders>
            <w:tcMar>
              <w:top w:w="57" w:type="dxa"/>
              <w:left w:w="57" w:type="dxa"/>
              <w:bottom w:w="57" w:type="dxa"/>
              <w:right w:w="57" w:type="dxa"/>
            </w:tcMar>
            <w:vAlign w:val="center"/>
          </w:tcPr>
          <w:p w14:paraId="476B0BC6">
            <w:pPr>
              <w:pStyle w:val="23"/>
              <w:jc w:val="center"/>
            </w:pPr>
            <w:r>
              <w:rPr>
                <w:rFonts w:hint="eastAsia"/>
              </w:rPr>
              <w:t>78</w:t>
            </w:r>
          </w:p>
        </w:tc>
        <w:tc>
          <w:tcPr>
            <w:tcW w:w="281" w:type="pct"/>
            <w:vMerge w:val="continue"/>
            <w:tcBorders>
              <w:tl2br w:val="nil"/>
              <w:tr2bl w:val="nil"/>
            </w:tcBorders>
            <w:noWrap/>
            <w:tcMar>
              <w:top w:w="57" w:type="dxa"/>
              <w:left w:w="57" w:type="dxa"/>
              <w:bottom w:w="57" w:type="dxa"/>
              <w:right w:w="57" w:type="dxa"/>
            </w:tcMar>
            <w:vAlign w:val="center"/>
          </w:tcPr>
          <w:p w14:paraId="70AF8D02">
            <w:pPr>
              <w:pStyle w:val="23"/>
              <w:jc w:val="center"/>
            </w:pPr>
          </w:p>
        </w:tc>
        <w:tc>
          <w:tcPr>
            <w:tcW w:w="2971" w:type="pct"/>
            <w:tcBorders>
              <w:tl2br w:val="nil"/>
              <w:tr2bl w:val="nil"/>
            </w:tcBorders>
            <w:tcMar>
              <w:top w:w="57" w:type="dxa"/>
              <w:left w:w="57" w:type="dxa"/>
              <w:bottom w:w="57" w:type="dxa"/>
              <w:right w:w="57" w:type="dxa"/>
            </w:tcMar>
            <w:vAlign w:val="center"/>
          </w:tcPr>
          <w:p w14:paraId="19C17D04">
            <w:pPr>
              <w:pStyle w:val="23"/>
            </w:pPr>
            <w:r>
              <w:rPr>
                <w:rFonts w:hint="eastAsia"/>
              </w:rPr>
              <w:t>符合支持范围企业内，对新增年度纳税总额超过3000万元及以上的工业企业且其三年内税收连续正增长，一次性奖励100万元。</w:t>
            </w:r>
          </w:p>
        </w:tc>
        <w:tc>
          <w:tcPr>
            <w:tcW w:w="1481" w:type="pct"/>
            <w:vMerge w:val="continue"/>
            <w:tcBorders>
              <w:tl2br w:val="nil"/>
              <w:tr2bl w:val="nil"/>
            </w:tcBorders>
            <w:tcMar>
              <w:top w:w="57" w:type="dxa"/>
              <w:left w:w="57" w:type="dxa"/>
              <w:bottom w:w="57" w:type="dxa"/>
              <w:right w:w="57" w:type="dxa"/>
            </w:tcMar>
            <w:vAlign w:val="center"/>
          </w:tcPr>
          <w:p w14:paraId="2EE5BC86">
            <w:pPr>
              <w:pStyle w:val="23"/>
            </w:pPr>
          </w:p>
        </w:tc>
      </w:tr>
      <w:tr w14:paraId="5FDE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65" w:type="pct"/>
            <w:tcBorders>
              <w:tl2br w:val="nil"/>
              <w:tr2bl w:val="nil"/>
            </w:tcBorders>
            <w:tcMar>
              <w:top w:w="57" w:type="dxa"/>
              <w:left w:w="57" w:type="dxa"/>
              <w:bottom w:w="57" w:type="dxa"/>
              <w:right w:w="57" w:type="dxa"/>
            </w:tcMar>
            <w:vAlign w:val="center"/>
          </w:tcPr>
          <w:p w14:paraId="0A47811F">
            <w:pPr>
              <w:pStyle w:val="23"/>
              <w:jc w:val="center"/>
            </w:pPr>
            <w:r>
              <w:rPr>
                <w:rFonts w:hint="eastAsia"/>
              </w:rPr>
              <w:t>79</w:t>
            </w:r>
          </w:p>
        </w:tc>
        <w:tc>
          <w:tcPr>
            <w:tcW w:w="281" w:type="pct"/>
            <w:vMerge w:val="continue"/>
            <w:tcBorders>
              <w:tl2br w:val="nil"/>
              <w:tr2bl w:val="nil"/>
            </w:tcBorders>
            <w:noWrap/>
            <w:tcMar>
              <w:top w:w="57" w:type="dxa"/>
              <w:left w:w="57" w:type="dxa"/>
              <w:bottom w:w="57" w:type="dxa"/>
              <w:right w:w="57" w:type="dxa"/>
            </w:tcMar>
            <w:vAlign w:val="center"/>
          </w:tcPr>
          <w:p w14:paraId="74314B17">
            <w:pPr>
              <w:pStyle w:val="23"/>
              <w:jc w:val="center"/>
            </w:pPr>
          </w:p>
        </w:tc>
        <w:tc>
          <w:tcPr>
            <w:tcW w:w="2971" w:type="pct"/>
            <w:tcBorders>
              <w:tl2br w:val="nil"/>
              <w:tr2bl w:val="nil"/>
            </w:tcBorders>
            <w:tcMar>
              <w:top w:w="57" w:type="dxa"/>
              <w:left w:w="57" w:type="dxa"/>
              <w:bottom w:w="57" w:type="dxa"/>
              <w:right w:w="57" w:type="dxa"/>
            </w:tcMar>
            <w:vAlign w:val="center"/>
          </w:tcPr>
          <w:p w14:paraId="221AA07A">
            <w:pPr>
              <w:pStyle w:val="23"/>
            </w:pPr>
            <w:r>
              <w:rPr>
                <w:rFonts w:hint="eastAsia"/>
              </w:rPr>
              <w:t>对首次认定或重新认定的高新技术企业给予20万元奖励，各区（葛店开发区、临空经济区）要按照不低于10万元的标准给予配套奖励。</w:t>
            </w:r>
          </w:p>
        </w:tc>
        <w:tc>
          <w:tcPr>
            <w:tcW w:w="1481" w:type="pct"/>
            <w:tcBorders>
              <w:tl2br w:val="nil"/>
              <w:tr2bl w:val="nil"/>
            </w:tcBorders>
            <w:tcMar>
              <w:top w:w="57" w:type="dxa"/>
              <w:left w:w="57" w:type="dxa"/>
              <w:bottom w:w="57" w:type="dxa"/>
              <w:right w:w="57" w:type="dxa"/>
            </w:tcMar>
            <w:vAlign w:val="center"/>
          </w:tcPr>
          <w:p w14:paraId="728B2A2E">
            <w:pPr>
              <w:pStyle w:val="23"/>
            </w:pPr>
            <w:r>
              <w:rPr>
                <w:rFonts w:hint="eastAsia"/>
              </w:rPr>
              <w:t>2023年12月8日，《市人民政府办公室关于印发&lt;关于进一步激励企业科技创新的若干措施&gt;的通知》（鄂州政办发〔2023〕32号）</w:t>
            </w:r>
          </w:p>
        </w:tc>
      </w:tr>
      <w:tr w14:paraId="3FCC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65" w:type="pct"/>
            <w:tcBorders>
              <w:tl2br w:val="nil"/>
              <w:tr2bl w:val="nil"/>
            </w:tcBorders>
            <w:tcMar>
              <w:top w:w="57" w:type="dxa"/>
              <w:left w:w="57" w:type="dxa"/>
              <w:bottom w:w="57" w:type="dxa"/>
              <w:right w:w="57" w:type="dxa"/>
            </w:tcMar>
            <w:vAlign w:val="center"/>
          </w:tcPr>
          <w:p w14:paraId="66966733">
            <w:pPr>
              <w:pStyle w:val="23"/>
              <w:jc w:val="center"/>
            </w:pPr>
            <w:r>
              <w:rPr>
                <w:rFonts w:hint="eastAsia"/>
              </w:rPr>
              <w:t>80</w:t>
            </w:r>
          </w:p>
        </w:tc>
        <w:tc>
          <w:tcPr>
            <w:tcW w:w="281" w:type="pct"/>
            <w:vMerge w:val="continue"/>
            <w:tcBorders>
              <w:tl2br w:val="nil"/>
              <w:tr2bl w:val="nil"/>
            </w:tcBorders>
            <w:noWrap/>
            <w:tcMar>
              <w:top w:w="57" w:type="dxa"/>
              <w:left w:w="57" w:type="dxa"/>
              <w:bottom w:w="57" w:type="dxa"/>
              <w:right w:w="57" w:type="dxa"/>
            </w:tcMar>
            <w:vAlign w:val="center"/>
          </w:tcPr>
          <w:p w14:paraId="33020D42">
            <w:pPr>
              <w:pStyle w:val="23"/>
              <w:jc w:val="center"/>
            </w:pPr>
          </w:p>
        </w:tc>
        <w:tc>
          <w:tcPr>
            <w:tcW w:w="2971" w:type="pct"/>
            <w:tcBorders>
              <w:tl2br w:val="nil"/>
              <w:tr2bl w:val="nil"/>
            </w:tcBorders>
            <w:tcMar>
              <w:top w:w="57" w:type="dxa"/>
              <w:left w:w="57" w:type="dxa"/>
              <w:bottom w:w="57" w:type="dxa"/>
              <w:right w:w="57" w:type="dxa"/>
            </w:tcMar>
            <w:vAlign w:val="center"/>
          </w:tcPr>
          <w:p w14:paraId="70C36EDF">
            <w:pPr>
              <w:pStyle w:val="23"/>
            </w:pPr>
            <w:r>
              <w:rPr>
                <w:rFonts w:hint="eastAsia"/>
              </w:rPr>
              <w:t>对免费接收长江干线鄂州水域的船舶生活垃圾实行定额补助，补助资金分别按照接收船舶膄次、接收垃圾数量的80%、20%计入可分配资金。</w:t>
            </w:r>
          </w:p>
        </w:tc>
        <w:tc>
          <w:tcPr>
            <w:tcW w:w="1481" w:type="pct"/>
            <w:tcBorders>
              <w:tl2br w:val="nil"/>
              <w:tr2bl w:val="nil"/>
            </w:tcBorders>
            <w:tcMar>
              <w:top w:w="0" w:type="dxa"/>
              <w:left w:w="57" w:type="dxa"/>
              <w:bottom w:w="0" w:type="dxa"/>
              <w:right w:w="57" w:type="dxa"/>
            </w:tcMar>
            <w:vAlign w:val="center"/>
          </w:tcPr>
          <w:p w14:paraId="14814F4F">
            <w:pPr>
              <w:pStyle w:val="23"/>
            </w:pPr>
            <w:r>
              <w:rPr>
                <w:rFonts w:hint="eastAsia"/>
              </w:rPr>
              <w:t>2023年12月8日，《鄂州市交通运输局关于印发&lt;鄂州市长江干线港口和船舶生活垃圾接收转运公益化运作补助实施方案&gt;的通知》（鄂州交运函〔2023〕172号）</w:t>
            </w:r>
          </w:p>
        </w:tc>
      </w:tr>
      <w:tr w14:paraId="49B4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65" w:type="pct"/>
            <w:tcBorders>
              <w:tl2br w:val="nil"/>
              <w:tr2bl w:val="nil"/>
            </w:tcBorders>
            <w:tcMar>
              <w:top w:w="57" w:type="dxa"/>
              <w:left w:w="57" w:type="dxa"/>
              <w:bottom w:w="57" w:type="dxa"/>
              <w:right w:w="57" w:type="dxa"/>
            </w:tcMar>
            <w:vAlign w:val="center"/>
          </w:tcPr>
          <w:p w14:paraId="1B7BA031">
            <w:pPr>
              <w:pStyle w:val="23"/>
              <w:jc w:val="center"/>
            </w:pPr>
            <w:r>
              <w:rPr>
                <w:rFonts w:hint="eastAsia"/>
              </w:rPr>
              <w:t>81</w:t>
            </w:r>
          </w:p>
        </w:tc>
        <w:tc>
          <w:tcPr>
            <w:tcW w:w="281" w:type="pct"/>
            <w:vMerge w:val="continue"/>
            <w:tcBorders>
              <w:tl2br w:val="nil"/>
              <w:tr2bl w:val="nil"/>
            </w:tcBorders>
            <w:noWrap/>
            <w:tcMar>
              <w:top w:w="57" w:type="dxa"/>
              <w:left w:w="57" w:type="dxa"/>
              <w:bottom w:w="57" w:type="dxa"/>
              <w:right w:w="57" w:type="dxa"/>
            </w:tcMar>
            <w:vAlign w:val="center"/>
          </w:tcPr>
          <w:p w14:paraId="70BD3936">
            <w:pPr>
              <w:pStyle w:val="23"/>
              <w:jc w:val="center"/>
            </w:pPr>
          </w:p>
        </w:tc>
        <w:tc>
          <w:tcPr>
            <w:tcW w:w="2971" w:type="pct"/>
            <w:tcBorders>
              <w:tl2br w:val="nil"/>
              <w:tr2bl w:val="nil"/>
            </w:tcBorders>
            <w:tcMar>
              <w:top w:w="57" w:type="dxa"/>
              <w:left w:w="57" w:type="dxa"/>
              <w:bottom w:w="57" w:type="dxa"/>
              <w:right w:w="57" w:type="dxa"/>
            </w:tcMar>
            <w:vAlign w:val="center"/>
          </w:tcPr>
          <w:p w14:paraId="2648BC69">
            <w:pPr>
              <w:pStyle w:val="23"/>
            </w:pPr>
            <w:r>
              <w:rPr>
                <w:rFonts w:hint="eastAsia"/>
              </w:rPr>
              <w:t>对申请企业经鄂州花湖机场进出港的年国际集货量达到500吨（含）以上的启动奖励，单个企业年度奖励上限为2000万元。奖励标准：</w:t>
            </w:r>
          </w:p>
          <w:p w14:paraId="4F70E248">
            <w:pPr>
              <w:pStyle w:val="23"/>
            </w:pPr>
            <w:r>
              <w:rPr>
                <w:rFonts w:hint="eastAsia"/>
              </w:rPr>
              <w:t>1.国际集货量100吨（含0地吨）以下部分，按照0.3元/公斤给予奖励；</w:t>
            </w:r>
          </w:p>
          <w:p w14:paraId="38A5D1B4">
            <w:pPr>
              <w:pStyle w:val="23"/>
            </w:pPr>
            <w:r>
              <w:rPr>
                <w:rFonts w:hint="eastAsia"/>
              </w:rPr>
              <w:t>2.国际集货量100吨以上、3000吨（含300吨）以下部分，按照0.6元/公斤的标准给予奖励；</w:t>
            </w:r>
          </w:p>
          <w:p w14:paraId="4C6AAF4C">
            <w:pPr>
              <w:pStyle w:val="23"/>
            </w:pPr>
            <w:r>
              <w:rPr>
                <w:rFonts w:hint="eastAsia"/>
              </w:rPr>
              <w:t>3.国际集货量3000吨以上、6000吨（含6000吨）以下部分，按照1元/公斤的标准给予奖励；</w:t>
            </w:r>
          </w:p>
          <w:p w14:paraId="33D3C656">
            <w:pPr>
              <w:pStyle w:val="23"/>
            </w:pPr>
            <w:r>
              <w:rPr>
                <w:rFonts w:hint="eastAsia"/>
              </w:rPr>
              <w:t>4.国际集货量6000吨以上、10000吨（含l0000吨）以下部分，按照1元/公斤的标准给予奖励；</w:t>
            </w:r>
          </w:p>
          <w:p w14:paraId="5E6C8EE8">
            <w:pPr>
              <w:pStyle w:val="23"/>
            </w:pPr>
            <w:r>
              <w:rPr>
                <w:rFonts w:hint="eastAsia"/>
              </w:rPr>
              <w:t>5.国际集货量10000吨以上部分，按照2元/公斤的标准给予奖励。</w:t>
            </w:r>
          </w:p>
        </w:tc>
        <w:tc>
          <w:tcPr>
            <w:tcW w:w="1481" w:type="pct"/>
            <w:tcBorders>
              <w:tl2br w:val="nil"/>
              <w:tr2bl w:val="nil"/>
            </w:tcBorders>
            <w:tcMar>
              <w:top w:w="57" w:type="dxa"/>
              <w:left w:w="57" w:type="dxa"/>
              <w:bottom w:w="57" w:type="dxa"/>
              <w:right w:w="57" w:type="dxa"/>
            </w:tcMar>
            <w:vAlign w:val="center"/>
          </w:tcPr>
          <w:p w14:paraId="05B346EE">
            <w:pPr>
              <w:pStyle w:val="23"/>
            </w:pPr>
            <w:r>
              <w:rPr>
                <w:rFonts w:hint="eastAsia"/>
              </w:rPr>
              <w:t>2023年12月11日，《市人民政府办公室关于印发花湖机场国际航空货运集货奖励办法的通知》（鄂州政办发〔2023〕33号）</w:t>
            </w:r>
          </w:p>
        </w:tc>
      </w:tr>
      <w:tr w14:paraId="4A1F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65" w:type="pct"/>
            <w:tcBorders>
              <w:tl2br w:val="nil"/>
              <w:tr2bl w:val="nil"/>
            </w:tcBorders>
            <w:tcMar>
              <w:top w:w="57" w:type="dxa"/>
              <w:left w:w="57" w:type="dxa"/>
              <w:bottom w:w="57" w:type="dxa"/>
              <w:right w:w="57" w:type="dxa"/>
            </w:tcMar>
            <w:vAlign w:val="center"/>
          </w:tcPr>
          <w:p w14:paraId="3A2E2EC5">
            <w:pPr>
              <w:pStyle w:val="23"/>
              <w:jc w:val="center"/>
            </w:pPr>
            <w:r>
              <w:rPr>
                <w:rFonts w:hint="eastAsia"/>
              </w:rPr>
              <w:t>82</w:t>
            </w:r>
          </w:p>
        </w:tc>
        <w:tc>
          <w:tcPr>
            <w:tcW w:w="281" w:type="pct"/>
            <w:vMerge w:val="continue"/>
            <w:tcBorders>
              <w:tl2br w:val="nil"/>
              <w:tr2bl w:val="nil"/>
            </w:tcBorders>
            <w:noWrap/>
            <w:tcMar>
              <w:top w:w="57" w:type="dxa"/>
              <w:left w:w="57" w:type="dxa"/>
              <w:bottom w:w="57" w:type="dxa"/>
              <w:right w:w="57" w:type="dxa"/>
            </w:tcMar>
            <w:vAlign w:val="center"/>
          </w:tcPr>
          <w:p w14:paraId="18C51B1A">
            <w:pPr>
              <w:pStyle w:val="23"/>
              <w:jc w:val="center"/>
            </w:pPr>
          </w:p>
        </w:tc>
        <w:tc>
          <w:tcPr>
            <w:tcW w:w="2971" w:type="pct"/>
            <w:tcBorders>
              <w:tl2br w:val="nil"/>
              <w:tr2bl w:val="nil"/>
            </w:tcBorders>
            <w:tcMar>
              <w:top w:w="57" w:type="dxa"/>
              <w:left w:w="57" w:type="dxa"/>
              <w:bottom w:w="57" w:type="dxa"/>
              <w:right w:w="57" w:type="dxa"/>
            </w:tcMar>
            <w:vAlign w:val="center"/>
          </w:tcPr>
          <w:p w14:paraId="5CAD7E9F">
            <w:pPr>
              <w:pStyle w:val="23"/>
            </w:pPr>
            <w:r>
              <w:rPr>
                <w:rFonts w:hint="eastAsia"/>
              </w:rPr>
              <w:t>对2024年2月1日至2月29日不停产的规上工业企业给予财政奖励，根据企业产值规模分三档，年产值10亿元以上的企业奖励5万元、年产值在1-10亿元的企业奖励3万元、年产值1亿元以下的企业奖励1万元。</w:t>
            </w:r>
          </w:p>
        </w:tc>
        <w:tc>
          <w:tcPr>
            <w:tcW w:w="1481" w:type="pct"/>
            <w:vMerge w:val="restart"/>
            <w:tcBorders>
              <w:tl2br w:val="nil"/>
              <w:tr2bl w:val="nil"/>
            </w:tcBorders>
            <w:tcMar>
              <w:top w:w="57" w:type="dxa"/>
              <w:left w:w="57" w:type="dxa"/>
              <w:bottom w:w="57" w:type="dxa"/>
              <w:right w:w="57" w:type="dxa"/>
            </w:tcMar>
            <w:vAlign w:val="center"/>
          </w:tcPr>
          <w:p w14:paraId="06DF9339">
            <w:pPr>
              <w:pStyle w:val="23"/>
            </w:pPr>
            <w:r>
              <w:rPr>
                <w:rFonts w:hint="eastAsia"/>
              </w:rPr>
              <w:t>2024年2月6日，《市经济和信息化局 市财政局关于印发&lt;2024年全市推进工业经济“开门红”若干措施&gt;的通知》（鄂州经信发〔2024〕2号）</w:t>
            </w:r>
          </w:p>
        </w:tc>
      </w:tr>
      <w:tr w14:paraId="10CC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65" w:type="pct"/>
            <w:tcBorders>
              <w:tl2br w:val="nil"/>
              <w:tr2bl w:val="nil"/>
            </w:tcBorders>
            <w:tcMar>
              <w:top w:w="57" w:type="dxa"/>
              <w:left w:w="57" w:type="dxa"/>
              <w:bottom w:w="57" w:type="dxa"/>
              <w:right w:w="57" w:type="dxa"/>
            </w:tcMar>
            <w:vAlign w:val="center"/>
          </w:tcPr>
          <w:p w14:paraId="3D9790A6">
            <w:pPr>
              <w:pStyle w:val="23"/>
              <w:jc w:val="center"/>
            </w:pPr>
            <w:r>
              <w:rPr>
                <w:rFonts w:hint="eastAsia"/>
              </w:rPr>
              <w:t>83</w:t>
            </w:r>
          </w:p>
        </w:tc>
        <w:tc>
          <w:tcPr>
            <w:tcW w:w="281" w:type="pct"/>
            <w:vMerge w:val="continue"/>
            <w:tcBorders>
              <w:tl2br w:val="nil"/>
              <w:tr2bl w:val="nil"/>
            </w:tcBorders>
            <w:noWrap/>
            <w:tcMar>
              <w:top w:w="57" w:type="dxa"/>
              <w:left w:w="57" w:type="dxa"/>
              <w:bottom w:w="57" w:type="dxa"/>
              <w:right w:w="57" w:type="dxa"/>
            </w:tcMar>
            <w:vAlign w:val="center"/>
          </w:tcPr>
          <w:p w14:paraId="7A95032C">
            <w:pPr>
              <w:pStyle w:val="23"/>
              <w:jc w:val="center"/>
            </w:pPr>
          </w:p>
        </w:tc>
        <w:tc>
          <w:tcPr>
            <w:tcW w:w="2971" w:type="pct"/>
            <w:tcBorders>
              <w:tl2br w:val="nil"/>
              <w:tr2bl w:val="nil"/>
            </w:tcBorders>
            <w:tcMar>
              <w:top w:w="57" w:type="dxa"/>
              <w:left w:w="57" w:type="dxa"/>
              <w:bottom w:w="57" w:type="dxa"/>
              <w:right w:w="57" w:type="dxa"/>
            </w:tcMar>
            <w:vAlign w:val="center"/>
          </w:tcPr>
          <w:p w14:paraId="41A7AB24">
            <w:pPr>
              <w:pStyle w:val="23"/>
            </w:pPr>
            <w:r>
              <w:rPr>
                <w:rFonts w:hint="eastAsia"/>
              </w:rPr>
              <w:t>对2024年2月日均用电量（含企业购供电公司电量和自发自用电量）达到该企业2023年度日均用电量70%及以上的规上制造业企业，按2024年2月工业用电总量排名全省前300名，给予每家5万元一次性奖励。</w:t>
            </w:r>
          </w:p>
        </w:tc>
        <w:tc>
          <w:tcPr>
            <w:tcW w:w="1481" w:type="pct"/>
            <w:vMerge w:val="continue"/>
            <w:tcBorders>
              <w:tl2br w:val="nil"/>
              <w:tr2bl w:val="nil"/>
            </w:tcBorders>
            <w:tcMar>
              <w:top w:w="57" w:type="dxa"/>
              <w:left w:w="57" w:type="dxa"/>
              <w:bottom w:w="57" w:type="dxa"/>
              <w:right w:w="57" w:type="dxa"/>
            </w:tcMar>
            <w:vAlign w:val="center"/>
          </w:tcPr>
          <w:p w14:paraId="585D5D2B">
            <w:pPr>
              <w:pStyle w:val="23"/>
            </w:pPr>
          </w:p>
        </w:tc>
      </w:tr>
      <w:tr w14:paraId="6B92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65" w:type="pct"/>
            <w:tcBorders>
              <w:tl2br w:val="nil"/>
              <w:tr2bl w:val="nil"/>
            </w:tcBorders>
            <w:tcMar>
              <w:top w:w="57" w:type="dxa"/>
              <w:left w:w="57" w:type="dxa"/>
              <w:bottom w:w="57" w:type="dxa"/>
              <w:right w:w="57" w:type="dxa"/>
            </w:tcMar>
            <w:vAlign w:val="center"/>
          </w:tcPr>
          <w:p w14:paraId="000EA67C">
            <w:pPr>
              <w:pStyle w:val="23"/>
              <w:jc w:val="center"/>
            </w:pPr>
            <w:r>
              <w:rPr>
                <w:rFonts w:hint="eastAsia"/>
              </w:rPr>
              <w:t>84</w:t>
            </w:r>
          </w:p>
        </w:tc>
        <w:tc>
          <w:tcPr>
            <w:tcW w:w="281" w:type="pct"/>
            <w:vMerge w:val="continue"/>
            <w:tcBorders>
              <w:tl2br w:val="nil"/>
              <w:tr2bl w:val="nil"/>
            </w:tcBorders>
            <w:noWrap/>
            <w:tcMar>
              <w:top w:w="57" w:type="dxa"/>
              <w:left w:w="57" w:type="dxa"/>
              <w:bottom w:w="57" w:type="dxa"/>
              <w:right w:w="57" w:type="dxa"/>
            </w:tcMar>
            <w:vAlign w:val="center"/>
          </w:tcPr>
          <w:p w14:paraId="4D158729">
            <w:pPr>
              <w:pStyle w:val="23"/>
              <w:jc w:val="center"/>
            </w:pPr>
          </w:p>
        </w:tc>
        <w:tc>
          <w:tcPr>
            <w:tcW w:w="2971" w:type="pct"/>
            <w:tcBorders>
              <w:tl2br w:val="nil"/>
              <w:tr2bl w:val="nil"/>
            </w:tcBorders>
            <w:tcMar>
              <w:top w:w="57" w:type="dxa"/>
              <w:left w:w="57" w:type="dxa"/>
              <w:bottom w:w="57" w:type="dxa"/>
              <w:right w:w="57" w:type="dxa"/>
            </w:tcMar>
            <w:vAlign w:val="center"/>
          </w:tcPr>
          <w:p w14:paraId="4DEF1EDD">
            <w:pPr>
              <w:pStyle w:val="23"/>
            </w:pPr>
            <w:r>
              <w:rPr>
                <w:rFonts w:hint="eastAsia"/>
              </w:rPr>
              <w:t>对2024年一季度产值新增2亿元且同比增长10%及以上的工业增长点，给予每家20万元一次性奖励。</w:t>
            </w:r>
          </w:p>
        </w:tc>
        <w:tc>
          <w:tcPr>
            <w:tcW w:w="1481" w:type="pct"/>
            <w:vMerge w:val="continue"/>
            <w:tcBorders>
              <w:tl2br w:val="nil"/>
              <w:tr2bl w:val="nil"/>
            </w:tcBorders>
            <w:tcMar>
              <w:top w:w="57" w:type="dxa"/>
              <w:left w:w="57" w:type="dxa"/>
              <w:bottom w:w="57" w:type="dxa"/>
              <w:right w:w="57" w:type="dxa"/>
            </w:tcMar>
            <w:vAlign w:val="center"/>
          </w:tcPr>
          <w:p w14:paraId="697FEC22">
            <w:pPr>
              <w:pStyle w:val="23"/>
            </w:pPr>
          </w:p>
        </w:tc>
      </w:tr>
      <w:tr w14:paraId="1AD8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65" w:type="pct"/>
            <w:tcBorders>
              <w:tl2br w:val="nil"/>
              <w:tr2bl w:val="nil"/>
            </w:tcBorders>
            <w:tcMar>
              <w:top w:w="57" w:type="dxa"/>
              <w:left w:w="57" w:type="dxa"/>
              <w:bottom w:w="57" w:type="dxa"/>
              <w:right w:w="57" w:type="dxa"/>
            </w:tcMar>
            <w:vAlign w:val="center"/>
          </w:tcPr>
          <w:p w14:paraId="7986ED8D">
            <w:pPr>
              <w:pStyle w:val="23"/>
              <w:jc w:val="center"/>
            </w:pPr>
            <w:r>
              <w:rPr>
                <w:rFonts w:hint="eastAsia"/>
              </w:rPr>
              <w:t>85</w:t>
            </w:r>
          </w:p>
        </w:tc>
        <w:tc>
          <w:tcPr>
            <w:tcW w:w="281" w:type="pct"/>
            <w:vMerge w:val="continue"/>
            <w:tcBorders>
              <w:tl2br w:val="nil"/>
              <w:tr2bl w:val="nil"/>
            </w:tcBorders>
            <w:noWrap/>
            <w:tcMar>
              <w:top w:w="57" w:type="dxa"/>
              <w:left w:w="57" w:type="dxa"/>
              <w:bottom w:w="57" w:type="dxa"/>
              <w:right w:w="57" w:type="dxa"/>
            </w:tcMar>
            <w:vAlign w:val="center"/>
          </w:tcPr>
          <w:p w14:paraId="48542824">
            <w:pPr>
              <w:pStyle w:val="23"/>
              <w:jc w:val="center"/>
            </w:pPr>
          </w:p>
        </w:tc>
        <w:tc>
          <w:tcPr>
            <w:tcW w:w="2971" w:type="pct"/>
            <w:tcBorders>
              <w:tl2br w:val="nil"/>
              <w:tr2bl w:val="nil"/>
            </w:tcBorders>
            <w:tcMar>
              <w:top w:w="57" w:type="dxa"/>
              <w:left w:w="57" w:type="dxa"/>
              <w:bottom w:w="57" w:type="dxa"/>
              <w:right w:w="57" w:type="dxa"/>
            </w:tcMar>
            <w:vAlign w:val="center"/>
          </w:tcPr>
          <w:p w14:paraId="5F94D8E6">
            <w:pPr>
              <w:pStyle w:val="23"/>
            </w:pPr>
            <w:r>
              <w:rPr>
                <w:rFonts w:hint="eastAsia"/>
              </w:rPr>
              <w:t>对2024年一季度新进规上工业企业，在原有政策支持基础上，再给予每家1万元一次性奖励。</w:t>
            </w:r>
          </w:p>
        </w:tc>
        <w:tc>
          <w:tcPr>
            <w:tcW w:w="1481" w:type="pct"/>
            <w:vMerge w:val="continue"/>
            <w:tcBorders>
              <w:tl2br w:val="nil"/>
              <w:tr2bl w:val="nil"/>
            </w:tcBorders>
            <w:tcMar>
              <w:top w:w="57" w:type="dxa"/>
              <w:left w:w="57" w:type="dxa"/>
              <w:bottom w:w="57" w:type="dxa"/>
              <w:right w:w="57" w:type="dxa"/>
            </w:tcMar>
            <w:vAlign w:val="center"/>
          </w:tcPr>
          <w:p w14:paraId="6C51D801">
            <w:pPr>
              <w:pStyle w:val="23"/>
            </w:pPr>
          </w:p>
        </w:tc>
      </w:tr>
      <w:tr w14:paraId="1859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65" w:type="pct"/>
            <w:tcBorders>
              <w:tl2br w:val="nil"/>
              <w:tr2bl w:val="nil"/>
            </w:tcBorders>
            <w:tcMar>
              <w:top w:w="57" w:type="dxa"/>
              <w:left w:w="57" w:type="dxa"/>
              <w:bottom w:w="57" w:type="dxa"/>
              <w:right w:w="57" w:type="dxa"/>
            </w:tcMar>
            <w:vAlign w:val="center"/>
          </w:tcPr>
          <w:p w14:paraId="7EB8E6ED">
            <w:pPr>
              <w:pStyle w:val="23"/>
              <w:jc w:val="center"/>
            </w:pPr>
            <w:r>
              <w:rPr>
                <w:rFonts w:hint="eastAsia"/>
              </w:rPr>
              <w:t>86</w:t>
            </w:r>
          </w:p>
        </w:tc>
        <w:tc>
          <w:tcPr>
            <w:tcW w:w="281" w:type="pct"/>
            <w:vMerge w:val="continue"/>
            <w:tcBorders>
              <w:tl2br w:val="nil"/>
              <w:tr2bl w:val="nil"/>
            </w:tcBorders>
            <w:noWrap/>
            <w:tcMar>
              <w:top w:w="57" w:type="dxa"/>
              <w:left w:w="57" w:type="dxa"/>
              <w:bottom w:w="57" w:type="dxa"/>
              <w:right w:w="57" w:type="dxa"/>
            </w:tcMar>
            <w:vAlign w:val="center"/>
          </w:tcPr>
          <w:p w14:paraId="168009FC">
            <w:pPr>
              <w:pStyle w:val="23"/>
              <w:jc w:val="center"/>
            </w:pPr>
          </w:p>
        </w:tc>
        <w:tc>
          <w:tcPr>
            <w:tcW w:w="2971" w:type="pct"/>
            <w:tcBorders>
              <w:tl2br w:val="nil"/>
              <w:tr2bl w:val="nil"/>
            </w:tcBorders>
            <w:tcMar>
              <w:top w:w="57" w:type="dxa"/>
              <w:left w:w="57" w:type="dxa"/>
              <w:bottom w:w="57" w:type="dxa"/>
              <w:right w:w="57" w:type="dxa"/>
            </w:tcMar>
            <w:vAlign w:val="center"/>
          </w:tcPr>
          <w:p w14:paraId="490BD400">
            <w:pPr>
              <w:pStyle w:val="23"/>
            </w:pPr>
            <w:r>
              <w:rPr>
                <w:rFonts w:hint="eastAsia"/>
              </w:rPr>
              <w:t>2024年一季度，对工业企业、行业协会牵头举办产需（销）对接活动分三档给予奖励。参会企业100家以上的，奖励8万元/次；参会企业50-100家的，奖励5万元/次；参会企业30-50家的，奖励2万元/次。</w:t>
            </w:r>
          </w:p>
        </w:tc>
        <w:tc>
          <w:tcPr>
            <w:tcW w:w="1481" w:type="pct"/>
            <w:vMerge w:val="continue"/>
            <w:tcBorders>
              <w:tl2br w:val="nil"/>
              <w:tr2bl w:val="nil"/>
            </w:tcBorders>
            <w:tcMar>
              <w:top w:w="57" w:type="dxa"/>
              <w:left w:w="57" w:type="dxa"/>
              <w:bottom w:w="57" w:type="dxa"/>
              <w:right w:w="57" w:type="dxa"/>
            </w:tcMar>
            <w:vAlign w:val="center"/>
          </w:tcPr>
          <w:p w14:paraId="65D0DA77">
            <w:pPr>
              <w:pStyle w:val="23"/>
            </w:pPr>
          </w:p>
        </w:tc>
      </w:tr>
      <w:tr w14:paraId="4384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65" w:type="pct"/>
            <w:tcBorders>
              <w:tl2br w:val="nil"/>
              <w:tr2bl w:val="nil"/>
            </w:tcBorders>
            <w:tcMar>
              <w:top w:w="57" w:type="dxa"/>
              <w:left w:w="57" w:type="dxa"/>
              <w:bottom w:w="57" w:type="dxa"/>
              <w:right w:w="57" w:type="dxa"/>
            </w:tcMar>
            <w:vAlign w:val="center"/>
          </w:tcPr>
          <w:p w14:paraId="4EA2D89A">
            <w:pPr>
              <w:pStyle w:val="23"/>
              <w:jc w:val="center"/>
            </w:pPr>
            <w:r>
              <w:rPr>
                <w:rFonts w:hint="eastAsia"/>
              </w:rPr>
              <w:t>87</w:t>
            </w:r>
          </w:p>
        </w:tc>
        <w:tc>
          <w:tcPr>
            <w:tcW w:w="281" w:type="pct"/>
            <w:vMerge w:val="restart"/>
            <w:tcBorders>
              <w:tl2br w:val="nil"/>
              <w:tr2bl w:val="nil"/>
            </w:tcBorders>
            <w:noWrap/>
            <w:tcMar>
              <w:top w:w="57" w:type="dxa"/>
              <w:left w:w="57" w:type="dxa"/>
              <w:bottom w:w="57" w:type="dxa"/>
              <w:right w:w="57" w:type="dxa"/>
            </w:tcMar>
            <w:vAlign w:val="center"/>
          </w:tcPr>
          <w:p w14:paraId="585C6FAC">
            <w:pPr>
              <w:pStyle w:val="23"/>
              <w:jc w:val="center"/>
            </w:pPr>
            <w:r>
              <w:rPr>
                <w:rFonts w:hint="eastAsia"/>
              </w:rPr>
              <w:t>金融扶持类</w:t>
            </w:r>
          </w:p>
        </w:tc>
        <w:tc>
          <w:tcPr>
            <w:tcW w:w="2971" w:type="pct"/>
            <w:tcBorders>
              <w:tl2br w:val="nil"/>
              <w:tr2bl w:val="nil"/>
            </w:tcBorders>
            <w:tcMar>
              <w:top w:w="57" w:type="dxa"/>
              <w:left w:w="57" w:type="dxa"/>
              <w:bottom w:w="57" w:type="dxa"/>
              <w:right w:w="57" w:type="dxa"/>
            </w:tcMar>
            <w:vAlign w:val="center"/>
          </w:tcPr>
          <w:p w14:paraId="6D35109E">
            <w:pPr>
              <w:pStyle w:val="23"/>
            </w:pPr>
            <w:r>
              <w:rPr>
                <w:rFonts w:hint="eastAsia"/>
              </w:rPr>
              <w:t>对小微企业减半收取融资担保费、再担保费，将综合融资担保费率逐步降至1%以下，探索建立担保费补贴机制。</w:t>
            </w:r>
          </w:p>
        </w:tc>
        <w:tc>
          <w:tcPr>
            <w:tcW w:w="1481" w:type="pct"/>
            <w:tcBorders>
              <w:tl2br w:val="nil"/>
              <w:tr2bl w:val="nil"/>
            </w:tcBorders>
            <w:tcMar>
              <w:top w:w="57" w:type="dxa"/>
              <w:left w:w="57" w:type="dxa"/>
              <w:bottom w:w="57" w:type="dxa"/>
              <w:right w:w="57" w:type="dxa"/>
            </w:tcMar>
            <w:vAlign w:val="center"/>
          </w:tcPr>
          <w:p w14:paraId="27CB7642">
            <w:pPr>
              <w:pStyle w:val="23"/>
            </w:pPr>
            <w:r>
              <w:rPr>
                <w:rFonts w:hint="eastAsia"/>
              </w:rPr>
              <w:t>2021年3月12日，《中共鄂州市委  鄂州市人民政府印发&lt;关于以市场主体需求为导向打造一流营商环境的实施方案&gt;的通知》（鄂州发〔2021〕5号）</w:t>
            </w:r>
          </w:p>
        </w:tc>
      </w:tr>
      <w:tr w14:paraId="0836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65" w:type="pct"/>
            <w:tcBorders>
              <w:tl2br w:val="nil"/>
              <w:tr2bl w:val="nil"/>
            </w:tcBorders>
            <w:tcMar>
              <w:top w:w="57" w:type="dxa"/>
              <w:left w:w="57" w:type="dxa"/>
              <w:bottom w:w="57" w:type="dxa"/>
              <w:right w:w="57" w:type="dxa"/>
            </w:tcMar>
            <w:vAlign w:val="center"/>
          </w:tcPr>
          <w:p w14:paraId="5149335F">
            <w:pPr>
              <w:pStyle w:val="23"/>
              <w:jc w:val="center"/>
            </w:pPr>
            <w:r>
              <w:rPr>
                <w:rFonts w:hint="eastAsia"/>
              </w:rPr>
              <w:t>88</w:t>
            </w:r>
          </w:p>
        </w:tc>
        <w:tc>
          <w:tcPr>
            <w:tcW w:w="281" w:type="pct"/>
            <w:vMerge w:val="continue"/>
            <w:tcBorders>
              <w:tl2br w:val="nil"/>
              <w:tr2bl w:val="nil"/>
            </w:tcBorders>
            <w:noWrap/>
            <w:tcMar>
              <w:top w:w="57" w:type="dxa"/>
              <w:left w:w="57" w:type="dxa"/>
              <w:bottom w:w="57" w:type="dxa"/>
              <w:right w:w="57" w:type="dxa"/>
            </w:tcMar>
            <w:vAlign w:val="center"/>
          </w:tcPr>
          <w:p w14:paraId="0044B5A2">
            <w:pPr>
              <w:pStyle w:val="23"/>
              <w:jc w:val="center"/>
            </w:pPr>
          </w:p>
        </w:tc>
        <w:tc>
          <w:tcPr>
            <w:tcW w:w="2971" w:type="pct"/>
            <w:tcBorders>
              <w:tl2br w:val="nil"/>
              <w:tr2bl w:val="nil"/>
            </w:tcBorders>
            <w:tcMar>
              <w:top w:w="57" w:type="dxa"/>
              <w:left w:w="57" w:type="dxa"/>
              <w:bottom w:w="57" w:type="dxa"/>
              <w:right w:w="57" w:type="dxa"/>
            </w:tcMar>
            <w:vAlign w:val="center"/>
          </w:tcPr>
          <w:p w14:paraId="66F8AD77">
            <w:pPr>
              <w:pStyle w:val="23"/>
            </w:pPr>
            <w:r>
              <w:rPr>
                <w:rFonts w:hint="eastAsia"/>
              </w:rPr>
              <w:t>建立500亿元产业基金。符合我市主导产业发展规划及战略性新兴产业、现代服务业龙头项目，可申请市级产业引导基金。</w:t>
            </w:r>
          </w:p>
        </w:tc>
        <w:tc>
          <w:tcPr>
            <w:tcW w:w="1481" w:type="pct"/>
            <w:tcBorders>
              <w:tl2br w:val="nil"/>
              <w:tr2bl w:val="nil"/>
            </w:tcBorders>
            <w:tcMar>
              <w:top w:w="57" w:type="dxa"/>
              <w:left w:w="57" w:type="dxa"/>
              <w:bottom w:w="57" w:type="dxa"/>
              <w:right w:w="57" w:type="dxa"/>
            </w:tcMar>
            <w:vAlign w:val="center"/>
          </w:tcPr>
          <w:p w14:paraId="6D238F1D">
            <w:pPr>
              <w:pStyle w:val="23"/>
            </w:pPr>
            <w:r>
              <w:rPr>
                <w:rFonts w:hint="eastAsia"/>
              </w:rPr>
              <w:t>2021年11月17日，《市人民政府关于印发&lt;鄂州市招商引资激励办法&gt;的通知》（鄂州政发〔2021〕11号）</w:t>
            </w:r>
          </w:p>
        </w:tc>
      </w:tr>
      <w:tr w14:paraId="3A84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65" w:type="pct"/>
            <w:tcBorders>
              <w:tl2br w:val="nil"/>
              <w:tr2bl w:val="nil"/>
            </w:tcBorders>
            <w:tcMar>
              <w:top w:w="57" w:type="dxa"/>
              <w:left w:w="57" w:type="dxa"/>
              <w:bottom w:w="57" w:type="dxa"/>
              <w:right w:w="57" w:type="dxa"/>
            </w:tcMar>
            <w:vAlign w:val="center"/>
          </w:tcPr>
          <w:p w14:paraId="21A075E7">
            <w:pPr>
              <w:pStyle w:val="23"/>
              <w:jc w:val="center"/>
            </w:pPr>
            <w:r>
              <w:rPr>
                <w:rFonts w:hint="eastAsia"/>
              </w:rPr>
              <w:t>89</w:t>
            </w:r>
          </w:p>
        </w:tc>
        <w:tc>
          <w:tcPr>
            <w:tcW w:w="281" w:type="pct"/>
            <w:vMerge w:val="continue"/>
            <w:tcBorders>
              <w:tl2br w:val="nil"/>
              <w:tr2bl w:val="nil"/>
            </w:tcBorders>
            <w:noWrap/>
            <w:tcMar>
              <w:top w:w="57" w:type="dxa"/>
              <w:left w:w="57" w:type="dxa"/>
              <w:bottom w:w="57" w:type="dxa"/>
              <w:right w:w="57" w:type="dxa"/>
            </w:tcMar>
            <w:vAlign w:val="center"/>
          </w:tcPr>
          <w:p w14:paraId="23D7D205">
            <w:pPr>
              <w:pStyle w:val="23"/>
              <w:jc w:val="center"/>
            </w:pPr>
          </w:p>
        </w:tc>
        <w:tc>
          <w:tcPr>
            <w:tcW w:w="2971" w:type="pct"/>
            <w:tcBorders>
              <w:tl2br w:val="nil"/>
              <w:tr2bl w:val="nil"/>
            </w:tcBorders>
            <w:tcMar>
              <w:top w:w="57" w:type="dxa"/>
              <w:left w:w="57" w:type="dxa"/>
              <w:bottom w:w="57" w:type="dxa"/>
              <w:right w:w="57" w:type="dxa"/>
            </w:tcMar>
            <w:vAlign w:val="center"/>
          </w:tcPr>
          <w:p w14:paraId="29A0DF03">
            <w:pPr>
              <w:pStyle w:val="23"/>
            </w:pPr>
            <w:r>
              <w:rPr>
                <w:rFonts w:hint="eastAsia"/>
              </w:rPr>
              <w:t>推广应用“楚天贷款码”，推行“1351”“码上融资”服务模式。对于需要线下对接的申请，1日内完成新增申请受理，3日内完成尽职调查，对初步满足信贷条件的申请，5日内完成授信审批手续，1日内完成授信审批结果反馈。</w:t>
            </w:r>
          </w:p>
        </w:tc>
        <w:tc>
          <w:tcPr>
            <w:tcW w:w="1481" w:type="pct"/>
            <w:tcBorders>
              <w:tl2br w:val="nil"/>
              <w:tr2bl w:val="nil"/>
            </w:tcBorders>
            <w:tcMar>
              <w:top w:w="57" w:type="dxa"/>
              <w:left w:w="57" w:type="dxa"/>
              <w:bottom w:w="57" w:type="dxa"/>
              <w:right w:w="57" w:type="dxa"/>
            </w:tcMar>
            <w:vAlign w:val="center"/>
          </w:tcPr>
          <w:p w14:paraId="1B983DB9">
            <w:pPr>
              <w:pStyle w:val="23"/>
            </w:pPr>
            <w:r>
              <w:rPr>
                <w:rFonts w:hint="eastAsia"/>
              </w:rPr>
              <w:t>2022年3月15日，《关于全市推广应用“楚天贷款码”优化获得信贷环境的通知》（鄂州银〔2022〕18号）</w:t>
            </w:r>
          </w:p>
        </w:tc>
      </w:tr>
      <w:tr w14:paraId="7897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65" w:type="pct"/>
            <w:tcBorders>
              <w:tl2br w:val="nil"/>
              <w:tr2bl w:val="nil"/>
            </w:tcBorders>
            <w:tcMar>
              <w:top w:w="57" w:type="dxa"/>
              <w:left w:w="57" w:type="dxa"/>
              <w:bottom w:w="57" w:type="dxa"/>
              <w:right w:w="57" w:type="dxa"/>
            </w:tcMar>
            <w:vAlign w:val="center"/>
          </w:tcPr>
          <w:p w14:paraId="0F298150">
            <w:pPr>
              <w:pStyle w:val="23"/>
              <w:jc w:val="center"/>
            </w:pPr>
            <w:r>
              <w:rPr>
                <w:rFonts w:hint="eastAsia"/>
              </w:rPr>
              <w:t>90</w:t>
            </w:r>
          </w:p>
        </w:tc>
        <w:tc>
          <w:tcPr>
            <w:tcW w:w="281" w:type="pct"/>
            <w:vMerge w:val="continue"/>
            <w:tcBorders>
              <w:tl2br w:val="nil"/>
              <w:tr2bl w:val="nil"/>
            </w:tcBorders>
            <w:noWrap/>
            <w:tcMar>
              <w:top w:w="57" w:type="dxa"/>
              <w:left w:w="57" w:type="dxa"/>
              <w:bottom w:w="57" w:type="dxa"/>
              <w:right w:w="57" w:type="dxa"/>
            </w:tcMar>
            <w:vAlign w:val="center"/>
          </w:tcPr>
          <w:p w14:paraId="465299FA">
            <w:pPr>
              <w:pStyle w:val="23"/>
              <w:jc w:val="center"/>
            </w:pPr>
          </w:p>
        </w:tc>
        <w:tc>
          <w:tcPr>
            <w:tcW w:w="2971" w:type="pct"/>
            <w:tcBorders>
              <w:tl2br w:val="nil"/>
              <w:tr2bl w:val="nil"/>
            </w:tcBorders>
            <w:tcMar>
              <w:top w:w="57" w:type="dxa"/>
              <w:left w:w="57" w:type="dxa"/>
              <w:bottom w:w="57" w:type="dxa"/>
              <w:right w:w="57" w:type="dxa"/>
            </w:tcMar>
            <w:vAlign w:val="center"/>
          </w:tcPr>
          <w:p w14:paraId="69E9E356">
            <w:pPr>
              <w:pStyle w:val="23"/>
            </w:pPr>
            <w:r>
              <w:rPr>
                <w:rFonts w:hint="eastAsia"/>
              </w:rPr>
              <w:t>对新增发放的支小支农再贷款，按照0.5%利率给予最多不超过1年期限的财政贴息。市财政对平均担保费率不超过1%（含）的政策性融资担保业务，给予1%的担保费补贴。政府性融资担保机构将单户担保金额500万元及以下的小微企业和“三农”主体的融资担保费率降至1%，将科技型企业的融资担保费率降至1%。落实政府性融资担保机构资本金持续补充、代偿补偿、保费补贴和业务奖补机制，市财政对平均担保费率不超过1%（含）的政策性融资担保业务，给予1%的担保费补贴。</w:t>
            </w:r>
          </w:p>
        </w:tc>
        <w:tc>
          <w:tcPr>
            <w:tcW w:w="1481" w:type="pct"/>
            <w:tcBorders>
              <w:tl2br w:val="nil"/>
              <w:tr2bl w:val="nil"/>
            </w:tcBorders>
            <w:tcMar>
              <w:top w:w="57" w:type="dxa"/>
              <w:left w:w="57" w:type="dxa"/>
              <w:bottom w:w="57" w:type="dxa"/>
              <w:right w:w="57" w:type="dxa"/>
            </w:tcMar>
            <w:vAlign w:val="center"/>
          </w:tcPr>
          <w:p w14:paraId="4CC33A13">
            <w:pPr>
              <w:pStyle w:val="23"/>
            </w:pPr>
            <w:r>
              <w:rPr>
                <w:rFonts w:hint="eastAsia"/>
              </w:rPr>
              <w:t>2022年4月17日，《市人民政府办公室关于印发&lt;鄂州市支持市场主体纾困解难若干措施&gt;的通知》（鄂州政办发〔2022〕3号）</w:t>
            </w:r>
          </w:p>
        </w:tc>
      </w:tr>
      <w:tr w14:paraId="782B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65" w:type="pct"/>
            <w:tcBorders>
              <w:tl2br w:val="nil"/>
              <w:tr2bl w:val="nil"/>
            </w:tcBorders>
            <w:tcMar>
              <w:top w:w="57" w:type="dxa"/>
              <w:left w:w="57" w:type="dxa"/>
              <w:bottom w:w="57" w:type="dxa"/>
              <w:right w:w="57" w:type="dxa"/>
            </w:tcMar>
            <w:vAlign w:val="center"/>
          </w:tcPr>
          <w:p w14:paraId="7338099D">
            <w:pPr>
              <w:pStyle w:val="23"/>
              <w:jc w:val="center"/>
            </w:pPr>
            <w:r>
              <w:rPr>
                <w:rFonts w:hint="eastAsia"/>
              </w:rPr>
              <w:t>91</w:t>
            </w:r>
          </w:p>
        </w:tc>
        <w:tc>
          <w:tcPr>
            <w:tcW w:w="281" w:type="pct"/>
            <w:vMerge w:val="continue"/>
            <w:tcBorders>
              <w:tl2br w:val="nil"/>
              <w:tr2bl w:val="nil"/>
            </w:tcBorders>
            <w:noWrap/>
            <w:tcMar>
              <w:top w:w="57" w:type="dxa"/>
              <w:left w:w="57" w:type="dxa"/>
              <w:bottom w:w="57" w:type="dxa"/>
              <w:right w:w="57" w:type="dxa"/>
            </w:tcMar>
            <w:vAlign w:val="center"/>
          </w:tcPr>
          <w:p w14:paraId="47D5B84E">
            <w:pPr>
              <w:pStyle w:val="23"/>
              <w:jc w:val="center"/>
            </w:pPr>
          </w:p>
        </w:tc>
        <w:tc>
          <w:tcPr>
            <w:tcW w:w="2971" w:type="pct"/>
            <w:tcBorders>
              <w:tl2br w:val="nil"/>
              <w:tr2bl w:val="nil"/>
            </w:tcBorders>
            <w:tcMar>
              <w:top w:w="57" w:type="dxa"/>
              <w:left w:w="57" w:type="dxa"/>
              <w:bottom w:w="57" w:type="dxa"/>
              <w:right w:w="57" w:type="dxa"/>
            </w:tcMar>
            <w:vAlign w:val="center"/>
          </w:tcPr>
          <w:p w14:paraId="6D0C744E">
            <w:pPr>
              <w:pStyle w:val="23"/>
            </w:pPr>
            <w:r>
              <w:rPr>
                <w:rFonts w:hint="eastAsia"/>
              </w:rPr>
              <w:t>鼓励全市符合条件的企业接入中国人民银行征信中心应收账款融资服务平台，对成功接入平台的核心实体企业接口开发费用进行全额补贴；对通过平台帮助中小微企业的核心实体企业，年促成贷款总额1000万元以上的，在省财政按实际促成贷款金额的0.5%给予奖励的基础上，市级财政按实际促成贷款金额的0.5%追加奖励，单户企业奖励最高不超过200万元。建立供应链票据融资奖补激励机制，鼓励全市符合条件的企事业单位接入供应链票据平台，对供应链核心企事业单位签发的供应链票据，在省财政按照签发量0.2%给予奖励的基础上，市级财政按照签发量0.2%追加奖励，单户企业年度奖励不超过200万元。</w:t>
            </w:r>
          </w:p>
        </w:tc>
        <w:tc>
          <w:tcPr>
            <w:tcW w:w="1481" w:type="pct"/>
            <w:tcBorders>
              <w:tl2br w:val="nil"/>
              <w:tr2bl w:val="nil"/>
            </w:tcBorders>
            <w:tcMar>
              <w:top w:w="57" w:type="dxa"/>
              <w:left w:w="57" w:type="dxa"/>
              <w:bottom w:w="57" w:type="dxa"/>
              <w:right w:w="57" w:type="dxa"/>
            </w:tcMar>
            <w:vAlign w:val="center"/>
          </w:tcPr>
          <w:p w14:paraId="11D6CABA">
            <w:pPr>
              <w:pStyle w:val="23"/>
            </w:pPr>
            <w:r>
              <w:rPr>
                <w:rFonts w:hint="eastAsia"/>
              </w:rPr>
              <w:t>2022年10月13日，《市人民政府办公室关于印发进一步激发市场活力稳住全市经济增长若干措施的通知》（鄂州政办发〔2022〕32号）</w:t>
            </w:r>
          </w:p>
        </w:tc>
      </w:tr>
      <w:tr w14:paraId="652F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65" w:type="pct"/>
            <w:tcBorders>
              <w:tl2br w:val="nil"/>
              <w:tr2bl w:val="nil"/>
            </w:tcBorders>
            <w:tcMar>
              <w:top w:w="57" w:type="dxa"/>
              <w:left w:w="57" w:type="dxa"/>
              <w:bottom w:w="57" w:type="dxa"/>
              <w:right w:w="57" w:type="dxa"/>
            </w:tcMar>
            <w:vAlign w:val="center"/>
          </w:tcPr>
          <w:p w14:paraId="49591F8C">
            <w:pPr>
              <w:pStyle w:val="23"/>
              <w:jc w:val="center"/>
            </w:pPr>
            <w:r>
              <w:rPr>
                <w:rFonts w:hint="eastAsia"/>
              </w:rPr>
              <w:t>92</w:t>
            </w:r>
          </w:p>
        </w:tc>
        <w:tc>
          <w:tcPr>
            <w:tcW w:w="281" w:type="pct"/>
            <w:vMerge w:val="continue"/>
            <w:tcBorders>
              <w:tl2br w:val="nil"/>
              <w:tr2bl w:val="nil"/>
            </w:tcBorders>
            <w:noWrap/>
            <w:tcMar>
              <w:top w:w="57" w:type="dxa"/>
              <w:left w:w="57" w:type="dxa"/>
              <w:bottom w:w="57" w:type="dxa"/>
              <w:right w:w="57" w:type="dxa"/>
            </w:tcMar>
            <w:vAlign w:val="center"/>
          </w:tcPr>
          <w:p w14:paraId="7B1C27E1">
            <w:pPr>
              <w:pStyle w:val="23"/>
              <w:jc w:val="center"/>
            </w:pPr>
          </w:p>
        </w:tc>
        <w:tc>
          <w:tcPr>
            <w:tcW w:w="2971" w:type="pct"/>
            <w:tcBorders>
              <w:tl2br w:val="nil"/>
              <w:tr2bl w:val="nil"/>
            </w:tcBorders>
            <w:tcMar>
              <w:top w:w="57" w:type="dxa"/>
              <w:left w:w="57" w:type="dxa"/>
              <w:bottom w:w="57" w:type="dxa"/>
              <w:right w:w="57" w:type="dxa"/>
            </w:tcMar>
            <w:vAlign w:val="center"/>
          </w:tcPr>
          <w:p w14:paraId="0232E3C5">
            <w:pPr>
              <w:pStyle w:val="23"/>
            </w:pPr>
            <w:r>
              <w:rPr>
                <w:rFonts w:hint="eastAsia"/>
              </w:rPr>
              <w:t>市财政注资1000万元设立出口退税资金池，出口退税资金池账户设在中国银行，用于向应获得而暂时未获得出口退税款的出口企业发放专项贷款贴息。</w:t>
            </w:r>
          </w:p>
        </w:tc>
        <w:tc>
          <w:tcPr>
            <w:tcW w:w="1481" w:type="pct"/>
            <w:tcBorders>
              <w:tl2br w:val="nil"/>
              <w:tr2bl w:val="nil"/>
            </w:tcBorders>
            <w:tcMar>
              <w:top w:w="57" w:type="dxa"/>
              <w:left w:w="57" w:type="dxa"/>
              <w:bottom w:w="57" w:type="dxa"/>
              <w:right w:w="57" w:type="dxa"/>
            </w:tcMar>
            <w:vAlign w:val="center"/>
          </w:tcPr>
          <w:p w14:paraId="7558A7F2">
            <w:pPr>
              <w:pStyle w:val="23"/>
            </w:pPr>
            <w:r>
              <w:rPr>
                <w:rFonts w:hint="eastAsia"/>
              </w:rPr>
              <w:t>2023年7月20日，《市商务局 市财政局 市税务局关于印发&lt;鄂州市出口退税资金池管理办法&gt;的通知》（鄂州商务文〔2023〕26号）</w:t>
            </w:r>
          </w:p>
        </w:tc>
      </w:tr>
      <w:tr w14:paraId="76FE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265" w:type="pct"/>
            <w:tcBorders>
              <w:tl2br w:val="nil"/>
              <w:tr2bl w:val="nil"/>
            </w:tcBorders>
            <w:tcMar>
              <w:top w:w="57" w:type="dxa"/>
              <w:left w:w="57" w:type="dxa"/>
              <w:bottom w:w="57" w:type="dxa"/>
              <w:right w:w="57" w:type="dxa"/>
            </w:tcMar>
            <w:vAlign w:val="center"/>
          </w:tcPr>
          <w:p w14:paraId="7BEF4F65">
            <w:pPr>
              <w:pStyle w:val="23"/>
              <w:jc w:val="center"/>
            </w:pPr>
            <w:r>
              <w:rPr>
                <w:rFonts w:hint="eastAsia"/>
              </w:rPr>
              <w:t>93</w:t>
            </w:r>
          </w:p>
        </w:tc>
        <w:tc>
          <w:tcPr>
            <w:tcW w:w="281" w:type="pct"/>
            <w:vMerge w:val="continue"/>
            <w:tcBorders>
              <w:tl2br w:val="nil"/>
              <w:tr2bl w:val="nil"/>
            </w:tcBorders>
            <w:noWrap/>
            <w:tcMar>
              <w:top w:w="57" w:type="dxa"/>
              <w:left w:w="57" w:type="dxa"/>
              <w:bottom w:w="57" w:type="dxa"/>
              <w:right w:w="57" w:type="dxa"/>
            </w:tcMar>
            <w:vAlign w:val="center"/>
          </w:tcPr>
          <w:p w14:paraId="26C5C616">
            <w:pPr>
              <w:pStyle w:val="23"/>
              <w:jc w:val="center"/>
            </w:pPr>
          </w:p>
        </w:tc>
        <w:tc>
          <w:tcPr>
            <w:tcW w:w="2971" w:type="pct"/>
            <w:tcBorders>
              <w:tl2br w:val="nil"/>
              <w:tr2bl w:val="nil"/>
            </w:tcBorders>
            <w:tcMar>
              <w:top w:w="57" w:type="dxa"/>
              <w:left w:w="57" w:type="dxa"/>
              <w:bottom w:w="57" w:type="dxa"/>
              <w:right w:w="57" w:type="dxa"/>
            </w:tcMar>
            <w:vAlign w:val="center"/>
          </w:tcPr>
          <w:p w14:paraId="0C4CFF28">
            <w:pPr>
              <w:pStyle w:val="23"/>
            </w:pPr>
            <w:r>
              <w:rPr>
                <w:rFonts w:hint="eastAsia"/>
              </w:rPr>
              <w:t>对成功办理市直政府采购项目线上“政采贷”业务的中小微企业进行财政贴息，财政贴息利率按实际贷款利率的50%执行，财政贴息时限为2024年1月1日至12月31日，企业贴息贷款金额按实际贷款金额执行。</w:t>
            </w:r>
          </w:p>
        </w:tc>
        <w:tc>
          <w:tcPr>
            <w:tcW w:w="1481" w:type="pct"/>
            <w:tcBorders>
              <w:tl2br w:val="nil"/>
              <w:tr2bl w:val="nil"/>
            </w:tcBorders>
            <w:tcMar>
              <w:top w:w="57" w:type="dxa"/>
              <w:left w:w="57" w:type="dxa"/>
              <w:bottom w:w="57" w:type="dxa"/>
              <w:right w:w="57" w:type="dxa"/>
            </w:tcMar>
            <w:vAlign w:val="center"/>
          </w:tcPr>
          <w:p w14:paraId="00E547C0">
            <w:pPr>
              <w:pStyle w:val="23"/>
            </w:pPr>
            <w:r>
              <w:rPr>
                <w:rFonts w:hint="eastAsia"/>
              </w:rPr>
              <w:t>2024年1月3日，《关于持续推进政府采购合同融资工作的通知》（鄂州财采发〔2024〕2号）</w:t>
            </w:r>
          </w:p>
        </w:tc>
      </w:tr>
      <w:tr w14:paraId="3BE3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65" w:type="pct"/>
            <w:tcBorders>
              <w:tl2br w:val="nil"/>
              <w:tr2bl w:val="nil"/>
            </w:tcBorders>
            <w:tcMar>
              <w:top w:w="57" w:type="dxa"/>
              <w:left w:w="57" w:type="dxa"/>
              <w:bottom w:w="57" w:type="dxa"/>
              <w:right w:w="57" w:type="dxa"/>
            </w:tcMar>
            <w:vAlign w:val="center"/>
          </w:tcPr>
          <w:p w14:paraId="11758ECD">
            <w:pPr>
              <w:pStyle w:val="23"/>
              <w:jc w:val="center"/>
            </w:pPr>
            <w:r>
              <w:rPr>
                <w:rFonts w:hint="eastAsia"/>
              </w:rPr>
              <w:t>94</w:t>
            </w:r>
          </w:p>
        </w:tc>
        <w:tc>
          <w:tcPr>
            <w:tcW w:w="281" w:type="pct"/>
            <w:vMerge w:val="continue"/>
            <w:tcBorders>
              <w:tl2br w:val="nil"/>
              <w:tr2bl w:val="nil"/>
            </w:tcBorders>
            <w:noWrap/>
            <w:tcMar>
              <w:top w:w="57" w:type="dxa"/>
              <w:left w:w="57" w:type="dxa"/>
              <w:bottom w:w="57" w:type="dxa"/>
              <w:right w:w="57" w:type="dxa"/>
            </w:tcMar>
            <w:vAlign w:val="center"/>
          </w:tcPr>
          <w:p w14:paraId="65F40C49">
            <w:pPr>
              <w:pStyle w:val="23"/>
              <w:jc w:val="center"/>
            </w:pPr>
          </w:p>
        </w:tc>
        <w:tc>
          <w:tcPr>
            <w:tcW w:w="2971" w:type="pct"/>
            <w:tcBorders>
              <w:tl2br w:val="nil"/>
              <w:tr2bl w:val="nil"/>
            </w:tcBorders>
            <w:tcMar>
              <w:top w:w="57" w:type="dxa"/>
              <w:left w:w="57" w:type="dxa"/>
              <w:bottom w:w="57" w:type="dxa"/>
              <w:right w:w="57" w:type="dxa"/>
            </w:tcMar>
            <w:vAlign w:val="center"/>
          </w:tcPr>
          <w:p w14:paraId="5E88471A">
            <w:pPr>
              <w:pStyle w:val="23"/>
            </w:pPr>
            <w:r>
              <w:rPr>
                <w:rFonts w:hint="eastAsia"/>
              </w:rPr>
              <w:t>对2024年1月1日至3月31日贷款额度超过1000万元的规上工业企业，给予每家利息补贴2万元。</w:t>
            </w:r>
          </w:p>
        </w:tc>
        <w:tc>
          <w:tcPr>
            <w:tcW w:w="1481" w:type="pct"/>
            <w:tcBorders>
              <w:tl2br w:val="nil"/>
              <w:tr2bl w:val="nil"/>
            </w:tcBorders>
            <w:tcMar>
              <w:top w:w="57" w:type="dxa"/>
              <w:left w:w="57" w:type="dxa"/>
              <w:bottom w:w="57" w:type="dxa"/>
              <w:right w:w="57" w:type="dxa"/>
            </w:tcMar>
            <w:vAlign w:val="center"/>
          </w:tcPr>
          <w:p w14:paraId="2D1C9094">
            <w:pPr>
              <w:pStyle w:val="23"/>
            </w:pPr>
            <w:r>
              <w:rPr>
                <w:rFonts w:hint="eastAsia"/>
              </w:rPr>
              <w:t>2024年2月6日，《市经济和信息化局 市财政局关于印发&lt;2024年全市推进工业经济“开门红”若干措施&gt;的通知》（鄂州经信发〔2024〕2号）</w:t>
            </w:r>
          </w:p>
        </w:tc>
      </w:tr>
      <w:tr w14:paraId="2AB6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65" w:type="pct"/>
            <w:tcBorders>
              <w:tl2br w:val="nil"/>
              <w:tr2bl w:val="nil"/>
            </w:tcBorders>
            <w:tcMar>
              <w:top w:w="57" w:type="dxa"/>
              <w:left w:w="57" w:type="dxa"/>
              <w:bottom w:w="57" w:type="dxa"/>
              <w:right w:w="57" w:type="dxa"/>
            </w:tcMar>
            <w:vAlign w:val="center"/>
          </w:tcPr>
          <w:p w14:paraId="1BE6C402">
            <w:pPr>
              <w:pStyle w:val="23"/>
              <w:jc w:val="center"/>
            </w:pPr>
            <w:r>
              <w:rPr>
                <w:rFonts w:hint="eastAsia"/>
              </w:rPr>
              <w:t>95</w:t>
            </w:r>
          </w:p>
        </w:tc>
        <w:tc>
          <w:tcPr>
            <w:tcW w:w="281" w:type="pct"/>
            <w:vMerge w:val="continue"/>
            <w:tcBorders>
              <w:tl2br w:val="nil"/>
              <w:tr2bl w:val="nil"/>
            </w:tcBorders>
            <w:noWrap/>
            <w:tcMar>
              <w:top w:w="57" w:type="dxa"/>
              <w:left w:w="57" w:type="dxa"/>
              <w:bottom w:w="57" w:type="dxa"/>
              <w:right w:w="57" w:type="dxa"/>
            </w:tcMar>
            <w:vAlign w:val="center"/>
          </w:tcPr>
          <w:p w14:paraId="7EFA480E">
            <w:pPr>
              <w:pStyle w:val="23"/>
              <w:jc w:val="center"/>
            </w:pPr>
          </w:p>
        </w:tc>
        <w:tc>
          <w:tcPr>
            <w:tcW w:w="2971" w:type="pct"/>
            <w:tcBorders>
              <w:tl2br w:val="nil"/>
              <w:tr2bl w:val="nil"/>
            </w:tcBorders>
            <w:tcMar>
              <w:top w:w="57" w:type="dxa"/>
              <w:left w:w="57" w:type="dxa"/>
              <w:bottom w:w="57" w:type="dxa"/>
              <w:right w:w="57" w:type="dxa"/>
            </w:tcMar>
            <w:vAlign w:val="center"/>
          </w:tcPr>
          <w:p w14:paraId="62AB3E4A">
            <w:pPr>
              <w:pStyle w:val="23"/>
            </w:pPr>
            <w:r>
              <w:rPr>
                <w:rFonts w:hint="eastAsia"/>
              </w:rPr>
              <w:t>市财政对辖区内金融机构发放的“301”首贷户贷款给予贴息，贷款实际利率不高于5.35%，市级贴息利率1%，贴息期限最长不超过1年，1年期内贷款以贷款实际使用期限为准。</w:t>
            </w:r>
          </w:p>
        </w:tc>
        <w:tc>
          <w:tcPr>
            <w:tcW w:w="1481" w:type="pct"/>
            <w:tcBorders>
              <w:tl2br w:val="nil"/>
              <w:tr2bl w:val="nil"/>
            </w:tcBorders>
            <w:tcMar>
              <w:top w:w="57" w:type="dxa"/>
              <w:left w:w="57" w:type="dxa"/>
              <w:bottom w:w="57" w:type="dxa"/>
              <w:right w:w="57" w:type="dxa"/>
            </w:tcMar>
            <w:vAlign w:val="center"/>
          </w:tcPr>
          <w:p w14:paraId="5E818ACD">
            <w:pPr>
              <w:pStyle w:val="23"/>
            </w:pPr>
            <w:r>
              <w:rPr>
                <w:rFonts w:hint="eastAsia"/>
              </w:rPr>
              <w:t>2024年2月28日，《鄂州市财政局 中国人民银行鄂州分行关于印发&lt;鄂州市“301”首贷户贷款贴息政策实施方案&gt;的通知》（鄂州财金发〔2024〕66 号）</w:t>
            </w:r>
          </w:p>
        </w:tc>
      </w:tr>
      <w:tr w14:paraId="0AC4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265" w:type="pct"/>
            <w:tcBorders>
              <w:tl2br w:val="nil"/>
              <w:tr2bl w:val="nil"/>
            </w:tcBorders>
            <w:tcMar>
              <w:top w:w="57" w:type="dxa"/>
              <w:left w:w="57" w:type="dxa"/>
              <w:bottom w:w="57" w:type="dxa"/>
              <w:right w:w="57" w:type="dxa"/>
            </w:tcMar>
            <w:vAlign w:val="center"/>
          </w:tcPr>
          <w:p w14:paraId="40DF33D3">
            <w:pPr>
              <w:pStyle w:val="23"/>
              <w:jc w:val="center"/>
            </w:pPr>
            <w:r>
              <w:rPr>
                <w:rFonts w:hint="eastAsia"/>
              </w:rPr>
              <w:t>96</w:t>
            </w:r>
          </w:p>
        </w:tc>
        <w:tc>
          <w:tcPr>
            <w:tcW w:w="281" w:type="pct"/>
            <w:vMerge w:val="restart"/>
            <w:tcBorders>
              <w:tl2br w:val="nil"/>
              <w:tr2bl w:val="nil"/>
            </w:tcBorders>
            <w:noWrap/>
            <w:tcMar>
              <w:top w:w="57" w:type="dxa"/>
              <w:left w:w="57" w:type="dxa"/>
              <w:bottom w:w="57" w:type="dxa"/>
              <w:right w:w="57" w:type="dxa"/>
            </w:tcMar>
            <w:vAlign w:val="center"/>
          </w:tcPr>
          <w:p w14:paraId="4DD40B8E">
            <w:pPr>
              <w:pStyle w:val="23"/>
              <w:jc w:val="center"/>
            </w:pPr>
            <w:r>
              <w:rPr>
                <w:rFonts w:hint="eastAsia"/>
              </w:rPr>
              <w:t>优化服务类</w:t>
            </w:r>
          </w:p>
        </w:tc>
        <w:tc>
          <w:tcPr>
            <w:tcW w:w="2971" w:type="pct"/>
            <w:tcBorders>
              <w:tl2br w:val="nil"/>
              <w:tr2bl w:val="nil"/>
            </w:tcBorders>
            <w:tcMar>
              <w:top w:w="57" w:type="dxa"/>
              <w:left w:w="57" w:type="dxa"/>
              <w:bottom w:w="57" w:type="dxa"/>
              <w:right w:w="57" w:type="dxa"/>
            </w:tcMar>
            <w:vAlign w:val="center"/>
          </w:tcPr>
          <w:p w14:paraId="5ACC219F">
            <w:pPr>
              <w:pStyle w:val="23"/>
            </w:pPr>
            <w:r>
              <w:rPr>
                <w:rFonts w:hint="eastAsia"/>
              </w:rPr>
              <w:t>不动产异议登记、抵押权（预告）注销登记、查解封登记、更正登记、换证登记，即时办结；购买新建商品房转移登记、二手房转移登记（不含继承）、抵押登记（不含批量）、预告登记、变更登记，受理完成后2个小时办结；手续齐全的小微企业即来即办；“标准地”供地的土地使用权首次登记1个工作日内办结；其它不动产登记2个工作日内办结。</w:t>
            </w:r>
          </w:p>
        </w:tc>
        <w:tc>
          <w:tcPr>
            <w:tcW w:w="1481" w:type="pct"/>
            <w:tcBorders>
              <w:tl2br w:val="nil"/>
              <w:tr2bl w:val="nil"/>
            </w:tcBorders>
            <w:tcMar>
              <w:top w:w="57" w:type="dxa"/>
              <w:left w:w="57" w:type="dxa"/>
              <w:bottom w:w="57" w:type="dxa"/>
              <w:right w:w="57" w:type="dxa"/>
            </w:tcMar>
            <w:vAlign w:val="center"/>
          </w:tcPr>
          <w:p w14:paraId="6432C533">
            <w:pPr>
              <w:pStyle w:val="23"/>
            </w:pPr>
            <w:r>
              <w:rPr>
                <w:rFonts w:hint="eastAsia"/>
              </w:rPr>
              <w:t>2020年6月22日，《鄂州市自然资源和规划局关于压缩不动产登记办理时间的通知》（鄂州自然资规办文〔2020〕26号）</w:t>
            </w:r>
          </w:p>
        </w:tc>
      </w:tr>
      <w:tr w14:paraId="272B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265" w:type="pct"/>
            <w:tcBorders>
              <w:tl2br w:val="nil"/>
              <w:tr2bl w:val="nil"/>
            </w:tcBorders>
            <w:tcMar>
              <w:top w:w="57" w:type="dxa"/>
              <w:left w:w="57" w:type="dxa"/>
              <w:bottom w:w="57" w:type="dxa"/>
              <w:right w:w="57" w:type="dxa"/>
            </w:tcMar>
            <w:vAlign w:val="center"/>
          </w:tcPr>
          <w:p w14:paraId="201B08FA">
            <w:pPr>
              <w:pStyle w:val="23"/>
              <w:jc w:val="center"/>
            </w:pPr>
            <w:r>
              <w:rPr>
                <w:rFonts w:hint="eastAsia"/>
              </w:rPr>
              <w:t>97</w:t>
            </w:r>
          </w:p>
        </w:tc>
        <w:tc>
          <w:tcPr>
            <w:tcW w:w="281" w:type="pct"/>
            <w:vMerge w:val="continue"/>
            <w:tcBorders>
              <w:tl2br w:val="nil"/>
              <w:tr2bl w:val="nil"/>
            </w:tcBorders>
            <w:noWrap/>
            <w:tcMar>
              <w:top w:w="57" w:type="dxa"/>
              <w:left w:w="57" w:type="dxa"/>
              <w:bottom w:w="57" w:type="dxa"/>
              <w:right w:w="57" w:type="dxa"/>
            </w:tcMar>
            <w:vAlign w:val="center"/>
          </w:tcPr>
          <w:p w14:paraId="48341897">
            <w:pPr>
              <w:pStyle w:val="23"/>
              <w:jc w:val="center"/>
            </w:pPr>
          </w:p>
        </w:tc>
        <w:tc>
          <w:tcPr>
            <w:tcW w:w="2971" w:type="pct"/>
            <w:tcBorders>
              <w:tl2br w:val="nil"/>
              <w:tr2bl w:val="nil"/>
            </w:tcBorders>
            <w:tcMar>
              <w:top w:w="57" w:type="dxa"/>
              <w:left w:w="57" w:type="dxa"/>
              <w:bottom w:w="57" w:type="dxa"/>
              <w:right w:w="57" w:type="dxa"/>
            </w:tcMar>
            <w:vAlign w:val="center"/>
          </w:tcPr>
          <w:p w14:paraId="11A0346C">
            <w:pPr>
              <w:pStyle w:val="23"/>
            </w:pPr>
            <w:r>
              <w:rPr>
                <w:rFonts w:hint="eastAsia"/>
              </w:rPr>
              <w:t>设立企业服务专窗，合并申请受理、缴纳税费和发证环节。企业间不动产转移登记的办理时限调整为当场办结（不超过90分钟）。</w:t>
            </w:r>
          </w:p>
        </w:tc>
        <w:tc>
          <w:tcPr>
            <w:tcW w:w="1481" w:type="pct"/>
            <w:tcBorders>
              <w:tl2br w:val="nil"/>
              <w:tr2bl w:val="nil"/>
            </w:tcBorders>
            <w:tcMar>
              <w:top w:w="57" w:type="dxa"/>
              <w:left w:w="57" w:type="dxa"/>
              <w:bottom w:w="57" w:type="dxa"/>
              <w:right w:w="57" w:type="dxa"/>
            </w:tcMar>
            <w:vAlign w:val="center"/>
          </w:tcPr>
          <w:p w14:paraId="4A07C55C">
            <w:pPr>
              <w:pStyle w:val="23"/>
            </w:pPr>
            <w:r>
              <w:rPr>
                <w:rFonts w:hint="eastAsia"/>
              </w:rPr>
              <w:t>2020年7月31日，《市自然资源和规划局办公室关于进一步做好涉企不动产登记服务工作的通知》（鄂州自然资规办文〔2020〕35号）</w:t>
            </w:r>
          </w:p>
        </w:tc>
      </w:tr>
      <w:tr w14:paraId="5524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265" w:type="pct"/>
            <w:tcBorders>
              <w:tl2br w:val="nil"/>
              <w:tr2bl w:val="nil"/>
            </w:tcBorders>
            <w:tcMar>
              <w:top w:w="57" w:type="dxa"/>
              <w:left w:w="57" w:type="dxa"/>
              <w:bottom w:w="57" w:type="dxa"/>
              <w:right w:w="57" w:type="dxa"/>
            </w:tcMar>
            <w:vAlign w:val="center"/>
          </w:tcPr>
          <w:p w14:paraId="427A7DBE">
            <w:pPr>
              <w:pStyle w:val="23"/>
              <w:jc w:val="center"/>
            </w:pPr>
            <w:r>
              <w:rPr>
                <w:rFonts w:hint="eastAsia"/>
              </w:rPr>
              <w:t>98</w:t>
            </w:r>
          </w:p>
        </w:tc>
        <w:tc>
          <w:tcPr>
            <w:tcW w:w="281" w:type="pct"/>
            <w:vMerge w:val="continue"/>
            <w:tcBorders>
              <w:tl2br w:val="nil"/>
              <w:tr2bl w:val="nil"/>
            </w:tcBorders>
            <w:noWrap/>
            <w:tcMar>
              <w:top w:w="57" w:type="dxa"/>
              <w:left w:w="57" w:type="dxa"/>
              <w:bottom w:w="57" w:type="dxa"/>
              <w:right w:w="57" w:type="dxa"/>
            </w:tcMar>
            <w:vAlign w:val="center"/>
          </w:tcPr>
          <w:p w14:paraId="7036A981">
            <w:pPr>
              <w:pStyle w:val="23"/>
              <w:jc w:val="center"/>
            </w:pPr>
          </w:p>
        </w:tc>
        <w:tc>
          <w:tcPr>
            <w:tcW w:w="2971" w:type="pct"/>
            <w:tcBorders>
              <w:tl2br w:val="nil"/>
              <w:tr2bl w:val="nil"/>
            </w:tcBorders>
            <w:tcMar>
              <w:top w:w="57" w:type="dxa"/>
              <w:left w:w="57" w:type="dxa"/>
              <w:bottom w:w="57" w:type="dxa"/>
              <w:right w:w="57" w:type="dxa"/>
            </w:tcMar>
            <w:vAlign w:val="center"/>
          </w:tcPr>
          <w:p w14:paraId="7C119EA3">
            <w:pPr>
              <w:pStyle w:val="23"/>
            </w:pPr>
            <w:r>
              <w:rPr>
                <w:rFonts w:hint="eastAsia"/>
              </w:rPr>
              <w:t>压缩企业简易注销公告时间至20天，免除公告费用。对适用简易程序注销的企业即到即办。</w:t>
            </w:r>
          </w:p>
        </w:tc>
        <w:tc>
          <w:tcPr>
            <w:tcW w:w="1481" w:type="pct"/>
            <w:tcBorders>
              <w:tl2br w:val="nil"/>
              <w:tr2bl w:val="nil"/>
            </w:tcBorders>
            <w:tcMar>
              <w:top w:w="57" w:type="dxa"/>
              <w:left w:w="57" w:type="dxa"/>
              <w:bottom w:w="57" w:type="dxa"/>
              <w:right w:w="57" w:type="dxa"/>
            </w:tcMar>
            <w:vAlign w:val="center"/>
          </w:tcPr>
          <w:p w14:paraId="4AFFDF41">
            <w:pPr>
              <w:pStyle w:val="23"/>
            </w:pPr>
            <w:r>
              <w:rPr>
                <w:rFonts w:hint="eastAsia"/>
              </w:rPr>
              <w:t>2021年2月25日，《市市场监管局关于印发&lt;关于以市场主体需求为导向打造一流营商环境工作实施意见&gt;的通知》（鄂州市监〔2021〕1号）</w:t>
            </w:r>
          </w:p>
        </w:tc>
      </w:tr>
      <w:tr w14:paraId="22A7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265" w:type="pct"/>
            <w:tcBorders>
              <w:tl2br w:val="nil"/>
              <w:tr2bl w:val="nil"/>
            </w:tcBorders>
            <w:tcMar>
              <w:top w:w="57" w:type="dxa"/>
              <w:left w:w="57" w:type="dxa"/>
              <w:bottom w:w="57" w:type="dxa"/>
              <w:right w:w="57" w:type="dxa"/>
            </w:tcMar>
            <w:vAlign w:val="center"/>
          </w:tcPr>
          <w:p w14:paraId="7B14C57A">
            <w:pPr>
              <w:pStyle w:val="23"/>
              <w:jc w:val="center"/>
            </w:pPr>
            <w:r>
              <w:rPr>
                <w:rFonts w:hint="eastAsia"/>
              </w:rPr>
              <w:t>99</w:t>
            </w:r>
          </w:p>
        </w:tc>
        <w:tc>
          <w:tcPr>
            <w:tcW w:w="281" w:type="pct"/>
            <w:vMerge w:val="continue"/>
            <w:tcBorders>
              <w:tl2br w:val="nil"/>
              <w:tr2bl w:val="nil"/>
            </w:tcBorders>
            <w:noWrap/>
            <w:tcMar>
              <w:top w:w="57" w:type="dxa"/>
              <w:left w:w="57" w:type="dxa"/>
              <w:bottom w:w="57" w:type="dxa"/>
              <w:right w:w="57" w:type="dxa"/>
            </w:tcMar>
            <w:vAlign w:val="center"/>
          </w:tcPr>
          <w:p w14:paraId="66E8DE9E">
            <w:pPr>
              <w:pStyle w:val="23"/>
              <w:jc w:val="center"/>
            </w:pPr>
          </w:p>
        </w:tc>
        <w:tc>
          <w:tcPr>
            <w:tcW w:w="2971" w:type="pct"/>
            <w:tcBorders>
              <w:tl2br w:val="nil"/>
              <w:tr2bl w:val="nil"/>
            </w:tcBorders>
            <w:tcMar>
              <w:top w:w="57" w:type="dxa"/>
              <w:left w:w="57" w:type="dxa"/>
              <w:bottom w:w="57" w:type="dxa"/>
              <w:right w:w="57" w:type="dxa"/>
            </w:tcMar>
            <w:vAlign w:val="center"/>
          </w:tcPr>
          <w:p w14:paraId="0EB132A3">
            <w:pPr>
              <w:pStyle w:val="23"/>
            </w:pPr>
            <w:r>
              <w:rPr>
                <w:rFonts w:hint="eastAsia"/>
              </w:rPr>
              <w:t>将一个行业多张许可证信息以一个二维码的形式加载到行业综合许可证上，实现“一证准营、一码亮证”。</w:t>
            </w:r>
          </w:p>
        </w:tc>
        <w:tc>
          <w:tcPr>
            <w:tcW w:w="1481" w:type="pct"/>
            <w:vMerge w:val="restart"/>
            <w:tcBorders>
              <w:tl2br w:val="nil"/>
              <w:tr2bl w:val="nil"/>
            </w:tcBorders>
            <w:tcMar>
              <w:top w:w="57" w:type="dxa"/>
              <w:left w:w="57" w:type="dxa"/>
              <w:bottom w:w="57" w:type="dxa"/>
              <w:right w:w="57" w:type="dxa"/>
            </w:tcMar>
            <w:vAlign w:val="center"/>
          </w:tcPr>
          <w:p w14:paraId="3EF04585">
            <w:pPr>
              <w:pStyle w:val="23"/>
            </w:pPr>
            <w:r>
              <w:rPr>
                <w:rFonts w:hint="eastAsia"/>
              </w:rPr>
              <w:t>2021年3月12日，《中共鄂州市委  鄂州市人民政府印发&lt;关于以市场主体需求为导向打造一流营商环境的实施方案&gt;的通知》（鄂州发〔2021〕5号）</w:t>
            </w:r>
          </w:p>
        </w:tc>
      </w:tr>
      <w:tr w14:paraId="3B57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265" w:type="pct"/>
            <w:tcBorders>
              <w:tl2br w:val="nil"/>
              <w:tr2bl w:val="nil"/>
            </w:tcBorders>
            <w:tcMar>
              <w:top w:w="57" w:type="dxa"/>
              <w:left w:w="57" w:type="dxa"/>
              <w:bottom w:w="57" w:type="dxa"/>
              <w:right w:w="57" w:type="dxa"/>
            </w:tcMar>
            <w:vAlign w:val="center"/>
          </w:tcPr>
          <w:p w14:paraId="1DB85465">
            <w:pPr>
              <w:pStyle w:val="23"/>
              <w:jc w:val="center"/>
            </w:pPr>
            <w:r>
              <w:rPr>
                <w:rFonts w:hint="eastAsia"/>
              </w:rPr>
              <w:t>100</w:t>
            </w:r>
          </w:p>
        </w:tc>
        <w:tc>
          <w:tcPr>
            <w:tcW w:w="281" w:type="pct"/>
            <w:vMerge w:val="continue"/>
            <w:tcBorders>
              <w:tl2br w:val="nil"/>
              <w:tr2bl w:val="nil"/>
            </w:tcBorders>
            <w:noWrap/>
            <w:tcMar>
              <w:top w:w="57" w:type="dxa"/>
              <w:left w:w="57" w:type="dxa"/>
              <w:bottom w:w="57" w:type="dxa"/>
              <w:right w:w="57" w:type="dxa"/>
            </w:tcMar>
            <w:vAlign w:val="center"/>
          </w:tcPr>
          <w:p w14:paraId="438A5B11">
            <w:pPr>
              <w:pStyle w:val="23"/>
              <w:jc w:val="center"/>
            </w:pPr>
          </w:p>
        </w:tc>
        <w:tc>
          <w:tcPr>
            <w:tcW w:w="2971" w:type="pct"/>
            <w:tcBorders>
              <w:tl2br w:val="nil"/>
              <w:tr2bl w:val="nil"/>
            </w:tcBorders>
            <w:tcMar>
              <w:top w:w="57" w:type="dxa"/>
              <w:left w:w="57" w:type="dxa"/>
              <w:bottom w:w="57" w:type="dxa"/>
              <w:right w:w="57" w:type="dxa"/>
            </w:tcMar>
            <w:vAlign w:val="center"/>
          </w:tcPr>
          <w:p w14:paraId="2DD473BE">
            <w:pPr>
              <w:pStyle w:val="23"/>
            </w:pPr>
            <w:r>
              <w:rPr>
                <w:rFonts w:hint="eastAsia"/>
              </w:rPr>
              <w:t>全面落实“一窗通办”，综合窗口受理率达到100%。除需要部门并联审批的事项外，环节不得超过3个，尽量压缩至2个；除工程建设、施工工程或其他须现场核验的外，办理时限不得超过1个工作日，尽量压缩至2个小时；申报的材料集成“一单”或“一表”；“最多跑一次”比率达到100%。</w:t>
            </w:r>
          </w:p>
        </w:tc>
        <w:tc>
          <w:tcPr>
            <w:tcW w:w="1481" w:type="pct"/>
            <w:vMerge w:val="continue"/>
            <w:tcBorders>
              <w:tl2br w:val="nil"/>
              <w:tr2bl w:val="nil"/>
            </w:tcBorders>
            <w:tcMar>
              <w:top w:w="57" w:type="dxa"/>
              <w:left w:w="57" w:type="dxa"/>
              <w:bottom w:w="57" w:type="dxa"/>
              <w:right w:w="57" w:type="dxa"/>
            </w:tcMar>
            <w:vAlign w:val="center"/>
          </w:tcPr>
          <w:p w14:paraId="4A690E53">
            <w:pPr>
              <w:pStyle w:val="23"/>
            </w:pPr>
          </w:p>
        </w:tc>
      </w:tr>
      <w:tr w14:paraId="566F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265" w:type="pct"/>
            <w:tcBorders>
              <w:tl2br w:val="nil"/>
              <w:tr2bl w:val="nil"/>
            </w:tcBorders>
            <w:tcMar>
              <w:top w:w="57" w:type="dxa"/>
              <w:left w:w="57" w:type="dxa"/>
              <w:bottom w:w="57" w:type="dxa"/>
              <w:right w:w="57" w:type="dxa"/>
            </w:tcMar>
            <w:vAlign w:val="center"/>
          </w:tcPr>
          <w:p w14:paraId="20F9513C">
            <w:pPr>
              <w:pStyle w:val="23"/>
              <w:jc w:val="center"/>
            </w:pPr>
            <w:r>
              <w:rPr>
                <w:rFonts w:hint="eastAsia"/>
              </w:rPr>
              <w:t>101</w:t>
            </w:r>
          </w:p>
        </w:tc>
        <w:tc>
          <w:tcPr>
            <w:tcW w:w="281" w:type="pct"/>
            <w:vMerge w:val="continue"/>
            <w:tcBorders>
              <w:tl2br w:val="nil"/>
              <w:tr2bl w:val="nil"/>
            </w:tcBorders>
            <w:noWrap/>
            <w:tcMar>
              <w:top w:w="57" w:type="dxa"/>
              <w:left w:w="57" w:type="dxa"/>
              <w:bottom w:w="57" w:type="dxa"/>
              <w:right w:w="57" w:type="dxa"/>
            </w:tcMar>
            <w:vAlign w:val="center"/>
          </w:tcPr>
          <w:p w14:paraId="17AE25B1">
            <w:pPr>
              <w:pStyle w:val="23"/>
              <w:jc w:val="center"/>
            </w:pPr>
          </w:p>
        </w:tc>
        <w:tc>
          <w:tcPr>
            <w:tcW w:w="2971" w:type="pct"/>
            <w:tcBorders>
              <w:tl2br w:val="nil"/>
              <w:tr2bl w:val="nil"/>
            </w:tcBorders>
            <w:tcMar>
              <w:top w:w="57" w:type="dxa"/>
              <w:left w:w="57" w:type="dxa"/>
              <w:bottom w:w="57" w:type="dxa"/>
              <w:right w:w="57" w:type="dxa"/>
            </w:tcMar>
            <w:vAlign w:val="center"/>
          </w:tcPr>
          <w:p w14:paraId="0EE8C84D">
            <w:pPr>
              <w:pStyle w:val="23"/>
            </w:pPr>
            <w:r>
              <w:rPr>
                <w:rFonts w:hint="eastAsia"/>
              </w:rPr>
              <w:t>大力提升银行机构贷款办理效率，对符合条件的小微企业平均办理环节不超过3个、办理时间不超过8天、申请材料不超过8件。</w:t>
            </w:r>
          </w:p>
        </w:tc>
        <w:tc>
          <w:tcPr>
            <w:tcW w:w="1481" w:type="pct"/>
            <w:vMerge w:val="continue"/>
            <w:tcBorders>
              <w:tl2br w:val="nil"/>
              <w:tr2bl w:val="nil"/>
            </w:tcBorders>
            <w:tcMar>
              <w:top w:w="57" w:type="dxa"/>
              <w:left w:w="57" w:type="dxa"/>
              <w:bottom w:w="57" w:type="dxa"/>
              <w:right w:w="57" w:type="dxa"/>
            </w:tcMar>
            <w:vAlign w:val="center"/>
          </w:tcPr>
          <w:p w14:paraId="1358F303">
            <w:pPr>
              <w:pStyle w:val="23"/>
            </w:pPr>
          </w:p>
        </w:tc>
      </w:tr>
      <w:tr w14:paraId="2859C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265" w:type="pct"/>
            <w:tcBorders>
              <w:tl2br w:val="nil"/>
              <w:tr2bl w:val="nil"/>
            </w:tcBorders>
            <w:tcMar>
              <w:top w:w="57" w:type="dxa"/>
              <w:left w:w="57" w:type="dxa"/>
              <w:bottom w:w="57" w:type="dxa"/>
              <w:right w:w="57" w:type="dxa"/>
            </w:tcMar>
            <w:vAlign w:val="center"/>
          </w:tcPr>
          <w:p w14:paraId="0F9C7961">
            <w:pPr>
              <w:pStyle w:val="23"/>
              <w:jc w:val="center"/>
            </w:pPr>
            <w:r>
              <w:rPr>
                <w:rFonts w:hint="eastAsia"/>
              </w:rPr>
              <w:t>102</w:t>
            </w:r>
          </w:p>
        </w:tc>
        <w:tc>
          <w:tcPr>
            <w:tcW w:w="281" w:type="pct"/>
            <w:vMerge w:val="continue"/>
            <w:tcBorders>
              <w:tl2br w:val="nil"/>
              <w:tr2bl w:val="nil"/>
            </w:tcBorders>
            <w:noWrap/>
            <w:tcMar>
              <w:top w:w="57" w:type="dxa"/>
              <w:left w:w="57" w:type="dxa"/>
              <w:bottom w:w="57" w:type="dxa"/>
              <w:right w:w="57" w:type="dxa"/>
            </w:tcMar>
            <w:vAlign w:val="center"/>
          </w:tcPr>
          <w:p w14:paraId="00E9438D">
            <w:pPr>
              <w:pStyle w:val="23"/>
              <w:jc w:val="center"/>
            </w:pPr>
          </w:p>
        </w:tc>
        <w:tc>
          <w:tcPr>
            <w:tcW w:w="2971" w:type="pct"/>
            <w:tcBorders>
              <w:tl2br w:val="nil"/>
              <w:tr2bl w:val="nil"/>
            </w:tcBorders>
            <w:tcMar>
              <w:top w:w="57" w:type="dxa"/>
              <w:left w:w="57" w:type="dxa"/>
              <w:bottom w:w="57" w:type="dxa"/>
              <w:right w:w="57" w:type="dxa"/>
            </w:tcMar>
            <w:vAlign w:val="center"/>
          </w:tcPr>
          <w:p w14:paraId="0FD12C60">
            <w:pPr>
              <w:pStyle w:val="23"/>
            </w:pPr>
            <w:r>
              <w:rPr>
                <w:rFonts w:hint="eastAsia"/>
              </w:rPr>
              <w:t>各级行政审批职能部门在受理行政审批事项申请时，对申请材料齐全、符合法定形式的申请事项必须及时受理。受理后，各行政审批职能部门必须在承诺办结时限内作出决定，如未按时办结，默认审批准予通过，并在1个工作日内补齐审批结果 。</w:t>
            </w:r>
          </w:p>
        </w:tc>
        <w:tc>
          <w:tcPr>
            <w:tcW w:w="1481" w:type="pct"/>
            <w:tcBorders>
              <w:tl2br w:val="nil"/>
              <w:tr2bl w:val="nil"/>
            </w:tcBorders>
            <w:tcMar>
              <w:top w:w="57" w:type="dxa"/>
              <w:left w:w="57" w:type="dxa"/>
              <w:bottom w:w="57" w:type="dxa"/>
              <w:right w:w="57" w:type="dxa"/>
            </w:tcMar>
            <w:vAlign w:val="center"/>
          </w:tcPr>
          <w:p w14:paraId="66A02289">
            <w:pPr>
              <w:pStyle w:val="23"/>
            </w:pPr>
            <w:r>
              <w:rPr>
                <w:rFonts w:hint="eastAsia"/>
              </w:rPr>
              <w:t>2021年7月20日，《关于推行工程建设项目审批“超时默认、自动用印”的通知》（鄂州工改办〔2021〕13号）</w:t>
            </w:r>
          </w:p>
        </w:tc>
      </w:tr>
      <w:tr w14:paraId="40A2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265" w:type="pct"/>
            <w:tcBorders>
              <w:tl2br w:val="nil"/>
              <w:tr2bl w:val="nil"/>
            </w:tcBorders>
            <w:tcMar>
              <w:top w:w="57" w:type="dxa"/>
              <w:left w:w="57" w:type="dxa"/>
              <w:bottom w:w="57" w:type="dxa"/>
              <w:right w:w="57" w:type="dxa"/>
            </w:tcMar>
            <w:vAlign w:val="center"/>
          </w:tcPr>
          <w:p w14:paraId="1757FC09">
            <w:pPr>
              <w:pStyle w:val="23"/>
              <w:jc w:val="center"/>
            </w:pPr>
            <w:r>
              <w:rPr>
                <w:rFonts w:hint="eastAsia"/>
              </w:rPr>
              <w:t>103</w:t>
            </w:r>
          </w:p>
        </w:tc>
        <w:tc>
          <w:tcPr>
            <w:tcW w:w="281" w:type="pct"/>
            <w:vMerge w:val="continue"/>
            <w:tcBorders>
              <w:tl2br w:val="nil"/>
              <w:tr2bl w:val="nil"/>
            </w:tcBorders>
            <w:noWrap/>
            <w:tcMar>
              <w:top w:w="57" w:type="dxa"/>
              <w:left w:w="57" w:type="dxa"/>
              <w:bottom w:w="57" w:type="dxa"/>
              <w:right w:w="57" w:type="dxa"/>
            </w:tcMar>
            <w:vAlign w:val="center"/>
          </w:tcPr>
          <w:p w14:paraId="256CA170">
            <w:pPr>
              <w:pStyle w:val="23"/>
              <w:jc w:val="center"/>
            </w:pPr>
          </w:p>
        </w:tc>
        <w:tc>
          <w:tcPr>
            <w:tcW w:w="2971" w:type="pct"/>
            <w:tcBorders>
              <w:tl2br w:val="nil"/>
              <w:tr2bl w:val="nil"/>
            </w:tcBorders>
            <w:tcMar>
              <w:top w:w="57" w:type="dxa"/>
              <w:left w:w="57" w:type="dxa"/>
              <w:bottom w:w="57" w:type="dxa"/>
              <w:right w:w="57" w:type="dxa"/>
            </w:tcMar>
            <w:vAlign w:val="center"/>
          </w:tcPr>
          <w:p w14:paraId="537A1A0E">
            <w:pPr>
              <w:pStyle w:val="23"/>
            </w:pPr>
            <w:r>
              <w:rPr>
                <w:rFonts w:hint="eastAsia"/>
              </w:rPr>
              <w:t>在政府采购领域推行手机CA证书的应用，替代传统CA数字证书，供应商仅凭手机CA证书，即可在线完成政府采购电子交易系统的登录、电子签章、文件加解密等操作。</w:t>
            </w:r>
          </w:p>
        </w:tc>
        <w:tc>
          <w:tcPr>
            <w:tcW w:w="1481" w:type="pct"/>
            <w:tcBorders>
              <w:tl2br w:val="nil"/>
              <w:tr2bl w:val="nil"/>
            </w:tcBorders>
            <w:tcMar>
              <w:top w:w="57" w:type="dxa"/>
              <w:left w:w="57" w:type="dxa"/>
              <w:bottom w:w="57" w:type="dxa"/>
              <w:right w:w="57" w:type="dxa"/>
            </w:tcMar>
            <w:vAlign w:val="center"/>
          </w:tcPr>
          <w:p w14:paraId="0E467929">
            <w:pPr>
              <w:pStyle w:val="23"/>
            </w:pPr>
            <w:r>
              <w:rPr>
                <w:rFonts w:hint="eastAsia"/>
              </w:rPr>
              <w:t>2022年8月23日，《关于进一步加大政府采购支持中小微企业发展若干措施的通知》（鄂州财采发〔2022〕280号）</w:t>
            </w:r>
          </w:p>
        </w:tc>
      </w:tr>
      <w:tr w14:paraId="5DB7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265" w:type="pct"/>
            <w:tcBorders>
              <w:tl2br w:val="nil"/>
              <w:tr2bl w:val="nil"/>
            </w:tcBorders>
            <w:tcMar>
              <w:top w:w="57" w:type="dxa"/>
              <w:left w:w="57" w:type="dxa"/>
              <w:bottom w:w="57" w:type="dxa"/>
              <w:right w:w="57" w:type="dxa"/>
            </w:tcMar>
            <w:vAlign w:val="center"/>
          </w:tcPr>
          <w:p w14:paraId="3FB3726F">
            <w:pPr>
              <w:pStyle w:val="23"/>
              <w:jc w:val="center"/>
            </w:pPr>
            <w:r>
              <w:rPr>
                <w:rFonts w:hint="eastAsia"/>
              </w:rPr>
              <w:t>104</w:t>
            </w:r>
          </w:p>
        </w:tc>
        <w:tc>
          <w:tcPr>
            <w:tcW w:w="281" w:type="pct"/>
            <w:vMerge w:val="continue"/>
            <w:tcBorders>
              <w:tl2br w:val="nil"/>
              <w:tr2bl w:val="nil"/>
            </w:tcBorders>
            <w:noWrap/>
            <w:tcMar>
              <w:top w:w="57" w:type="dxa"/>
              <w:left w:w="57" w:type="dxa"/>
              <w:bottom w:w="57" w:type="dxa"/>
              <w:right w:w="57" w:type="dxa"/>
            </w:tcMar>
            <w:vAlign w:val="center"/>
          </w:tcPr>
          <w:p w14:paraId="6239F2F9">
            <w:pPr>
              <w:pStyle w:val="23"/>
              <w:jc w:val="center"/>
            </w:pPr>
          </w:p>
        </w:tc>
        <w:tc>
          <w:tcPr>
            <w:tcW w:w="2971" w:type="pct"/>
            <w:tcBorders>
              <w:tl2br w:val="nil"/>
              <w:tr2bl w:val="nil"/>
            </w:tcBorders>
            <w:tcMar>
              <w:top w:w="57" w:type="dxa"/>
              <w:left w:w="57" w:type="dxa"/>
              <w:bottom w:w="57" w:type="dxa"/>
              <w:right w:w="57" w:type="dxa"/>
            </w:tcMar>
            <w:vAlign w:val="center"/>
          </w:tcPr>
          <w:p w14:paraId="642B34D0">
            <w:pPr>
              <w:pStyle w:val="23"/>
            </w:pPr>
            <w:r>
              <w:rPr>
                <w:rFonts w:hint="eastAsia"/>
              </w:rPr>
              <w:t>对排污单位提出的排污许可证延续申请事项实行告知承诺制，以排污许可证核发部门清楚告知、企业和群众诚信守诺为重点，加强事中事后监管。</w:t>
            </w:r>
          </w:p>
        </w:tc>
        <w:tc>
          <w:tcPr>
            <w:tcW w:w="1481" w:type="pct"/>
            <w:tcBorders>
              <w:tl2br w:val="nil"/>
              <w:tr2bl w:val="nil"/>
            </w:tcBorders>
            <w:tcMar>
              <w:top w:w="57" w:type="dxa"/>
              <w:left w:w="57" w:type="dxa"/>
              <w:bottom w:w="57" w:type="dxa"/>
              <w:right w:w="57" w:type="dxa"/>
            </w:tcMar>
            <w:vAlign w:val="center"/>
          </w:tcPr>
          <w:p w14:paraId="68960127">
            <w:pPr>
              <w:pStyle w:val="23"/>
            </w:pPr>
            <w:r>
              <w:rPr>
                <w:rFonts w:hint="eastAsia"/>
              </w:rPr>
              <w:t>2022年8月30日，《鄂州市生态环境局办公室关于印发&lt;鄂州市排污许可证延续实行告知承诺制实施方案&gt;的通知》</w:t>
            </w:r>
          </w:p>
        </w:tc>
      </w:tr>
      <w:tr w14:paraId="562C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5" w:type="pct"/>
            <w:tcBorders>
              <w:tl2br w:val="nil"/>
              <w:tr2bl w:val="nil"/>
            </w:tcBorders>
            <w:tcMar>
              <w:top w:w="57" w:type="dxa"/>
              <w:left w:w="57" w:type="dxa"/>
              <w:bottom w:w="57" w:type="dxa"/>
              <w:right w:w="57" w:type="dxa"/>
            </w:tcMar>
            <w:vAlign w:val="center"/>
          </w:tcPr>
          <w:p w14:paraId="54E3F916">
            <w:pPr>
              <w:pStyle w:val="23"/>
              <w:jc w:val="center"/>
            </w:pPr>
            <w:r>
              <w:rPr>
                <w:rFonts w:hint="eastAsia"/>
              </w:rPr>
              <w:t>105</w:t>
            </w:r>
          </w:p>
        </w:tc>
        <w:tc>
          <w:tcPr>
            <w:tcW w:w="281" w:type="pct"/>
            <w:vMerge w:val="continue"/>
            <w:tcBorders>
              <w:tl2br w:val="nil"/>
              <w:tr2bl w:val="nil"/>
            </w:tcBorders>
            <w:noWrap/>
            <w:tcMar>
              <w:top w:w="57" w:type="dxa"/>
              <w:left w:w="57" w:type="dxa"/>
              <w:bottom w:w="57" w:type="dxa"/>
              <w:right w:w="57" w:type="dxa"/>
            </w:tcMar>
            <w:vAlign w:val="center"/>
          </w:tcPr>
          <w:p w14:paraId="48D792E3">
            <w:pPr>
              <w:pStyle w:val="23"/>
              <w:jc w:val="center"/>
            </w:pPr>
          </w:p>
        </w:tc>
        <w:tc>
          <w:tcPr>
            <w:tcW w:w="2971" w:type="pct"/>
            <w:tcBorders>
              <w:tl2br w:val="nil"/>
              <w:tr2bl w:val="nil"/>
            </w:tcBorders>
            <w:tcMar>
              <w:top w:w="57" w:type="dxa"/>
              <w:left w:w="57" w:type="dxa"/>
              <w:bottom w:w="57" w:type="dxa"/>
              <w:right w:w="57" w:type="dxa"/>
            </w:tcMar>
            <w:vAlign w:val="center"/>
          </w:tcPr>
          <w:p w14:paraId="112AFCC3">
            <w:pPr>
              <w:pStyle w:val="23"/>
            </w:pPr>
            <w:r>
              <w:rPr>
                <w:rFonts w:hint="eastAsia"/>
              </w:rPr>
              <w:t>1.建筑面积不超过5000平方米的社会投资简易低风险项目实行“清单制+告知承诺制”办理。企业在土地出让合同签订后，仅需办理建设项目备案、用地规划许可证、建设工程规划许可证、建筑工程施工许可证、规划条件核实、消防备案、建设工程城建档案验收（实行告知承诺制）、不动产初始登记8个审批事项。</w:t>
            </w:r>
          </w:p>
          <w:p w14:paraId="392F86B4">
            <w:pPr>
              <w:pStyle w:val="23"/>
            </w:pPr>
            <w:r>
              <w:rPr>
                <w:rFonts w:hint="eastAsia"/>
              </w:rPr>
              <w:t>2.建筑面积不超过 20000 平方米的社会投资一般类工业建设项目推行告知承诺制、“三证同发”的审批监管模式。企业在签订土地出让合同后，仅需办理建设项目备案、用地规划许可证、建设工程规划许可证、建筑工程施工许可证、城镇污水排入排水管网许可、建筑垃圾处置核准、规划条件核实、消防备案、建设工程城建档案验收（实行告知承诺制）、不动产初始登记10个审批事项。</w:t>
            </w:r>
          </w:p>
        </w:tc>
        <w:tc>
          <w:tcPr>
            <w:tcW w:w="1481" w:type="pct"/>
            <w:tcBorders>
              <w:tl2br w:val="nil"/>
              <w:tr2bl w:val="nil"/>
            </w:tcBorders>
            <w:tcMar>
              <w:top w:w="57" w:type="dxa"/>
              <w:left w:w="57" w:type="dxa"/>
              <w:bottom w:w="57" w:type="dxa"/>
              <w:right w:w="57" w:type="dxa"/>
            </w:tcMar>
            <w:vAlign w:val="center"/>
          </w:tcPr>
          <w:p w14:paraId="6F4F7444">
            <w:pPr>
              <w:pStyle w:val="23"/>
            </w:pPr>
            <w:r>
              <w:rPr>
                <w:rFonts w:hint="eastAsia"/>
              </w:rPr>
              <w:t>2023年6月19日,《关于优化社会投资简易低风险项目和社会投资一般类工业项目审批手续的通知》（鄂州工改办〔2023〕30号）</w:t>
            </w:r>
          </w:p>
        </w:tc>
      </w:tr>
      <w:tr w14:paraId="24D8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5" w:type="pct"/>
            <w:tcBorders>
              <w:tl2br w:val="nil"/>
              <w:tr2bl w:val="nil"/>
            </w:tcBorders>
            <w:tcMar>
              <w:top w:w="57" w:type="dxa"/>
              <w:left w:w="57" w:type="dxa"/>
              <w:bottom w:w="57" w:type="dxa"/>
              <w:right w:w="57" w:type="dxa"/>
            </w:tcMar>
            <w:vAlign w:val="center"/>
          </w:tcPr>
          <w:p w14:paraId="7A19042F">
            <w:pPr>
              <w:pStyle w:val="23"/>
              <w:jc w:val="center"/>
            </w:pPr>
            <w:r>
              <w:rPr>
                <w:rFonts w:hint="eastAsia"/>
              </w:rPr>
              <w:t>106</w:t>
            </w:r>
          </w:p>
        </w:tc>
        <w:tc>
          <w:tcPr>
            <w:tcW w:w="281" w:type="pct"/>
            <w:vMerge w:val="continue"/>
            <w:tcBorders>
              <w:tl2br w:val="nil"/>
              <w:tr2bl w:val="nil"/>
            </w:tcBorders>
            <w:noWrap/>
            <w:tcMar>
              <w:top w:w="57" w:type="dxa"/>
              <w:left w:w="57" w:type="dxa"/>
              <w:bottom w:w="57" w:type="dxa"/>
              <w:right w:w="57" w:type="dxa"/>
            </w:tcMar>
            <w:vAlign w:val="center"/>
          </w:tcPr>
          <w:p w14:paraId="2CC2868C">
            <w:pPr>
              <w:pStyle w:val="23"/>
              <w:jc w:val="center"/>
            </w:pPr>
          </w:p>
        </w:tc>
        <w:tc>
          <w:tcPr>
            <w:tcW w:w="2971" w:type="pct"/>
            <w:tcBorders>
              <w:tl2br w:val="nil"/>
              <w:tr2bl w:val="nil"/>
            </w:tcBorders>
            <w:tcMar>
              <w:top w:w="57" w:type="dxa"/>
              <w:left w:w="57" w:type="dxa"/>
              <w:bottom w:w="57" w:type="dxa"/>
              <w:right w:w="57" w:type="dxa"/>
            </w:tcMar>
            <w:vAlign w:val="center"/>
          </w:tcPr>
          <w:p w14:paraId="3DB06BEC">
            <w:pPr>
              <w:pStyle w:val="23"/>
            </w:pPr>
            <w:r>
              <w:rPr>
                <w:rFonts w:hint="eastAsia"/>
              </w:rPr>
              <w:t>不再将施工图审查合格书作为办理施工许可证的前置条件。对于低风险建设工程免审，对一般建设工程实施施工图审查后置，以《一般建设工程施工图审查后置承诺书》代替施工图审查合格书办理施工许可，对特殊建设工程施工图审查后置，以《施工图审查合同》和《特殊建设工程施工图审查后置承诺书》代替施工图审查合格书办理施工许可。</w:t>
            </w:r>
          </w:p>
        </w:tc>
        <w:tc>
          <w:tcPr>
            <w:tcW w:w="1481" w:type="pct"/>
            <w:tcBorders>
              <w:tl2br w:val="nil"/>
              <w:tr2bl w:val="nil"/>
            </w:tcBorders>
            <w:tcMar>
              <w:top w:w="57" w:type="dxa"/>
              <w:left w:w="57" w:type="dxa"/>
              <w:bottom w:w="57" w:type="dxa"/>
              <w:right w:w="57" w:type="dxa"/>
            </w:tcMar>
            <w:vAlign w:val="center"/>
          </w:tcPr>
          <w:p w14:paraId="34290604">
            <w:pPr>
              <w:pStyle w:val="23"/>
            </w:pPr>
            <w:r>
              <w:rPr>
                <w:rFonts w:hint="eastAsia"/>
              </w:rPr>
              <w:t>2023年3月7日，《关于印发&lt;缩小施工图审查范围改革（房屋建筑及市政基础设施工程施工图审查后置）实施方案&gt;的通知》（鄂州建办发〔2023〕15号）</w:t>
            </w:r>
          </w:p>
        </w:tc>
      </w:tr>
      <w:tr w14:paraId="43A2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5" w:type="pct"/>
            <w:tcBorders>
              <w:tl2br w:val="nil"/>
              <w:tr2bl w:val="nil"/>
            </w:tcBorders>
            <w:tcMar>
              <w:top w:w="57" w:type="dxa"/>
              <w:left w:w="57" w:type="dxa"/>
              <w:bottom w:w="57" w:type="dxa"/>
              <w:right w:w="57" w:type="dxa"/>
            </w:tcMar>
            <w:vAlign w:val="center"/>
          </w:tcPr>
          <w:p w14:paraId="23A56375">
            <w:pPr>
              <w:pStyle w:val="23"/>
              <w:jc w:val="center"/>
            </w:pPr>
            <w:r>
              <w:rPr>
                <w:rFonts w:hint="eastAsia"/>
              </w:rPr>
              <w:t>107</w:t>
            </w:r>
          </w:p>
        </w:tc>
        <w:tc>
          <w:tcPr>
            <w:tcW w:w="281" w:type="pct"/>
            <w:vMerge w:val="continue"/>
            <w:tcBorders>
              <w:tl2br w:val="nil"/>
              <w:tr2bl w:val="nil"/>
            </w:tcBorders>
            <w:noWrap/>
            <w:tcMar>
              <w:top w:w="57" w:type="dxa"/>
              <w:left w:w="57" w:type="dxa"/>
              <w:bottom w:w="57" w:type="dxa"/>
              <w:right w:w="57" w:type="dxa"/>
            </w:tcMar>
            <w:vAlign w:val="center"/>
          </w:tcPr>
          <w:p w14:paraId="1AE547AA">
            <w:pPr>
              <w:pStyle w:val="23"/>
              <w:jc w:val="center"/>
            </w:pPr>
          </w:p>
        </w:tc>
        <w:tc>
          <w:tcPr>
            <w:tcW w:w="2971" w:type="pct"/>
            <w:tcBorders>
              <w:tl2br w:val="nil"/>
              <w:tr2bl w:val="nil"/>
            </w:tcBorders>
            <w:tcMar>
              <w:top w:w="57" w:type="dxa"/>
              <w:left w:w="57" w:type="dxa"/>
              <w:bottom w:w="57" w:type="dxa"/>
              <w:right w:w="57" w:type="dxa"/>
            </w:tcMar>
            <w:vAlign w:val="center"/>
          </w:tcPr>
          <w:p w14:paraId="68FAF529">
            <w:pPr>
              <w:pStyle w:val="23"/>
            </w:pPr>
            <w:r>
              <w:rPr>
                <w:rFonts w:hint="eastAsia"/>
              </w:rPr>
              <w:t>推行“一照（证）多址”改革。除直接涉及公共安全和人民群众生命健康的行业外，对于市场主体在住所以外开展经营活动、属于同一登记机关管辖的，允许在营业执照（许可证）上加载新设立住所（经营场所）的地址，免于分支机构登记，实行“一张营业执照（许可证）、多个经营地址”。</w:t>
            </w:r>
          </w:p>
        </w:tc>
        <w:tc>
          <w:tcPr>
            <w:tcW w:w="1481" w:type="pct"/>
            <w:vMerge w:val="restart"/>
            <w:tcBorders>
              <w:tl2br w:val="nil"/>
              <w:tr2bl w:val="nil"/>
            </w:tcBorders>
            <w:tcMar>
              <w:top w:w="57" w:type="dxa"/>
              <w:left w:w="57" w:type="dxa"/>
              <w:bottom w:w="57" w:type="dxa"/>
              <w:right w:w="57" w:type="dxa"/>
            </w:tcMar>
            <w:vAlign w:val="center"/>
          </w:tcPr>
          <w:p w14:paraId="7E9C0CC5">
            <w:pPr>
              <w:pStyle w:val="23"/>
            </w:pPr>
            <w:r>
              <w:rPr>
                <w:rFonts w:hint="eastAsia"/>
              </w:rPr>
              <w:t>2023年3月8日，《市市场监管局关于印发以控制成本为核心优化营商环境激发市场主体活力若干措施的通知》（鄂州市监〔2023〕15号）</w:t>
            </w:r>
          </w:p>
        </w:tc>
      </w:tr>
      <w:tr w14:paraId="1D9E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5" w:type="pct"/>
            <w:tcBorders>
              <w:tl2br w:val="nil"/>
              <w:tr2bl w:val="nil"/>
            </w:tcBorders>
            <w:tcMar>
              <w:top w:w="57" w:type="dxa"/>
              <w:left w:w="57" w:type="dxa"/>
              <w:bottom w:w="57" w:type="dxa"/>
              <w:right w:w="57" w:type="dxa"/>
            </w:tcMar>
            <w:vAlign w:val="center"/>
          </w:tcPr>
          <w:p w14:paraId="573E1C75">
            <w:pPr>
              <w:pStyle w:val="23"/>
              <w:jc w:val="center"/>
            </w:pPr>
            <w:r>
              <w:rPr>
                <w:rFonts w:hint="eastAsia"/>
              </w:rPr>
              <w:t>108</w:t>
            </w:r>
          </w:p>
        </w:tc>
        <w:tc>
          <w:tcPr>
            <w:tcW w:w="281" w:type="pct"/>
            <w:vMerge w:val="continue"/>
            <w:tcBorders>
              <w:tl2br w:val="nil"/>
              <w:tr2bl w:val="nil"/>
            </w:tcBorders>
            <w:noWrap/>
            <w:tcMar>
              <w:top w:w="57" w:type="dxa"/>
              <w:left w:w="57" w:type="dxa"/>
              <w:bottom w:w="57" w:type="dxa"/>
              <w:right w:w="57" w:type="dxa"/>
            </w:tcMar>
            <w:vAlign w:val="center"/>
          </w:tcPr>
          <w:p w14:paraId="04D69D8F">
            <w:pPr>
              <w:pStyle w:val="23"/>
              <w:jc w:val="center"/>
            </w:pPr>
          </w:p>
        </w:tc>
        <w:tc>
          <w:tcPr>
            <w:tcW w:w="2971" w:type="pct"/>
            <w:tcBorders>
              <w:tl2br w:val="nil"/>
              <w:tr2bl w:val="nil"/>
            </w:tcBorders>
            <w:tcMar>
              <w:top w:w="57" w:type="dxa"/>
              <w:left w:w="57" w:type="dxa"/>
              <w:bottom w:w="57" w:type="dxa"/>
              <w:right w:w="57" w:type="dxa"/>
            </w:tcMar>
            <w:vAlign w:val="center"/>
          </w:tcPr>
          <w:p w14:paraId="38671D63">
            <w:pPr>
              <w:pStyle w:val="23"/>
            </w:pPr>
            <w:r>
              <w:rPr>
                <w:rFonts w:hint="eastAsia"/>
              </w:rPr>
              <w:t>实现涉及市场监管、社保、税务、海关等事项年度报告“一次填报”，依法依规共享市场主体年度报告相关信息。</w:t>
            </w:r>
          </w:p>
        </w:tc>
        <w:tc>
          <w:tcPr>
            <w:tcW w:w="1481" w:type="pct"/>
            <w:vMerge w:val="continue"/>
            <w:tcBorders>
              <w:tl2br w:val="nil"/>
              <w:tr2bl w:val="nil"/>
            </w:tcBorders>
            <w:tcMar>
              <w:top w:w="57" w:type="dxa"/>
              <w:left w:w="57" w:type="dxa"/>
              <w:bottom w:w="57" w:type="dxa"/>
              <w:right w:w="57" w:type="dxa"/>
            </w:tcMar>
            <w:vAlign w:val="center"/>
          </w:tcPr>
          <w:p w14:paraId="66DF3FC5">
            <w:pPr>
              <w:pStyle w:val="23"/>
            </w:pPr>
          </w:p>
        </w:tc>
      </w:tr>
      <w:tr w14:paraId="7756C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5" w:type="pct"/>
            <w:tcBorders>
              <w:tl2br w:val="nil"/>
              <w:tr2bl w:val="nil"/>
            </w:tcBorders>
            <w:tcMar>
              <w:top w:w="57" w:type="dxa"/>
              <w:left w:w="57" w:type="dxa"/>
              <w:bottom w:w="57" w:type="dxa"/>
              <w:right w:w="57" w:type="dxa"/>
            </w:tcMar>
            <w:vAlign w:val="center"/>
          </w:tcPr>
          <w:p w14:paraId="5F4EB472">
            <w:pPr>
              <w:pStyle w:val="23"/>
              <w:jc w:val="center"/>
            </w:pPr>
            <w:r>
              <w:rPr>
                <w:rFonts w:hint="eastAsia"/>
              </w:rPr>
              <w:t>109</w:t>
            </w:r>
          </w:p>
        </w:tc>
        <w:tc>
          <w:tcPr>
            <w:tcW w:w="281" w:type="pct"/>
            <w:vMerge w:val="continue"/>
            <w:tcBorders>
              <w:tl2br w:val="nil"/>
              <w:tr2bl w:val="nil"/>
            </w:tcBorders>
            <w:noWrap/>
            <w:tcMar>
              <w:top w:w="57" w:type="dxa"/>
              <w:left w:w="57" w:type="dxa"/>
              <w:bottom w:w="57" w:type="dxa"/>
              <w:right w:w="57" w:type="dxa"/>
            </w:tcMar>
            <w:vAlign w:val="center"/>
          </w:tcPr>
          <w:p w14:paraId="696D6A7B">
            <w:pPr>
              <w:pStyle w:val="23"/>
              <w:jc w:val="center"/>
            </w:pPr>
          </w:p>
        </w:tc>
        <w:tc>
          <w:tcPr>
            <w:tcW w:w="2971" w:type="pct"/>
            <w:tcBorders>
              <w:tl2br w:val="nil"/>
              <w:tr2bl w:val="nil"/>
            </w:tcBorders>
            <w:tcMar>
              <w:top w:w="57" w:type="dxa"/>
              <w:left w:w="57" w:type="dxa"/>
              <w:bottom w:w="57" w:type="dxa"/>
              <w:right w:w="57" w:type="dxa"/>
            </w:tcMar>
            <w:vAlign w:val="center"/>
          </w:tcPr>
          <w:p w14:paraId="259ACE32">
            <w:pPr>
              <w:pStyle w:val="23"/>
            </w:pPr>
            <w:r>
              <w:rPr>
                <w:rFonts w:hint="eastAsia"/>
              </w:rPr>
              <w:t>推行企业开办“1050”标准。实行企业开办“1个环节、0.5天办结、零费用”，企业自主申报名称后，即时办结设立登记，0.5天完成开办企业。</w:t>
            </w:r>
          </w:p>
        </w:tc>
        <w:tc>
          <w:tcPr>
            <w:tcW w:w="1481" w:type="pct"/>
            <w:vMerge w:val="restart"/>
            <w:tcBorders>
              <w:tl2br w:val="nil"/>
              <w:tr2bl w:val="nil"/>
            </w:tcBorders>
            <w:tcMar>
              <w:top w:w="57" w:type="dxa"/>
              <w:left w:w="57" w:type="dxa"/>
              <w:bottom w:w="57" w:type="dxa"/>
              <w:right w:w="57" w:type="dxa"/>
            </w:tcMar>
            <w:vAlign w:val="center"/>
          </w:tcPr>
          <w:p w14:paraId="3EE52204">
            <w:pPr>
              <w:pStyle w:val="23"/>
            </w:pPr>
            <w:r>
              <w:rPr>
                <w:rFonts w:hint="eastAsia"/>
              </w:rPr>
              <w:t>2023年4月18日，《中共鄂州市委  鄂州市人民政府关于印发&lt;鄂州市以控制成本为核心优化营商环境行动方案&gt;的通知》（鄂州发〔2023〕5号）</w:t>
            </w:r>
          </w:p>
        </w:tc>
      </w:tr>
      <w:tr w14:paraId="4E6E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5" w:type="pct"/>
            <w:tcBorders>
              <w:tl2br w:val="nil"/>
              <w:tr2bl w:val="nil"/>
            </w:tcBorders>
            <w:tcMar>
              <w:top w:w="57" w:type="dxa"/>
              <w:left w:w="57" w:type="dxa"/>
              <w:bottom w:w="57" w:type="dxa"/>
              <w:right w:w="57" w:type="dxa"/>
            </w:tcMar>
            <w:vAlign w:val="center"/>
          </w:tcPr>
          <w:p w14:paraId="56793A27">
            <w:pPr>
              <w:pStyle w:val="23"/>
              <w:jc w:val="center"/>
            </w:pPr>
            <w:r>
              <w:rPr>
                <w:rFonts w:hint="eastAsia"/>
              </w:rPr>
              <w:t>110</w:t>
            </w:r>
          </w:p>
        </w:tc>
        <w:tc>
          <w:tcPr>
            <w:tcW w:w="281" w:type="pct"/>
            <w:vMerge w:val="continue"/>
            <w:tcBorders>
              <w:tl2br w:val="nil"/>
              <w:tr2bl w:val="nil"/>
            </w:tcBorders>
            <w:noWrap/>
            <w:tcMar>
              <w:top w:w="57" w:type="dxa"/>
              <w:left w:w="57" w:type="dxa"/>
              <w:bottom w:w="57" w:type="dxa"/>
              <w:right w:w="57" w:type="dxa"/>
            </w:tcMar>
            <w:vAlign w:val="center"/>
          </w:tcPr>
          <w:p w14:paraId="03B8C942">
            <w:pPr>
              <w:pStyle w:val="23"/>
              <w:jc w:val="center"/>
            </w:pPr>
          </w:p>
        </w:tc>
        <w:tc>
          <w:tcPr>
            <w:tcW w:w="2971" w:type="pct"/>
            <w:tcBorders>
              <w:tl2br w:val="nil"/>
              <w:tr2bl w:val="nil"/>
            </w:tcBorders>
            <w:noWrap/>
            <w:tcMar>
              <w:top w:w="57" w:type="dxa"/>
              <w:left w:w="57" w:type="dxa"/>
              <w:bottom w:w="57" w:type="dxa"/>
              <w:right w:w="57" w:type="dxa"/>
            </w:tcMar>
            <w:vAlign w:val="center"/>
          </w:tcPr>
          <w:p w14:paraId="630D8958">
            <w:pPr>
              <w:pStyle w:val="23"/>
            </w:pPr>
            <w:r>
              <w:rPr>
                <w:rFonts w:hint="eastAsia"/>
              </w:rPr>
              <w:t>推行“联合验收、多验合一”，验收时限压缩至3个工作日内。</w:t>
            </w:r>
          </w:p>
        </w:tc>
        <w:tc>
          <w:tcPr>
            <w:tcW w:w="1481" w:type="pct"/>
            <w:vMerge w:val="continue"/>
            <w:tcBorders>
              <w:tl2br w:val="nil"/>
              <w:tr2bl w:val="nil"/>
            </w:tcBorders>
            <w:tcMar>
              <w:top w:w="57" w:type="dxa"/>
              <w:left w:w="57" w:type="dxa"/>
              <w:bottom w:w="57" w:type="dxa"/>
              <w:right w:w="57" w:type="dxa"/>
            </w:tcMar>
            <w:vAlign w:val="center"/>
          </w:tcPr>
          <w:p w14:paraId="195AE0CB">
            <w:pPr>
              <w:pStyle w:val="23"/>
            </w:pPr>
          </w:p>
        </w:tc>
      </w:tr>
      <w:tr w14:paraId="3A2A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5" w:type="pct"/>
            <w:tcBorders>
              <w:tl2br w:val="nil"/>
              <w:tr2bl w:val="nil"/>
            </w:tcBorders>
            <w:tcMar>
              <w:top w:w="57" w:type="dxa"/>
              <w:left w:w="57" w:type="dxa"/>
              <w:bottom w:w="57" w:type="dxa"/>
              <w:right w:w="57" w:type="dxa"/>
            </w:tcMar>
            <w:vAlign w:val="center"/>
          </w:tcPr>
          <w:p w14:paraId="0244062A">
            <w:pPr>
              <w:pStyle w:val="23"/>
              <w:jc w:val="center"/>
            </w:pPr>
            <w:r>
              <w:rPr>
                <w:rFonts w:hint="eastAsia"/>
              </w:rPr>
              <w:t>111</w:t>
            </w:r>
          </w:p>
        </w:tc>
        <w:tc>
          <w:tcPr>
            <w:tcW w:w="281" w:type="pct"/>
            <w:vMerge w:val="continue"/>
            <w:tcBorders>
              <w:tl2br w:val="nil"/>
              <w:tr2bl w:val="nil"/>
            </w:tcBorders>
            <w:noWrap/>
            <w:tcMar>
              <w:top w:w="57" w:type="dxa"/>
              <w:left w:w="57" w:type="dxa"/>
              <w:bottom w:w="57" w:type="dxa"/>
              <w:right w:w="57" w:type="dxa"/>
            </w:tcMar>
            <w:vAlign w:val="center"/>
          </w:tcPr>
          <w:p w14:paraId="06AD2E50">
            <w:pPr>
              <w:pStyle w:val="23"/>
              <w:jc w:val="center"/>
            </w:pPr>
          </w:p>
        </w:tc>
        <w:tc>
          <w:tcPr>
            <w:tcW w:w="2971" w:type="pct"/>
            <w:tcBorders>
              <w:tl2br w:val="nil"/>
              <w:tr2bl w:val="nil"/>
            </w:tcBorders>
            <w:tcMar>
              <w:top w:w="57" w:type="dxa"/>
              <w:left w:w="57" w:type="dxa"/>
              <w:bottom w:w="57" w:type="dxa"/>
              <w:right w:w="57" w:type="dxa"/>
            </w:tcMar>
            <w:vAlign w:val="center"/>
          </w:tcPr>
          <w:p w14:paraId="3CD65741">
            <w:pPr>
              <w:pStyle w:val="23"/>
            </w:pPr>
            <w:r>
              <w:rPr>
                <w:rFonts w:hint="eastAsia"/>
              </w:rPr>
              <w:t>推动政府投资房屋建筑和城市基础设施项目、社会投资房屋建筑项目、社会投资一般工业类项目、社会投资带方案出让土地类项目、社会投资简易低风险项目的审批时间分别压缩至40、30、20、10、10个工作日内。</w:t>
            </w:r>
          </w:p>
        </w:tc>
        <w:tc>
          <w:tcPr>
            <w:tcW w:w="1481" w:type="pct"/>
            <w:vMerge w:val="continue"/>
            <w:tcBorders>
              <w:tl2br w:val="nil"/>
              <w:tr2bl w:val="nil"/>
            </w:tcBorders>
            <w:tcMar>
              <w:top w:w="57" w:type="dxa"/>
              <w:left w:w="57" w:type="dxa"/>
              <w:bottom w:w="57" w:type="dxa"/>
              <w:right w:w="57" w:type="dxa"/>
            </w:tcMar>
            <w:vAlign w:val="center"/>
          </w:tcPr>
          <w:p w14:paraId="05DE3F2F">
            <w:pPr>
              <w:pStyle w:val="23"/>
            </w:pPr>
          </w:p>
        </w:tc>
      </w:tr>
      <w:tr w14:paraId="5F06D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5" w:type="pct"/>
            <w:tcBorders>
              <w:tl2br w:val="nil"/>
              <w:tr2bl w:val="nil"/>
            </w:tcBorders>
            <w:tcMar>
              <w:top w:w="57" w:type="dxa"/>
              <w:left w:w="57" w:type="dxa"/>
              <w:bottom w:w="57" w:type="dxa"/>
              <w:right w:w="57" w:type="dxa"/>
            </w:tcMar>
            <w:vAlign w:val="center"/>
          </w:tcPr>
          <w:p w14:paraId="120E3E2E">
            <w:pPr>
              <w:pStyle w:val="23"/>
              <w:jc w:val="center"/>
            </w:pPr>
            <w:r>
              <w:rPr>
                <w:rFonts w:hint="eastAsia"/>
              </w:rPr>
              <w:t>112</w:t>
            </w:r>
          </w:p>
        </w:tc>
        <w:tc>
          <w:tcPr>
            <w:tcW w:w="281" w:type="pct"/>
            <w:vMerge w:val="continue"/>
            <w:tcBorders>
              <w:tl2br w:val="nil"/>
              <w:tr2bl w:val="nil"/>
            </w:tcBorders>
            <w:noWrap/>
            <w:tcMar>
              <w:top w:w="57" w:type="dxa"/>
              <w:left w:w="57" w:type="dxa"/>
              <w:bottom w:w="57" w:type="dxa"/>
              <w:right w:w="57" w:type="dxa"/>
            </w:tcMar>
            <w:vAlign w:val="center"/>
          </w:tcPr>
          <w:p w14:paraId="4774289A">
            <w:pPr>
              <w:pStyle w:val="23"/>
              <w:jc w:val="center"/>
            </w:pPr>
          </w:p>
        </w:tc>
        <w:tc>
          <w:tcPr>
            <w:tcW w:w="2971" w:type="pct"/>
            <w:tcBorders>
              <w:tl2br w:val="nil"/>
              <w:tr2bl w:val="nil"/>
            </w:tcBorders>
            <w:tcMar>
              <w:top w:w="57" w:type="dxa"/>
              <w:left w:w="57" w:type="dxa"/>
              <w:bottom w:w="57" w:type="dxa"/>
              <w:right w:w="57" w:type="dxa"/>
            </w:tcMar>
            <w:vAlign w:val="center"/>
          </w:tcPr>
          <w:p w14:paraId="4E467722">
            <w:pPr>
              <w:pStyle w:val="23"/>
            </w:pPr>
            <w:r>
              <w:rPr>
                <w:rFonts w:hint="eastAsia"/>
              </w:rPr>
              <w:t>政府采购合同履行完毕，自收到供应商验收申请后5日内组织履约验收，将收到发票至付款时间压减至20个工作日内。将政府采购投诉案件处理时间压减至15个工作日内。</w:t>
            </w:r>
          </w:p>
        </w:tc>
        <w:tc>
          <w:tcPr>
            <w:tcW w:w="1481" w:type="pct"/>
            <w:vMerge w:val="continue"/>
            <w:tcBorders>
              <w:tl2br w:val="nil"/>
              <w:tr2bl w:val="nil"/>
            </w:tcBorders>
            <w:tcMar>
              <w:top w:w="57" w:type="dxa"/>
              <w:left w:w="57" w:type="dxa"/>
              <w:bottom w:w="57" w:type="dxa"/>
              <w:right w:w="57" w:type="dxa"/>
            </w:tcMar>
            <w:vAlign w:val="center"/>
          </w:tcPr>
          <w:p w14:paraId="00552F5E">
            <w:pPr>
              <w:pStyle w:val="23"/>
            </w:pPr>
          </w:p>
        </w:tc>
      </w:tr>
      <w:tr w14:paraId="59E7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5" w:type="pct"/>
            <w:tcBorders>
              <w:tl2br w:val="nil"/>
              <w:tr2bl w:val="nil"/>
            </w:tcBorders>
            <w:tcMar>
              <w:top w:w="57" w:type="dxa"/>
              <w:left w:w="57" w:type="dxa"/>
              <w:bottom w:w="57" w:type="dxa"/>
              <w:right w:w="57" w:type="dxa"/>
            </w:tcMar>
            <w:vAlign w:val="center"/>
          </w:tcPr>
          <w:p w14:paraId="259B342E">
            <w:pPr>
              <w:pStyle w:val="23"/>
              <w:jc w:val="center"/>
            </w:pPr>
            <w:r>
              <w:rPr>
                <w:rFonts w:hint="eastAsia"/>
              </w:rPr>
              <w:t>113</w:t>
            </w:r>
          </w:p>
        </w:tc>
        <w:tc>
          <w:tcPr>
            <w:tcW w:w="281" w:type="pct"/>
            <w:vMerge w:val="continue"/>
            <w:tcBorders>
              <w:tl2br w:val="nil"/>
              <w:tr2bl w:val="nil"/>
            </w:tcBorders>
            <w:noWrap/>
            <w:tcMar>
              <w:top w:w="57" w:type="dxa"/>
              <w:left w:w="57" w:type="dxa"/>
              <w:bottom w:w="57" w:type="dxa"/>
              <w:right w:w="57" w:type="dxa"/>
            </w:tcMar>
            <w:vAlign w:val="center"/>
          </w:tcPr>
          <w:p w14:paraId="4E2D89D3">
            <w:pPr>
              <w:pStyle w:val="23"/>
              <w:jc w:val="center"/>
            </w:pPr>
          </w:p>
        </w:tc>
        <w:tc>
          <w:tcPr>
            <w:tcW w:w="2971" w:type="pct"/>
            <w:tcBorders>
              <w:tl2br w:val="nil"/>
              <w:tr2bl w:val="nil"/>
            </w:tcBorders>
            <w:tcMar>
              <w:top w:w="57" w:type="dxa"/>
              <w:left w:w="57" w:type="dxa"/>
              <w:bottom w:w="57" w:type="dxa"/>
              <w:right w:w="57" w:type="dxa"/>
            </w:tcMar>
            <w:vAlign w:val="center"/>
          </w:tcPr>
          <w:p w14:paraId="440D3792">
            <w:pPr>
              <w:pStyle w:val="23"/>
            </w:pPr>
            <w:r>
              <w:rPr>
                <w:rFonts w:hint="eastAsia"/>
              </w:rPr>
              <w:t>推动全市依申请政务服务事项和公共服务事项可网办率达100%，提升“零跑动”事项比例至100%，推动“跨省通办”高频服务事项超140项。持续扩大电子证照应用范围，实现电子证照实时生成率达100%。</w:t>
            </w:r>
          </w:p>
        </w:tc>
        <w:tc>
          <w:tcPr>
            <w:tcW w:w="1481" w:type="pct"/>
            <w:vMerge w:val="continue"/>
            <w:tcBorders>
              <w:tl2br w:val="nil"/>
              <w:tr2bl w:val="nil"/>
            </w:tcBorders>
            <w:tcMar>
              <w:top w:w="57" w:type="dxa"/>
              <w:left w:w="57" w:type="dxa"/>
              <w:bottom w:w="57" w:type="dxa"/>
              <w:right w:w="57" w:type="dxa"/>
            </w:tcMar>
            <w:vAlign w:val="center"/>
          </w:tcPr>
          <w:p w14:paraId="4A19C6A9">
            <w:pPr>
              <w:pStyle w:val="23"/>
            </w:pPr>
          </w:p>
        </w:tc>
      </w:tr>
      <w:tr w14:paraId="4829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5" w:type="pct"/>
            <w:tcBorders>
              <w:tl2br w:val="nil"/>
              <w:tr2bl w:val="nil"/>
            </w:tcBorders>
            <w:tcMar>
              <w:top w:w="57" w:type="dxa"/>
              <w:left w:w="57" w:type="dxa"/>
              <w:bottom w:w="57" w:type="dxa"/>
              <w:right w:w="57" w:type="dxa"/>
            </w:tcMar>
            <w:vAlign w:val="center"/>
          </w:tcPr>
          <w:p w14:paraId="14C71F0C">
            <w:pPr>
              <w:pStyle w:val="23"/>
              <w:jc w:val="center"/>
            </w:pPr>
            <w:r>
              <w:rPr>
                <w:rFonts w:hint="eastAsia"/>
              </w:rPr>
              <w:t>114</w:t>
            </w:r>
          </w:p>
        </w:tc>
        <w:tc>
          <w:tcPr>
            <w:tcW w:w="281" w:type="pct"/>
            <w:vMerge w:val="continue"/>
            <w:tcBorders>
              <w:tl2br w:val="nil"/>
              <w:tr2bl w:val="nil"/>
            </w:tcBorders>
            <w:noWrap/>
            <w:tcMar>
              <w:top w:w="57" w:type="dxa"/>
              <w:left w:w="57" w:type="dxa"/>
              <w:bottom w:w="57" w:type="dxa"/>
              <w:right w:w="57" w:type="dxa"/>
            </w:tcMar>
            <w:vAlign w:val="center"/>
          </w:tcPr>
          <w:p w14:paraId="35FEBE6A">
            <w:pPr>
              <w:pStyle w:val="23"/>
              <w:jc w:val="center"/>
            </w:pPr>
          </w:p>
        </w:tc>
        <w:tc>
          <w:tcPr>
            <w:tcW w:w="2971" w:type="pct"/>
            <w:tcBorders>
              <w:tl2br w:val="nil"/>
              <w:tr2bl w:val="nil"/>
            </w:tcBorders>
            <w:tcMar>
              <w:top w:w="57" w:type="dxa"/>
              <w:left w:w="57" w:type="dxa"/>
              <w:bottom w:w="57" w:type="dxa"/>
              <w:right w:w="57" w:type="dxa"/>
            </w:tcMar>
            <w:vAlign w:val="center"/>
          </w:tcPr>
          <w:p w14:paraId="08DBC50C">
            <w:pPr>
              <w:pStyle w:val="23"/>
            </w:pPr>
            <w:r>
              <w:rPr>
                <w:rFonts w:hint="eastAsia"/>
              </w:rPr>
              <w:t>探索建立“容缺快办”平台，实现非即办事项10分钟即办率达到80%，1小时内即办率达到100%。搭建远程视频连线平台，实现90%以上业务“不见面”办理。创新税务登记前置服务，实现包括税务登记等13 项业务30分钟内全部办结。转变税收征管方式，实现办税事项“立等可取”。</w:t>
            </w:r>
          </w:p>
        </w:tc>
        <w:tc>
          <w:tcPr>
            <w:tcW w:w="1481" w:type="pct"/>
            <w:vMerge w:val="continue"/>
            <w:tcBorders>
              <w:tl2br w:val="nil"/>
              <w:tr2bl w:val="nil"/>
            </w:tcBorders>
            <w:tcMar>
              <w:top w:w="57" w:type="dxa"/>
              <w:left w:w="57" w:type="dxa"/>
              <w:bottom w:w="57" w:type="dxa"/>
              <w:right w:w="57" w:type="dxa"/>
            </w:tcMar>
            <w:vAlign w:val="center"/>
          </w:tcPr>
          <w:p w14:paraId="72231D58">
            <w:pPr>
              <w:pStyle w:val="23"/>
            </w:pPr>
          </w:p>
        </w:tc>
      </w:tr>
      <w:tr w14:paraId="6745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265" w:type="pct"/>
            <w:tcBorders>
              <w:tl2br w:val="nil"/>
              <w:tr2bl w:val="nil"/>
            </w:tcBorders>
            <w:tcMar>
              <w:top w:w="57" w:type="dxa"/>
              <w:left w:w="57" w:type="dxa"/>
              <w:bottom w:w="57" w:type="dxa"/>
              <w:right w:w="57" w:type="dxa"/>
            </w:tcMar>
            <w:vAlign w:val="center"/>
          </w:tcPr>
          <w:p w14:paraId="0463D6B8">
            <w:pPr>
              <w:pStyle w:val="23"/>
              <w:jc w:val="center"/>
            </w:pPr>
            <w:r>
              <w:rPr>
                <w:rFonts w:hint="eastAsia"/>
              </w:rPr>
              <w:t>115</w:t>
            </w:r>
          </w:p>
        </w:tc>
        <w:tc>
          <w:tcPr>
            <w:tcW w:w="281" w:type="pct"/>
            <w:vMerge w:val="continue"/>
            <w:tcBorders>
              <w:tl2br w:val="nil"/>
              <w:tr2bl w:val="nil"/>
            </w:tcBorders>
            <w:noWrap/>
            <w:tcMar>
              <w:top w:w="57" w:type="dxa"/>
              <w:left w:w="57" w:type="dxa"/>
              <w:bottom w:w="57" w:type="dxa"/>
              <w:right w:w="57" w:type="dxa"/>
            </w:tcMar>
            <w:vAlign w:val="center"/>
          </w:tcPr>
          <w:p w14:paraId="0530F184">
            <w:pPr>
              <w:pStyle w:val="23"/>
              <w:jc w:val="center"/>
            </w:pPr>
          </w:p>
        </w:tc>
        <w:tc>
          <w:tcPr>
            <w:tcW w:w="2971" w:type="pct"/>
            <w:tcBorders>
              <w:tl2br w:val="nil"/>
              <w:tr2bl w:val="nil"/>
            </w:tcBorders>
            <w:tcMar>
              <w:top w:w="57" w:type="dxa"/>
              <w:left w:w="57" w:type="dxa"/>
              <w:bottom w:w="57" w:type="dxa"/>
              <w:right w:w="57" w:type="dxa"/>
            </w:tcMar>
            <w:vAlign w:val="center"/>
          </w:tcPr>
          <w:p w14:paraId="41AE0FEC">
            <w:pPr>
              <w:pStyle w:val="23"/>
            </w:pPr>
            <w:r>
              <w:rPr>
                <w:rFonts w:hint="eastAsia"/>
              </w:rPr>
              <w:t>优化获得用水服务。企业网上报装的，实行“10000”标准”（申报1个环节、零等待、零费用、零材料、零跑腿，下同）。由市工改平台按企业需求推送水电气并联报装的，实行“00000”标准（申报零环节、零等待、零费用、零材料、零跑腿，下同）。</w:t>
            </w:r>
          </w:p>
        </w:tc>
        <w:tc>
          <w:tcPr>
            <w:tcW w:w="1481" w:type="pct"/>
            <w:vMerge w:val="continue"/>
            <w:tcBorders>
              <w:tl2br w:val="nil"/>
              <w:tr2bl w:val="nil"/>
            </w:tcBorders>
            <w:tcMar>
              <w:top w:w="57" w:type="dxa"/>
              <w:left w:w="57" w:type="dxa"/>
              <w:bottom w:w="57" w:type="dxa"/>
              <w:right w:w="57" w:type="dxa"/>
            </w:tcMar>
            <w:vAlign w:val="center"/>
          </w:tcPr>
          <w:p w14:paraId="4DA5A8B3">
            <w:pPr>
              <w:pStyle w:val="23"/>
            </w:pPr>
          </w:p>
        </w:tc>
      </w:tr>
      <w:tr w14:paraId="0739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265" w:type="pct"/>
            <w:tcBorders>
              <w:tl2br w:val="nil"/>
              <w:tr2bl w:val="nil"/>
            </w:tcBorders>
            <w:tcMar>
              <w:top w:w="57" w:type="dxa"/>
              <w:left w:w="57" w:type="dxa"/>
              <w:bottom w:w="57" w:type="dxa"/>
              <w:right w:w="57" w:type="dxa"/>
            </w:tcMar>
            <w:vAlign w:val="center"/>
          </w:tcPr>
          <w:p w14:paraId="79A2AA06">
            <w:pPr>
              <w:pStyle w:val="23"/>
              <w:jc w:val="center"/>
            </w:pPr>
            <w:r>
              <w:rPr>
                <w:rFonts w:hint="eastAsia"/>
              </w:rPr>
              <w:t>116</w:t>
            </w:r>
          </w:p>
        </w:tc>
        <w:tc>
          <w:tcPr>
            <w:tcW w:w="281" w:type="pct"/>
            <w:vMerge w:val="continue"/>
            <w:tcBorders>
              <w:tl2br w:val="nil"/>
              <w:tr2bl w:val="nil"/>
            </w:tcBorders>
            <w:noWrap/>
            <w:tcMar>
              <w:top w:w="57" w:type="dxa"/>
              <w:left w:w="57" w:type="dxa"/>
              <w:bottom w:w="57" w:type="dxa"/>
              <w:right w:w="57" w:type="dxa"/>
            </w:tcMar>
            <w:vAlign w:val="center"/>
          </w:tcPr>
          <w:p w14:paraId="70619366">
            <w:pPr>
              <w:pStyle w:val="23"/>
              <w:jc w:val="center"/>
            </w:pPr>
          </w:p>
        </w:tc>
        <w:tc>
          <w:tcPr>
            <w:tcW w:w="2971" w:type="pct"/>
            <w:tcBorders>
              <w:tl2br w:val="nil"/>
              <w:tr2bl w:val="nil"/>
            </w:tcBorders>
            <w:tcMar>
              <w:top w:w="57" w:type="dxa"/>
              <w:left w:w="57" w:type="dxa"/>
              <w:bottom w:w="57" w:type="dxa"/>
              <w:right w:w="57" w:type="dxa"/>
            </w:tcMar>
            <w:vAlign w:val="center"/>
          </w:tcPr>
          <w:p w14:paraId="6A60AD8F">
            <w:pPr>
              <w:pStyle w:val="23"/>
            </w:pPr>
            <w:r>
              <w:rPr>
                <w:rFonts w:hint="eastAsia"/>
              </w:rPr>
              <w:t>优化获得用气服务。企业网上报装的，实行“10000”标准。由市工改平台推送的，实行“00000”标准。</w:t>
            </w:r>
          </w:p>
        </w:tc>
        <w:tc>
          <w:tcPr>
            <w:tcW w:w="1481" w:type="pct"/>
            <w:vMerge w:val="continue"/>
            <w:tcBorders>
              <w:tl2br w:val="nil"/>
              <w:tr2bl w:val="nil"/>
            </w:tcBorders>
            <w:tcMar>
              <w:top w:w="57" w:type="dxa"/>
              <w:left w:w="57" w:type="dxa"/>
              <w:bottom w:w="57" w:type="dxa"/>
              <w:right w:w="57" w:type="dxa"/>
            </w:tcMar>
            <w:vAlign w:val="center"/>
          </w:tcPr>
          <w:p w14:paraId="19EF2A62">
            <w:pPr>
              <w:pStyle w:val="23"/>
            </w:pPr>
          </w:p>
        </w:tc>
      </w:tr>
      <w:tr w14:paraId="0A23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265" w:type="pct"/>
            <w:tcBorders>
              <w:tl2br w:val="nil"/>
              <w:tr2bl w:val="nil"/>
            </w:tcBorders>
            <w:tcMar>
              <w:top w:w="57" w:type="dxa"/>
              <w:left w:w="57" w:type="dxa"/>
              <w:bottom w:w="57" w:type="dxa"/>
              <w:right w:w="57" w:type="dxa"/>
            </w:tcMar>
            <w:vAlign w:val="center"/>
          </w:tcPr>
          <w:p w14:paraId="49B55F7B">
            <w:pPr>
              <w:pStyle w:val="23"/>
              <w:jc w:val="center"/>
            </w:pPr>
            <w:r>
              <w:rPr>
                <w:rFonts w:hint="eastAsia"/>
              </w:rPr>
              <w:t>117</w:t>
            </w:r>
          </w:p>
        </w:tc>
        <w:tc>
          <w:tcPr>
            <w:tcW w:w="281" w:type="pct"/>
            <w:vMerge w:val="continue"/>
            <w:tcBorders>
              <w:tl2br w:val="nil"/>
              <w:tr2bl w:val="nil"/>
            </w:tcBorders>
            <w:noWrap/>
            <w:tcMar>
              <w:top w:w="57" w:type="dxa"/>
              <w:left w:w="57" w:type="dxa"/>
              <w:bottom w:w="57" w:type="dxa"/>
              <w:right w:w="57" w:type="dxa"/>
            </w:tcMar>
            <w:vAlign w:val="center"/>
          </w:tcPr>
          <w:p w14:paraId="4E1CC980">
            <w:pPr>
              <w:pStyle w:val="23"/>
              <w:jc w:val="center"/>
            </w:pPr>
          </w:p>
        </w:tc>
        <w:tc>
          <w:tcPr>
            <w:tcW w:w="2971" w:type="pct"/>
            <w:tcBorders>
              <w:tl2br w:val="nil"/>
              <w:tr2bl w:val="nil"/>
            </w:tcBorders>
            <w:tcMar>
              <w:top w:w="57" w:type="dxa"/>
              <w:left w:w="57" w:type="dxa"/>
              <w:bottom w:w="57" w:type="dxa"/>
              <w:right w:w="57" w:type="dxa"/>
            </w:tcMar>
            <w:vAlign w:val="center"/>
          </w:tcPr>
          <w:p w14:paraId="416B08D8">
            <w:pPr>
              <w:pStyle w:val="23"/>
            </w:pPr>
            <w:r>
              <w:rPr>
                <w:rFonts w:hint="eastAsia"/>
              </w:rPr>
              <w:t>优化获得用电服务。将小微企业用电报装“零投资”容量提升至200千瓦。一般电力接入客户并联审批时限压减至 3 个工作日内。压减平均接电时间，实现低压居民1.5个工作日，低压非居民无外部配套工程3个工作日、有外部配套工程9个工作日，高压用户15个工作日。</w:t>
            </w:r>
          </w:p>
        </w:tc>
        <w:tc>
          <w:tcPr>
            <w:tcW w:w="1481" w:type="pct"/>
            <w:vMerge w:val="continue"/>
            <w:tcBorders>
              <w:tl2br w:val="nil"/>
              <w:tr2bl w:val="nil"/>
            </w:tcBorders>
            <w:tcMar>
              <w:top w:w="57" w:type="dxa"/>
              <w:left w:w="57" w:type="dxa"/>
              <w:bottom w:w="57" w:type="dxa"/>
              <w:right w:w="57" w:type="dxa"/>
            </w:tcMar>
            <w:vAlign w:val="center"/>
          </w:tcPr>
          <w:p w14:paraId="423F1C09">
            <w:pPr>
              <w:pStyle w:val="23"/>
            </w:pPr>
          </w:p>
        </w:tc>
      </w:tr>
      <w:tr w14:paraId="43A9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265" w:type="pct"/>
            <w:tcBorders>
              <w:tl2br w:val="nil"/>
              <w:tr2bl w:val="nil"/>
            </w:tcBorders>
            <w:tcMar>
              <w:top w:w="57" w:type="dxa"/>
              <w:left w:w="57" w:type="dxa"/>
              <w:bottom w:w="57" w:type="dxa"/>
              <w:right w:w="57" w:type="dxa"/>
            </w:tcMar>
            <w:vAlign w:val="center"/>
          </w:tcPr>
          <w:p w14:paraId="0C82AA23">
            <w:pPr>
              <w:pStyle w:val="23"/>
              <w:jc w:val="center"/>
            </w:pPr>
            <w:r>
              <w:rPr>
                <w:rFonts w:hint="eastAsia"/>
              </w:rPr>
              <w:t>118</w:t>
            </w:r>
          </w:p>
        </w:tc>
        <w:tc>
          <w:tcPr>
            <w:tcW w:w="281" w:type="pct"/>
            <w:vMerge w:val="continue"/>
            <w:tcBorders>
              <w:tl2br w:val="nil"/>
              <w:tr2bl w:val="nil"/>
            </w:tcBorders>
            <w:noWrap/>
            <w:tcMar>
              <w:top w:w="57" w:type="dxa"/>
              <w:left w:w="57" w:type="dxa"/>
              <w:bottom w:w="57" w:type="dxa"/>
              <w:right w:w="57" w:type="dxa"/>
            </w:tcMar>
            <w:vAlign w:val="center"/>
          </w:tcPr>
          <w:p w14:paraId="0BC5B997">
            <w:pPr>
              <w:pStyle w:val="23"/>
              <w:jc w:val="center"/>
            </w:pPr>
          </w:p>
        </w:tc>
        <w:tc>
          <w:tcPr>
            <w:tcW w:w="2971" w:type="pct"/>
            <w:tcBorders>
              <w:tl2br w:val="nil"/>
              <w:tr2bl w:val="nil"/>
            </w:tcBorders>
            <w:tcMar>
              <w:top w:w="57" w:type="dxa"/>
              <w:left w:w="57" w:type="dxa"/>
              <w:bottom w:w="57" w:type="dxa"/>
              <w:right w:w="57" w:type="dxa"/>
            </w:tcMar>
            <w:vAlign w:val="center"/>
          </w:tcPr>
          <w:p w14:paraId="3B6D8429">
            <w:pPr>
              <w:pStyle w:val="23"/>
            </w:pPr>
            <w:r>
              <w:rPr>
                <w:rFonts w:hint="eastAsia"/>
              </w:rPr>
              <w:t>针对不动产登记、开办企业、社保医保、水电气报装等高频办理事项，推动相关业务主管单位遴选一批业务骨干担任“首席服务员”，打破行政职级、授予岗位相应审批权，实现跨部门“一人受理、全程服务”。</w:t>
            </w:r>
          </w:p>
        </w:tc>
        <w:tc>
          <w:tcPr>
            <w:tcW w:w="1481" w:type="pct"/>
            <w:tcBorders>
              <w:tl2br w:val="nil"/>
              <w:tr2bl w:val="nil"/>
            </w:tcBorders>
            <w:tcMar>
              <w:top w:w="57" w:type="dxa"/>
              <w:left w:w="57" w:type="dxa"/>
              <w:bottom w:w="57" w:type="dxa"/>
              <w:right w:w="57" w:type="dxa"/>
            </w:tcMar>
            <w:vAlign w:val="center"/>
          </w:tcPr>
          <w:p w14:paraId="7373FC79">
            <w:pPr>
              <w:pStyle w:val="23"/>
            </w:pPr>
            <w:r>
              <w:rPr>
                <w:rFonts w:hint="eastAsia"/>
              </w:rPr>
              <w:t>2023年4月20日，《鄂州市推进政府职能转变和“放管服”改革协调小组办公室关于印发&lt;以政务服务为主轴 推动项目落地提质增效工作方案&gt;的通知》（鄂州放管服办文〔2023〕1号）</w:t>
            </w:r>
          </w:p>
        </w:tc>
      </w:tr>
      <w:tr w14:paraId="13941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265" w:type="pct"/>
            <w:tcBorders>
              <w:tl2br w:val="nil"/>
              <w:tr2bl w:val="nil"/>
            </w:tcBorders>
            <w:tcMar>
              <w:top w:w="57" w:type="dxa"/>
              <w:left w:w="57" w:type="dxa"/>
              <w:bottom w:w="57" w:type="dxa"/>
              <w:right w:w="57" w:type="dxa"/>
            </w:tcMar>
            <w:vAlign w:val="center"/>
          </w:tcPr>
          <w:p w14:paraId="5C18B445">
            <w:pPr>
              <w:pStyle w:val="23"/>
              <w:jc w:val="center"/>
            </w:pPr>
            <w:r>
              <w:rPr>
                <w:rFonts w:hint="eastAsia"/>
              </w:rPr>
              <w:t>119</w:t>
            </w:r>
          </w:p>
        </w:tc>
        <w:tc>
          <w:tcPr>
            <w:tcW w:w="281" w:type="pct"/>
            <w:vMerge w:val="continue"/>
            <w:tcBorders>
              <w:tl2br w:val="nil"/>
              <w:tr2bl w:val="nil"/>
            </w:tcBorders>
            <w:noWrap/>
            <w:tcMar>
              <w:top w:w="57" w:type="dxa"/>
              <w:left w:w="57" w:type="dxa"/>
              <w:bottom w:w="57" w:type="dxa"/>
              <w:right w:w="57" w:type="dxa"/>
            </w:tcMar>
            <w:vAlign w:val="center"/>
          </w:tcPr>
          <w:p w14:paraId="3AC893A2">
            <w:pPr>
              <w:pStyle w:val="23"/>
              <w:jc w:val="center"/>
            </w:pPr>
          </w:p>
        </w:tc>
        <w:tc>
          <w:tcPr>
            <w:tcW w:w="2971" w:type="pct"/>
            <w:tcBorders>
              <w:tl2br w:val="nil"/>
              <w:tr2bl w:val="nil"/>
            </w:tcBorders>
            <w:tcMar>
              <w:top w:w="57" w:type="dxa"/>
              <w:left w:w="57" w:type="dxa"/>
              <w:bottom w:w="57" w:type="dxa"/>
              <w:right w:w="57" w:type="dxa"/>
            </w:tcMar>
            <w:vAlign w:val="center"/>
          </w:tcPr>
          <w:p w14:paraId="3BD47C27">
            <w:pPr>
              <w:pStyle w:val="23"/>
            </w:pPr>
            <w:r>
              <w:rPr>
                <w:rFonts w:hint="eastAsia"/>
              </w:rPr>
              <w:t>公积金缴存职工存在抵押的房产，可在不提前结清贷款的情况下办理二手房交易，通过“转移登记+设立新抵押+注销原抵押”三合一业务申请方式实现“带押过户”，实现用买方的住房公积金购房贷款资金来偿还卖方的住房公积金购房贷款。</w:t>
            </w:r>
          </w:p>
        </w:tc>
        <w:tc>
          <w:tcPr>
            <w:tcW w:w="1481" w:type="pct"/>
            <w:tcBorders>
              <w:tl2br w:val="nil"/>
              <w:tr2bl w:val="nil"/>
            </w:tcBorders>
            <w:tcMar>
              <w:top w:w="57" w:type="dxa"/>
              <w:left w:w="57" w:type="dxa"/>
              <w:bottom w:w="57" w:type="dxa"/>
              <w:right w:w="57" w:type="dxa"/>
            </w:tcMar>
            <w:vAlign w:val="center"/>
          </w:tcPr>
          <w:p w14:paraId="61ABB6E3">
            <w:pPr>
              <w:pStyle w:val="23"/>
            </w:pPr>
            <w:r>
              <w:rPr>
                <w:rFonts w:hint="eastAsia"/>
              </w:rPr>
              <w:t>2023年5月8日，《鄂州市住房公积金管理委员会关于调整鄂州市住房公积金业务政策的通知》（鄂州公管委〔2023〕1号）</w:t>
            </w:r>
          </w:p>
        </w:tc>
      </w:tr>
      <w:tr w14:paraId="6250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265" w:type="pct"/>
            <w:tcBorders>
              <w:tl2br w:val="nil"/>
              <w:tr2bl w:val="nil"/>
            </w:tcBorders>
            <w:tcMar>
              <w:top w:w="57" w:type="dxa"/>
              <w:left w:w="57" w:type="dxa"/>
              <w:bottom w:w="57" w:type="dxa"/>
              <w:right w:w="57" w:type="dxa"/>
            </w:tcMar>
            <w:vAlign w:val="center"/>
          </w:tcPr>
          <w:p w14:paraId="3250EAD5">
            <w:pPr>
              <w:pStyle w:val="23"/>
              <w:jc w:val="center"/>
            </w:pPr>
            <w:r>
              <w:rPr>
                <w:rFonts w:hint="eastAsia"/>
              </w:rPr>
              <w:t>120</w:t>
            </w:r>
          </w:p>
        </w:tc>
        <w:tc>
          <w:tcPr>
            <w:tcW w:w="281" w:type="pct"/>
            <w:vMerge w:val="continue"/>
            <w:tcBorders>
              <w:tl2br w:val="nil"/>
              <w:tr2bl w:val="nil"/>
            </w:tcBorders>
            <w:noWrap/>
            <w:tcMar>
              <w:top w:w="57" w:type="dxa"/>
              <w:left w:w="57" w:type="dxa"/>
              <w:bottom w:w="57" w:type="dxa"/>
              <w:right w:w="57" w:type="dxa"/>
            </w:tcMar>
            <w:vAlign w:val="center"/>
          </w:tcPr>
          <w:p w14:paraId="654DBE60">
            <w:pPr>
              <w:pStyle w:val="23"/>
              <w:jc w:val="center"/>
            </w:pPr>
          </w:p>
        </w:tc>
        <w:tc>
          <w:tcPr>
            <w:tcW w:w="2971" w:type="pct"/>
            <w:tcBorders>
              <w:tl2br w:val="nil"/>
              <w:tr2bl w:val="nil"/>
            </w:tcBorders>
            <w:tcMar>
              <w:top w:w="57" w:type="dxa"/>
              <w:left w:w="57" w:type="dxa"/>
              <w:bottom w:w="57" w:type="dxa"/>
              <w:right w:w="57" w:type="dxa"/>
            </w:tcMar>
            <w:vAlign w:val="center"/>
          </w:tcPr>
          <w:p w14:paraId="728D5046">
            <w:pPr>
              <w:pStyle w:val="23"/>
            </w:pPr>
            <w:r>
              <w:rPr>
                <w:rFonts w:hint="eastAsia"/>
              </w:rPr>
              <w:t>在全市范围内推行市场准营承诺即入制，对场所、设备、人员、资金、管理制度等审批条件实行告知承诺制，允许申请人以告知承诺书替代证明符合相关审批条件的材料。在市场主体作出信用承诺之日起15日内，向社会公示信用承诺信息，并纳入市场主体信用记录，加强事中事后监管。</w:t>
            </w:r>
          </w:p>
        </w:tc>
        <w:tc>
          <w:tcPr>
            <w:tcW w:w="1481" w:type="pct"/>
            <w:tcBorders>
              <w:tl2br w:val="nil"/>
              <w:tr2bl w:val="nil"/>
            </w:tcBorders>
            <w:tcMar>
              <w:top w:w="57" w:type="dxa"/>
              <w:left w:w="57" w:type="dxa"/>
              <w:bottom w:w="57" w:type="dxa"/>
              <w:right w:w="57" w:type="dxa"/>
            </w:tcMar>
            <w:vAlign w:val="center"/>
          </w:tcPr>
          <w:p w14:paraId="324D80BF">
            <w:pPr>
              <w:pStyle w:val="23"/>
            </w:pPr>
            <w:r>
              <w:rPr>
                <w:rFonts w:hint="eastAsia"/>
              </w:rPr>
              <w:t>2023年6月28日，《市人民政府办公室关于印发鄂州市构建政务新发展格局全面提升服务供给能力工作方案的通知》（鄂州政办发〔2023〕15号）</w:t>
            </w:r>
          </w:p>
        </w:tc>
      </w:tr>
      <w:tr w14:paraId="5C18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265" w:type="pct"/>
            <w:tcBorders>
              <w:tl2br w:val="nil"/>
              <w:tr2bl w:val="nil"/>
            </w:tcBorders>
            <w:tcMar>
              <w:top w:w="57" w:type="dxa"/>
              <w:left w:w="57" w:type="dxa"/>
              <w:bottom w:w="57" w:type="dxa"/>
              <w:right w:w="57" w:type="dxa"/>
            </w:tcMar>
            <w:vAlign w:val="center"/>
          </w:tcPr>
          <w:p w14:paraId="54DB15BF">
            <w:pPr>
              <w:pStyle w:val="23"/>
              <w:jc w:val="center"/>
            </w:pPr>
            <w:r>
              <w:rPr>
                <w:rFonts w:hint="eastAsia"/>
              </w:rPr>
              <w:t>121</w:t>
            </w:r>
          </w:p>
        </w:tc>
        <w:tc>
          <w:tcPr>
            <w:tcW w:w="281" w:type="pct"/>
            <w:vMerge w:val="continue"/>
            <w:tcBorders>
              <w:tl2br w:val="nil"/>
              <w:tr2bl w:val="nil"/>
            </w:tcBorders>
            <w:noWrap/>
            <w:tcMar>
              <w:top w:w="57" w:type="dxa"/>
              <w:left w:w="57" w:type="dxa"/>
              <w:bottom w:w="57" w:type="dxa"/>
              <w:right w:w="57" w:type="dxa"/>
            </w:tcMar>
            <w:vAlign w:val="center"/>
          </w:tcPr>
          <w:p w14:paraId="73DE16C7">
            <w:pPr>
              <w:pStyle w:val="23"/>
              <w:jc w:val="center"/>
            </w:pPr>
          </w:p>
        </w:tc>
        <w:tc>
          <w:tcPr>
            <w:tcW w:w="2971" w:type="pct"/>
            <w:tcBorders>
              <w:tl2br w:val="nil"/>
              <w:tr2bl w:val="nil"/>
            </w:tcBorders>
            <w:tcMar>
              <w:top w:w="57" w:type="dxa"/>
              <w:left w:w="57" w:type="dxa"/>
              <w:bottom w:w="57" w:type="dxa"/>
              <w:right w:w="57" w:type="dxa"/>
            </w:tcMar>
            <w:vAlign w:val="center"/>
          </w:tcPr>
          <w:p w14:paraId="2A1CBAB1">
            <w:pPr>
              <w:pStyle w:val="23"/>
            </w:pPr>
            <w:r>
              <w:rPr>
                <w:rFonts w:hint="eastAsia"/>
              </w:rPr>
              <w:t>实现水电气网联动报装“五零”改革，简化接入流程（0个环节，工改平台推送、踏勘、审批、施工、接入等环节前置）、精简申报材料（0份，平台录入推送）、压缩办理时限（0个工作日，水气网提前布局周边管网期间即完成直接接入）、降低办理费用（外线规划红线接水接气接网0费用，办电报装容量在220千瓦及以下的用户0费用。其中，办电报装容量160千瓦及以下费用由鄂州供电公司承担，超过160千瓦报装项目费用由各级政府财政承担）。</w:t>
            </w:r>
          </w:p>
        </w:tc>
        <w:tc>
          <w:tcPr>
            <w:tcW w:w="1481" w:type="pct"/>
            <w:vMerge w:val="restart"/>
            <w:tcBorders>
              <w:tl2br w:val="nil"/>
              <w:tr2bl w:val="nil"/>
            </w:tcBorders>
            <w:tcMar>
              <w:top w:w="57" w:type="dxa"/>
              <w:left w:w="57" w:type="dxa"/>
              <w:bottom w:w="57" w:type="dxa"/>
              <w:right w:w="57" w:type="dxa"/>
            </w:tcMar>
            <w:vAlign w:val="center"/>
          </w:tcPr>
          <w:p w14:paraId="2B32EF72">
            <w:pPr>
              <w:pStyle w:val="23"/>
            </w:pPr>
            <w:r>
              <w:rPr>
                <w:rFonts w:hint="eastAsia"/>
              </w:rPr>
              <w:t>2023年8月9日，《市优化办关于完善水电气网共享营业厅建设方案的函》（鄂州优化办函〔2023〕12号）</w:t>
            </w:r>
          </w:p>
        </w:tc>
      </w:tr>
      <w:tr w14:paraId="7652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265" w:type="pct"/>
            <w:tcBorders>
              <w:tl2br w:val="nil"/>
              <w:tr2bl w:val="nil"/>
            </w:tcBorders>
            <w:tcMar>
              <w:top w:w="57" w:type="dxa"/>
              <w:left w:w="57" w:type="dxa"/>
              <w:bottom w:w="57" w:type="dxa"/>
              <w:right w:w="57" w:type="dxa"/>
            </w:tcMar>
            <w:vAlign w:val="center"/>
          </w:tcPr>
          <w:p w14:paraId="388E5B14">
            <w:pPr>
              <w:pStyle w:val="23"/>
              <w:jc w:val="center"/>
            </w:pPr>
            <w:r>
              <w:rPr>
                <w:rFonts w:hint="eastAsia"/>
              </w:rPr>
              <w:t>122</w:t>
            </w:r>
          </w:p>
        </w:tc>
        <w:tc>
          <w:tcPr>
            <w:tcW w:w="281" w:type="pct"/>
            <w:vMerge w:val="continue"/>
            <w:tcBorders>
              <w:tl2br w:val="nil"/>
              <w:tr2bl w:val="nil"/>
            </w:tcBorders>
            <w:noWrap/>
            <w:tcMar>
              <w:top w:w="57" w:type="dxa"/>
              <w:left w:w="57" w:type="dxa"/>
              <w:bottom w:w="57" w:type="dxa"/>
              <w:right w:w="57" w:type="dxa"/>
            </w:tcMar>
            <w:vAlign w:val="center"/>
          </w:tcPr>
          <w:p w14:paraId="4848CF01">
            <w:pPr>
              <w:pStyle w:val="23"/>
              <w:jc w:val="center"/>
            </w:pPr>
          </w:p>
        </w:tc>
        <w:tc>
          <w:tcPr>
            <w:tcW w:w="2971" w:type="pct"/>
            <w:tcBorders>
              <w:tl2br w:val="nil"/>
              <w:tr2bl w:val="nil"/>
            </w:tcBorders>
            <w:tcMar>
              <w:top w:w="57" w:type="dxa"/>
              <w:left w:w="57" w:type="dxa"/>
              <w:bottom w:w="57" w:type="dxa"/>
              <w:right w:w="57" w:type="dxa"/>
            </w:tcMar>
            <w:vAlign w:val="center"/>
          </w:tcPr>
          <w:p w14:paraId="2C3A30CE">
            <w:pPr>
              <w:pStyle w:val="23"/>
            </w:pPr>
            <w:r>
              <w:rPr>
                <w:rFonts w:hint="eastAsia"/>
              </w:rPr>
              <w:t>在湖北政务服务网鄂州市网面开设“水电气网服务专区”栏目，形成水电气网网上共享营业厅，全市范围实现水电气网联动报装无差别联动受理和办理，实行“四个一”服务，即一栏进入、一表申请、一网流转、一体踏勘，最大限度压缩办理时限（与主管线距离500米以内的，3个工作日内办结；1000米以内的，5个工作日内办结），继续推行办理0费用。</w:t>
            </w:r>
          </w:p>
        </w:tc>
        <w:tc>
          <w:tcPr>
            <w:tcW w:w="1481" w:type="pct"/>
            <w:vMerge w:val="continue"/>
            <w:tcBorders>
              <w:tl2br w:val="nil"/>
              <w:tr2bl w:val="nil"/>
            </w:tcBorders>
            <w:tcMar>
              <w:top w:w="57" w:type="dxa"/>
              <w:left w:w="57" w:type="dxa"/>
              <w:bottom w:w="57" w:type="dxa"/>
              <w:right w:w="57" w:type="dxa"/>
            </w:tcMar>
            <w:vAlign w:val="center"/>
          </w:tcPr>
          <w:p w14:paraId="4F6F27B3">
            <w:pPr>
              <w:pStyle w:val="23"/>
            </w:pPr>
          </w:p>
        </w:tc>
      </w:tr>
      <w:tr w14:paraId="7C8D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65" w:type="pct"/>
            <w:tcBorders>
              <w:tl2br w:val="nil"/>
              <w:tr2bl w:val="nil"/>
            </w:tcBorders>
            <w:tcMar>
              <w:top w:w="57" w:type="dxa"/>
              <w:left w:w="57" w:type="dxa"/>
              <w:bottom w:w="57" w:type="dxa"/>
              <w:right w:w="57" w:type="dxa"/>
            </w:tcMar>
            <w:vAlign w:val="center"/>
          </w:tcPr>
          <w:p w14:paraId="65A2D520">
            <w:pPr>
              <w:pStyle w:val="23"/>
              <w:jc w:val="center"/>
            </w:pPr>
            <w:r>
              <w:rPr>
                <w:rFonts w:hint="eastAsia"/>
              </w:rPr>
              <w:t>123</w:t>
            </w:r>
          </w:p>
        </w:tc>
        <w:tc>
          <w:tcPr>
            <w:tcW w:w="281" w:type="pct"/>
            <w:vMerge w:val="continue"/>
            <w:tcBorders>
              <w:tl2br w:val="nil"/>
              <w:tr2bl w:val="nil"/>
            </w:tcBorders>
            <w:noWrap/>
            <w:tcMar>
              <w:top w:w="57" w:type="dxa"/>
              <w:left w:w="57" w:type="dxa"/>
              <w:bottom w:w="57" w:type="dxa"/>
              <w:right w:w="57" w:type="dxa"/>
            </w:tcMar>
            <w:vAlign w:val="center"/>
          </w:tcPr>
          <w:p w14:paraId="32D71C58">
            <w:pPr>
              <w:pStyle w:val="23"/>
              <w:jc w:val="center"/>
            </w:pPr>
          </w:p>
        </w:tc>
        <w:tc>
          <w:tcPr>
            <w:tcW w:w="2971" w:type="pct"/>
            <w:tcBorders>
              <w:tl2br w:val="nil"/>
              <w:tr2bl w:val="nil"/>
            </w:tcBorders>
            <w:tcMar>
              <w:top w:w="57" w:type="dxa"/>
              <w:left w:w="57" w:type="dxa"/>
              <w:bottom w:w="57" w:type="dxa"/>
              <w:right w:w="57" w:type="dxa"/>
            </w:tcMar>
            <w:vAlign w:val="center"/>
          </w:tcPr>
          <w:p w14:paraId="01672F25">
            <w:pPr>
              <w:pStyle w:val="23"/>
            </w:pPr>
            <w:r>
              <w:rPr>
                <w:rFonts w:hint="eastAsia"/>
              </w:rPr>
              <w:t>对市政管道规划、道路交通安全、市政设施和园林绿化影响轻微，穿越城市道路不超过30米，线路长度不超过600米的水电气接入外线工程实行承诺备案制。</w:t>
            </w:r>
          </w:p>
        </w:tc>
        <w:tc>
          <w:tcPr>
            <w:tcW w:w="1481" w:type="pct"/>
            <w:vMerge w:val="continue"/>
            <w:tcBorders>
              <w:tl2br w:val="nil"/>
              <w:tr2bl w:val="nil"/>
            </w:tcBorders>
            <w:tcMar>
              <w:top w:w="57" w:type="dxa"/>
              <w:left w:w="57" w:type="dxa"/>
              <w:bottom w:w="57" w:type="dxa"/>
              <w:right w:w="57" w:type="dxa"/>
            </w:tcMar>
            <w:vAlign w:val="center"/>
          </w:tcPr>
          <w:p w14:paraId="6E884361">
            <w:pPr>
              <w:pStyle w:val="23"/>
            </w:pPr>
          </w:p>
        </w:tc>
      </w:tr>
      <w:tr w14:paraId="471D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265" w:type="pct"/>
            <w:tcBorders>
              <w:tl2br w:val="nil"/>
              <w:tr2bl w:val="nil"/>
            </w:tcBorders>
            <w:tcMar>
              <w:top w:w="57" w:type="dxa"/>
              <w:left w:w="57" w:type="dxa"/>
              <w:bottom w:w="57" w:type="dxa"/>
              <w:right w:w="57" w:type="dxa"/>
            </w:tcMar>
            <w:vAlign w:val="center"/>
          </w:tcPr>
          <w:p w14:paraId="67502A22">
            <w:pPr>
              <w:pStyle w:val="23"/>
              <w:jc w:val="center"/>
            </w:pPr>
            <w:r>
              <w:rPr>
                <w:rFonts w:hint="eastAsia"/>
              </w:rPr>
              <w:t>124</w:t>
            </w:r>
          </w:p>
        </w:tc>
        <w:tc>
          <w:tcPr>
            <w:tcW w:w="281" w:type="pct"/>
            <w:vMerge w:val="continue"/>
            <w:tcBorders>
              <w:tl2br w:val="nil"/>
              <w:tr2bl w:val="nil"/>
            </w:tcBorders>
            <w:noWrap/>
            <w:tcMar>
              <w:top w:w="57" w:type="dxa"/>
              <w:left w:w="57" w:type="dxa"/>
              <w:bottom w:w="57" w:type="dxa"/>
              <w:right w:w="57" w:type="dxa"/>
            </w:tcMar>
            <w:vAlign w:val="center"/>
          </w:tcPr>
          <w:p w14:paraId="096D5204">
            <w:pPr>
              <w:pStyle w:val="23"/>
              <w:jc w:val="center"/>
            </w:pPr>
          </w:p>
        </w:tc>
        <w:tc>
          <w:tcPr>
            <w:tcW w:w="2971" w:type="pct"/>
            <w:tcBorders>
              <w:tl2br w:val="nil"/>
              <w:tr2bl w:val="nil"/>
            </w:tcBorders>
            <w:tcMar>
              <w:top w:w="57" w:type="dxa"/>
              <w:left w:w="57" w:type="dxa"/>
              <w:bottom w:w="57" w:type="dxa"/>
              <w:right w:w="57" w:type="dxa"/>
            </w:tcMar>
            <w:vAlign w:val="center"/>
          </w:tcPr>
          <w:p w14:paraId="41F01A00">
            <w:pPr>
              <w:pStyle w:val="23"/>
            </w:pPr>
            <w:r>
              <w:rPr>
                <w:rFonts w:hint="eastAsia"/>
              </w:rPr>
              <w:t>推进信用修复提速办理，对于满足初审条件的企业，将初审时间从原来 2个工作日压缩到1个工作日。</w:t>
            </w:r>
          </w:p>
        </w:tc>
        <w:tc>
          <w:tcPr>
            <w:tcW w:w="1481" w:type="pct"/>
            <w:tcBorders>
              <w:tl2br w:val="nil"/>
              <w:tr2bl w:val="nil"/>
            </w:tcBorders>
            <w:tcMar>
              <w:top w:w="57" w:type="dxa"/>
              <w:left w:w="57" w:type="dxa"/>
              <w:bottom w:w="57" w:type="dxa"/>
              <w:right w:w="57" w:type="dxa"/>
            </w:tcMar>
            <w:vAlign w:val="center"/>
          </w:tcPr>
          <w:p w14:paraId="332254D5">
            <w:pPr>
              <w:pStyle w:val="23"/>
            </w:pPr>
            <w:r>
              <w:rPr>
                <w:rFonts w:hint="eastAsia"/>
              </w:rPr>
              <w:t>2023年8月23日，《鄂州市生态环境局办公室关于印发〈鄂州市生态环境局2023年信用建设工作要点〉的通知》（鄂州环办〔2023〕42号）</w:t>
            </w:r>
          </w:p>
        </w:tc>
      </w:tr>
      <w:tr w14:paraId="7438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265" w:type="pct"/>
            <w:tcBorders>
              <w:tl2br w:val="nil"/>
              <w:tr2bl w:val="nil"/>
            </w:tcBorders>
            <w:tcMar>
              <w:top w:w="57" w:type="dxa"/>
              <w:left w:w="57" w:type="dxa"/>
              <w:bottom w:w="57" w:type="dxa"/>
              <w:right w:w="57" w:type="dxa"/>
            </w:tcMar>
            <w:vAlign w:val="center"/>
          </w:tcPr>
          <w:p w14:paraId="472A7690">
            <w:pPr>
              <w:pStyle w:val="23"/>
              <w:jc w:val="center"/>
            </w:pPr>
            <w:r>
              <w:rPr>
                <w:rFonts w:hint="eastAsia"/>
              </w:rPr>
              <w:t>125</w:t>
            </w:r>
          </w:p>
        </w:tc>
        <w:tc>
          <w:tcPr>
            <w:tcW w:w="281" w:type="pct"/>
            <w:vMerge w:val="restart"/>
            <w:tcBorders>
              <w:tl2br w:val="nil"/>
              <w:tr2bl w:val="nil"/>
            </w:tcBorders>
            <w:noWrap/>
            <w:tcMar>
              <w:top w:w="57" w:type="dxa"/>
              <w:left w:w="57" w:type="dxa"/>
              <w:bottom w:w="57" w:type="dxa"/>
              <w:right w:w="57" w:type="dxa"/>
            </w:tcMar>
            <w:vAlign w:val="center"/>
          </w:tcPr>
          <w:p w14:paraId="43134722">
            <w:pPr>
              <w:pStyle w:val="23"/>
              <w:jc w:val="center"/>
            </w:pPr>
            <w:r>
              <w:rPr>
                <w:rFonts w:hint="eastAsia"/>
              </w:rPr>
              <w:t>就业创业类</w:t>
            </w:r>
          </w:p>
        </w:tc>
        <w:tc>
          <w:tcPr>
            <w:tcW w:w="2971" w:type="pct"/>
            <w:tcBorders>
              <w:tl2br w:val="nil"/>
              <w:tr2bl w:val="nil"/>
            </w:tcBorders>
            <w:tcMar>
              <w:top w:w="57" w:type="dxa"/>
              <w:left w:w="57" w:type="dxa"/>
              <w:bottom w:w="57" w:type="dxa"/>
              <w:right w:w="57" w:type="dxa"/>
            </w:tcMar>
            <w:vAlign w:val="center"/>
          </w:tcPr>
          <w:p w14:paraId="559CAE81">
            <w:pPr>
              <w:pStyle w:val="23"/>
            </w:pPr>
            <w:r>
              <w:rPr>
                <w:rFonts w:hint="eastAsia"/>
              </w:rPr>
              <w:t>政府投资开发的创业载体应安排30%左右的场地，免费提供给高校毕业生、返乡农民工等群体。</w:t>
            </w:r>
          </w:p>
        </w:tc>
        <w:tc>
          <w:tcPr>
            <w:tcW w:w="1481" w:type="pct"/>
            <w:tcBorders>
              <w:tl2br w:val="nil"/>
              <w:tr2bl w:val="nil"/>
            </w:tcBorders>
            <w:tcMar>
              <w:top w:w="57" w:type="dxa"/>
              <w:left w:w="57" w:type="dxa"/>
              <w:bottom w:w="57" w:type="dxa"/>
              <w:right w:w="57" w:type="dxa"/>
            </w:tcMar>
            <w:vAlign w:val="center"/>
          </w:tcPr>
          <w:p w14:paraId="76DF6BD1">
            <w:pPr>
              <w:pStyle w:val="23"/>
            </w:pPr>
            <w:r>
              <w:rPr>
                <w:rFonts w:hint="eastAsia"/>
              </w:rPr>
              <w:t>2023年2月28日，《鄂州市人民政府劳动就业工作领导小组关于印发&lt;“就·为企业”“就·在鄂州”十大行动方案&gt;的通知》（鄂州就工发〔2023〕1号）</w:t>
            </w:r>
          </w:p>
        </w:tc>
      </w:tr>
      <w:tr w14:paraId="419A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265" w:type="pct"/>
            <w:tcBorders>
              <w:tl2br w:val="nil"/>
              <w:tr2bl w:val="nil"/>
            </w:tcBorders>
            <w:tcMar>
              <w:top w:w="57" w:type="dxa"/>
              <w:left w:w="57" w:type="dxa"/>
              <w:bottom w:w="57" w:type="dxa"/>
              <w:right w:w="57" w:type="dxa"/>
            </w:tcMar>
            <w:vAlign w:val="center"/>
          </w:tcPr>
          <w:p w14:paraId="2B00CDE4">
            <w:pPr>
              <w:pStyle w:val="23"/>
              <w:jc w:val="center"/>
            </w:pPr>
            <w:r>
              <w:rPr>
                <w:rFonts w:hint="eastAsia"/>
              </w:rPr>
              <w:t>126</w:t>
            </w:r>
          </w:p>
        </w:tc>
        <w:tc>
          <w:tcPr>
            <w:tcW w:w="281" w:type="pct"/>
            <w:vMerge w:val="continue"/>
            <w:tcBorders>
              <w:tl2br w:val="nil"/>
              <w:tr2bl w:val="nil"/>
            </w:tcBorders>
            <w:noWrap/>
            <w:tcMar>
              <w:top w:w="57" w:type="dxa"/>
              <w:left w:w="57" w:type="dxa"/>
              <w:bottom w:w="57" w:type="dxa"/>
              <w:right w:w="57" w:type="dxa"/>
            </w:tcMar>
            <w:vAlign w:val="center"/>
          </w:tcPr>
          <w:p w14:paraId="58E77653">
            <w:pPr>
              <w:pStyle w:val="23"/>
              <w:jc w:val="center"/>
            </w:pPr>
          </w:p>
        </w:tc>
        <w:tc>
          <w:tcPr>
            <w:tcW w:w="2971" w:type="pct"/>
            <w:tcBorders>
              <w:tl2br w:val="nil"/>
              <w:tr2bl w:val="nil"/>
            </w:tcBorders>
            <w:tcMar>
              <w:top w:w="57" w:type="dxa"/>
              <w:left w:w="57" w:type="dxa"/>
              <w:bottom w:w="57" w:type="dxa"/>
              <w:right w:w="57" w:type="dxa"/>
            </w:tcMar>
            <w:vAlign w:val="center"/>
          </w:tcPr>
          <w:p w14:paraId="42B32778">
            <w:pPr>
              <w:pStyle w:val="23"/>
            </w:pPr>
            <w:r>
              <w:rPr>
                <w:rFonts w:hint="eastAsia"/>
              </w:rPr>
              <w:t>个人创业担保贷款额度由20万调整到30万元，贷款期限不超过3年。贷款利率上限不得超过LPR+150BPs，贴息利率为贷款利率的50%。</w:t>
            </w:r>
          </w:p>
        </w:tc>
        <w:tc>
          <w:tcPr>
            <w:tcW w:w="1481" w:type="pct"/>
            <w:tcBorders>
              <w:tl2br w:val="nil"/>
              <w:tr2bl w:val="nil"/>
            </w:tcBorders>
            <w:tcMar>
              <w:top w:w="57" w:type="dxa"/>
              <w:left w:w="57" w:type="dxa"/>
              <w:bottom w:w="57" w:type="dxa"/>
              <w:right w:w="57" w:type="dxa"/>
            </w:tcMar>
            <w:vAlign w:val="center"/>
          </w:tcPr>
          <w:p w14:paraId="6DFDEDD9">
            <w:pPr>
              <w:pStyle w:val="23"/>
            </w:pPr>
            <w:r>
              <w:rPr>
                <w:rFonts w:hint="eastAsia"/>
              </w:rPr>
              <w:t>2023年9月11日，《关于进一步明确创业担保贷款有关事项的通知》（鄂州人社函〔2023〕95号）</w:t>
            </w:r>
          </w:p>
        </w:tc>
      </w:tr>
      <w:tr w14:paraId="48CD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265" w:type="pct"/>
            <w:tcBorders>
              <w:tl2br w:val="nil"/>
              <w:tr2bl w:val="nil"/>
            </w:tcBorders>
            <w:tcMar>
              <w:top w:w="57" w:type="dxa"/>
              <w:left w:w="57" w:type="dxa"/>
              <w:bottom w:w="57" w:type="dxa"/>
              <w:right w:w="57" w:type="dxa"/>
            </w:tcMar>
            <w:vAlign w:val="center"/>
          </w:tcPr>
          <w:p w14:paraId="622F424A">
            <w:pPr>
              <w:pStyle w:val="23"/>
              <w:jc w:val="center"/>
            </w:pPr>
            <w:r>
              <w:rPr>
                <w:rFonts w:hint="eastAsia"/>
              </w:rPr>
              <w:t>127</w:t>
            </w:r>
          </w:p>
        </w:tc>
        <w:tc>
          <w:tcPr>
            <w:tcW w:w="281" w:type="pct"/>
            <w:vMerge w:val="restart"/>
            <w:tcBorders>
              <w:tl2br w:val="nil"/>
              <w:tr2bl w:val="nil"/>
            </w:tcBorders>
            <w:noWrap/>
            <w:tcMar>
              <w:top w:w="57" w:type="dxa"/>
              <w:left w:w="57" w:type="dxa"/>
              <w:bottom w:w="57" w:type="dxa"/>
              <w:right w:w="57" w:type="dxa"/>
            </w:tcMar>
            <w:vAlign w:val="center"/>
          </w:tcPr>
          <w:p w14:paraId="4A0F0339">
            <w:pPr>
              <w:pStyle w:val="23"/>
              <w:jc w:val="center"/>
            </w:pPr>
            <w:r>
              <w:rPr>
                <w:rFonts w:hint="eastAsia"/>
              </w:rPr>
              <w:t>要素保障类</w:t>
            </w:r>
          </w:p>
        </w:tc>
        <w:tc>
          <w:tcPr>
            <w:tcW w:w="2971" w:type="pct"/>
            <w:tcBorders>
              <w:tl2br w:val="nil"/>
              <w:tr2bl w:val="nil"/>
            </w:tcBorders>
            <w:tcMar>
              <w:top w:w="57" w:type="dxa"/>
              <w:left w:w="57" w:type="dxa"/>
              <w:bottom w:w="57" w:type="dxa"/>
              <w:right w:w="57" w:type="dxa"/>
            </w:tcMar>
            <w:vAlign w:val="center"/>
          </w:tcPr>
          <w:p w14:paraId="3CFB8297">
            <w:pPr>
              <w:pStyle w:val="23"/>
            </w:pPr>
            <w:r>
              <w:rPr>
                <w:rFonts w:hint="eastAsia"/>
              </w:rPr>
              <w:t>工业项目用地支持。新引进“标准地”供地类工业项目，按照新建项目规划验收后核定的固定资产投资强度亩均投资不低于300万元、投产后亩均税收不低于25万元等指标，满足取得土地出让条件和“标准地”使用要求的给予产业扶持。对符合我市主导产业发展规划且集约用地的工业项目优先保障用地需求，以最高年限出让的，土地出让价格可按所在地基准地价的70%执行。对招商引资重大项目，积极推进长期租赁、先租后让、租让结合等方式供应土地，根据产业周期弹性确定土地使用期限。允许企业在1年内分期缴纳土地出让价款，首期缴纳比例不得低于50%。</w:t>
            </w:r>
          </w:p>
        </w:tc>
        <w:tc>
          <w:tcPr>
            <w:tcW w:w="1481" w:type="pct"/>
            <w:vMerge w:val="restart"/>
            <w:tcBorders>
              <w:tl2br w:val="nil"/>
              <w:tr2bl w:val="nil"/>
            </w:tcBorders>
            <w:tcMar>
              <w:top w:w="57" w:type="dxa"/>
              <w:left w:w="57" w:type="dxa"/>
              <w:bottom w:w="57" w:type="dxa"/>
              <w:right w:w="57" w:type="dxa"/>
            </w:tcMar>
            <w:vAlign w:val="center"/>
          </w:tcPr>
          <w:p w14:paraId="17CDAF61">
            <w:pPr>
              <w:pStyle w:val="23"/>
            </w:pPr>
            <w:r>
              <w:rPr>
                <w:rFonts w:hint="eastAsia"/>
              </w:rPr>
              <w:t>2021年11月17日，《市人民政府关于印发&lt;鄂州市招商引资激励办法&gt;的通知》（鄂州政发〔2021〕11号）</w:t>
            </w:r>
          </w:p>
        </w:tc>
      </w:tr>
      <w:tr w14:paraId="3773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265" w:type="pct"/>
            <w:tcBorders>
              <w:tl2br w:val="nil"/>
              <w:tr2bl w:val="nil"/>
            </w:tcBorders>
            <w:tcMar>
              <w:top w:w="57" w:type="dxa"/>
              <w:left w:w="57" w:type="dxa"/>
              <w:bottom w:w="57" w:type="dxa"/>
              <w:right w:w="57" w:type="dxa"/>
            </w:tcMar>
            <w:vAlign w:val="center"/>
          </w:tcPr>
          <w:p w14:paraId="1A057866">
            <w:pPr>
              <w:pStyle w:val="23"/>
              <w:jc w:val="center"/>
            </w:pPr>
            <w:r>
              <w:rPr>
                <w:rFonts w:hint="eastAsia"/>
              </w:rPr>
              <w:t>128</w:t>
            </w:r>
          </w:p>
        </w:tc>
        <w:tc>
          <w:tcPr>
            <w:tcW w:w="281" w:type="pct"/>
            <w:vMerge w:val="continue"/>
            <w:tcBorders>
              <w:tl2br w:val="nil"/>
              <w:tr2bl w:val="nil"/>
            </w:tcBorders>
            <w:noWrap/>
            <w:tcMar>
              <w:top w:w="57" w:type="dxa"/>
              <w:left w:w="57" w:type="dxa"/>
              <w:bottom w:w="57" w:type="dxa"/>
              <w:right w:w="57" w:type="dxa"/>
            </w:tcMar>
            <w:vAlign w:val="center"/>
          </w:tcPr>
          <w:p w14:paraId="5EE894AE">
            <w:pPr>
              <w:pStyle w:val="23"/>
              <w:jc w:val="center"/>
            </w:pPr>
          </w:p>
        </w:tc>
        <w:tc>
          <w:tcPr>
            <w:tcW w:w="2971" w:type="pct"/>
            <w:tcBorders>
              <w:tl2br w:val="nil"/>
              <w:tr2bl w:val="nil"/>
            </w:tcBorders>
            <w:tcMar>
              <w:top w:w="57" w:type="dxa"/>
              <w:left w:w="57" w:type="dxa"/>
              <w:bottom w:w="57" w:type="dxa"/>
              <w:right w:w="57" w:type="dxa"/>
            </w:tcMar>
            <w:vAlign w:val="center"/>
          </w:tcPr>
          <w:p w14:paraId="1B9CB6D2">
            <w:pPr>
              <w:pStyle w:val="23"/>
            </w:pPr>
            <w:r>
              <w:rPr>
                <w:rFonts w:hint="eastAsia"/>
              </w:rPr>
              <w:t>物流项目用地支持。对符合我市物流业布局规划的农产品批发市场或直接用于物资储备、中转、配送、分销作业、运输装卸以及相应附属设施的物流用地（具有物资批发、零售等市场交易功能的用地除外），可按项目所在地工业用地最低标准出让。</w:t>
            </w:r>
          </w:p>
        </w:tc>
        <w:tc>
          <w:tcPr>
            <w:tcW w:w="1481" w:type="pct"/>
            <w:vMerge w:val="continue"/>
            <w:tcBorders>
              <w:tl2br w:val="nil"/>
              <w:tr2bl w:val="nil"/>
            </w:tcBorders>
            <w:tcMar>
              <w:top w:w="57" w:type="dxa"/>
              <w:left w:w="57" w:type="dxa"/>
              <w:bottom w:w="57" w:type="dxa"/>
              <w:right w:w="57" w:type="dxa"/>
            </w:tcMar>
            <w:vAlign w:val="center"/>
          </w:tcPr>
          <w:p w14:paraId="661E676F">
            <w:pPr>
              <w:pStyle w:val="23"/>
            </w:pPr>
          </w:p>
        </w:tc>
      </w:tr>
      <w:tr w14:paraId="27A4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265" w:type="pct"/>
            <w:tcBorders>
              <w:tl2br w:val="nil"/>
              <w:tr2bl w:val="nil"/>
            </w:tcBorders>
            <w:tcMar>
              <w:top w:w="57" w:type="dxa"/>
              <w:left w:w="57" w:type="dxa"/>
              <w:bottom w:w="57" w:type="dxa"/>
              <w:right w:w="57" w:type="dxa"/>
            </w:tcMar>
            <w:vAlign w:val="center"/>
          </w:tcPr>
          <w:p w14:paraId="5239F877">
            <w:pPr>
              <w:pStyle w:val="23"/>
              <w:jc w:val="center"/>
            </w:pPr>
            <w:r>
              <w:rPr>
                <w:rFonts w:hint="eastAsia"/>
              </w:rPr>
              <w:t>129</w:t>
            </w:r>
          </w:p>
        </w:tc>
        <w:tc>
          <w:tcPr>
            <w:tcW w:w="281" w:type="pct"/>
            <w:vMerge w:val="continue"/>
            <w:tcBorders>
              <w:tl2br w:val="nil"/>
              <w:tr2bl w:val="nil"/>
            </w:tcBorders>
            <w:noWrap/>
            <w:tcMar>
              <w:top w:w="57" w:type="dxa"/>
              <w:left w:w="57" w:type="dxa"/>
              <w:bottom w:w="57" w:type="dxa"/>
              <w:right w:w="57" w:type="dxa"/>
            </w:tcMar>
            <w:vAlign w:val="center"/>
          </w:tcPr>
          <w:p w14:paraId="14FDDCBA">
            <w:pPr>
              <w:pStyle w:val="23"/>
              <w:jc w:val="center"/>
            </w:pPr>
          </w:p>
        </w:tc>
        <w:tc>
          <w:tcPr>
            <w:tcW w:w="2971" w:type="pct"/>
            <w:tcBorders>
              <w:tl2br w:val="nil"/>
              <w:tr2bl w:val="nil"/>
            </w:tcBorders>
            <w:tcMar>
              <w:top w:w="57" w:type="dxa"/>
              <w:left w:w="57" w:type="dxa"/>
              <w:bottom w:w="57" w:type="dxa"/>
              <w:right w:w="57" w:type="dxa"/>
            </w:tcMar>
            <w:vAlign w:val="center"/>
          </w:tcPr>
          <w:p w14:paraId="6A0989D5">
            <w:pPr>
              <w:pStyle w:val="23"/>
            </w:pPr>
            <w:r>
              <w:rPr>
                <w:rFonts w:hint="eastAsia"/>
              </w:rPr>
              <w:t>文旅康养项目用地支持。旅游项目中属于自然景观用地及农牧渔业种植、养殖用地的，不征收（收回）、不转用，按现用途管理。对使用荒山、荒地、荒滩进行建设的旅游项目，可按不低于土地取得成本、土地前期开发成本和按规定应收取相关费用之和的原则确定出让底价。</w:t>
            </w:r>
          </w:p>
        </w:tc>
        <w:tc>
          <w:tcPr>
            <w:tcW w:w="1481" w:type="pct"/>
            <w:vMerge w:val="continue"/>
            <w:tcBorders>
              <w:tl2br w:val="nil"/>
              <w:tr2bl w:val="nil"/>
            </w:tcBorders>
            <w:tcMar>
              <w:top w:w="57" w:type="dxa"/>
              <w:left w:w="57" w:type="dxa"/>
              <w:bottom w:w="57" w:type="dxa"/>
              <w:right w:w="57" w:type="dxa"/>
            </w:tcMar>
            <w:vAlign w:val="center"/>
          </w:tcPr>
          <w:p w14:paraId="0AF9AE69">
            <w:pPr>
              <w:pStyle w:val="23"/>
            </w:pPr>
          </w:p>
        </w:tc>
      </w:tr>
    </w:tbl>
    <w:p w14:paraId="46C90B27">
      <w:pPr>
        <w:ind w:left="0" w:leftChars="0" w:firstLine="0" w:firstLineChars="0"/>
        <w:rPr>
          <w:rFonts w:hint="eastAsia"/>
        </w:rPr>
      </w:pPr>
      <w:bookmarkStart w:id="0" w:name="_GoBack"/>
      <w:bookmarkEnd w:id="0"/>
    </w:p>
    <w:sectPr>
      <w:pgSz w:w="11906" w:h="16838"/>
      <w:pgMar w:top="1984" w:right="1474" w:bottom="1701" w:left="1587" w:header="851" w:footer="28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4YTFmZmJjZTE1NmRhNDE3NWU5ODE1YjRkOGRiM2YifQ=="/>
  </w:docVars>
  <w:rsids>
    <w:rsidRoot w:val="00BD6A98"/>
    <w:rsid w:val="00431FD9"/>
    <w:rsid w:val="004D4EC3"/>
    <w:rsid w:val="007331CD"/>
    <w:rsid w:val="00920C45"/>
    <w:rsid w:val="00BD6A98"/>
    <w:rsid w:val="00D40F04"/>
    <w:rsid w:val="0AD32091"/>
    <w:rsid w:val="3E856F1F"/>
    <w:rsid w:val="51A77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1" w:semiHidden="0"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8" w:lineRule="exact"/>
      <w:ind w:firstLine="420" w:firstLineChars="200"/>
      <w:jc w:val="both"/>
    </w:pPr>
    <w:rPr>
      <w:rFonts w:ascii="Calibri" w:hAnsi="Calibri" w:eastAsia="方正仿宋_GBK" w:cs="Times New Roman"/>
      <w:kern w:val="2"/>
      <w:sz w:val="32"/>
      <w:szCs w:val="24"/>
      <w:lang w:val="en-US" w:eastAsia="zh-CN" w:bidi="ar-SA"/>
    </w:rPr>
  </w:style>
  <w:style w:type="paragraph" w:styleId="2">
    <w:name w:val="heading 1"/>
    <w:basedOn w:val="1"/>
    <w:link w:val="18"/>
    <w:qFormat/>
    <w:uiPriority w:val="0"/>
    <w:pPr>
      <w:keepNext/>
      <w:keepLines/>
      <w:spacing w:line="624" w:lineRule="exact"/>
      <w:ind w:firstLine="0" w:firstLineChars="0"/>
      <w:jc w:val="center"/>
      <w:outlineLvl w:val="0"/>
    </w:pPr>
    <w:rPr>
      <w:rFonts w:ascii="Times New Roman" w:hAnsi="Times New Roman" w:eastAsia="方正小标宋_GBK"/>
      <w:snapToGrid w:val="0"/>
      <w:kern w:val="0"/>
      <w:sz w:val="44"/>
    </w:rPr>
  </w:style>
  <w:style w:type="paragraph" w:styleId="3">
    <w:name w:val="heading 2"/>
    <w:basedOn w:val="1"/>
    <w:link w:val="19"/>
    <w:unhideWhenUsed/>
    <w:qFormat/>
    <w:uiPriority w:val="1"/>
    <w:pPr>
      <w:ind w:right="1438"/>
      <w:jc w:val="center"/>
      <w:outlineLvl w:val="1"/>
    </w:pPr>
    <w:rPr>
      <w:rFonts w:hint="eastAsia" w:ascii="方正黑体_GBK" w:hAnsi="方正黑体_GBK" w:eastAsia="方正黑体_GBK" w:cs="方正黑体_GBK"/>
      <w:sz w:val="36"/>
      <w:szCs w:val="36"/>
    </w:rPr>
  </w:style>
  <w:style w:type="paragraph" w:styleId="4">
    <w:name w:val="heading 4"/>
    <w:basedOn w:val="1"/>
    <w:link w:val="20"/>
    <w:qFormat/>
    <w:uiPriority w:val="1"/>
    <w:pPr>
      <w:ind w:right="1438"/>
      <w:jc w:val="center"/>
      <w:outlineLvl w:val="3"/>
    </w:pPr>
    <w:rPr>
      <w:rFonts w:ascii="方正楷体_GBK" w:hAnsi="方正楷体_GBK" w:eastAsia="方正楷体_GBK" w:cs="方正楷体_GBK"/>
      <w:sz w:val="28"/>
      <w:szCs w:val="28"/>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1"/>
    <w:pPr>
      <w:ind w:left="232"/>
    </w:pPr>
    <w:rPr>
      <w:rFonts w:ascii="方正书宋_GBK" w:hAnsi="方正书宋_GBK" w:eastAsia="方正书宋_GBK" w:cs="方正书宋_GBK"/>
      <w:sz w:val="24"/>
    </w:rPr>
  </w:style>
  <w:style w:type="paragraph" w:styleId="6">
    <w:name w:val="footer"/>
    <w:basedOn w:val="1"/>
    <w:link w:val="17"/>
    <w:unhideWhenUsed/>
    <w:qFormat/>
    <w:uiPriority w:val="0"/>
    <w:pPr>
      <w:tabs>
        <w:tab w:val="center" w:pos="4153"/>
        <w:tab w:val="right" w:pos="8306"/>
      </w:tabs>
      <w:adjustRightInd/>
      <w:spacing w:line="240" w:lineRule="auto"/>
      <w:ind w:firstLine="0" w:firstLineChars="0"/>
      <w:jc w:val="left"/>
    </w:pPr>
    <w:rPr>
      <w:rFonts w:asciiTheme="minorHAnsi" w:hAnsiTheme="minorHAnsi" w:eastAsiaTheme="minorEastAsia" w:cstheme="minorBidi"/>
      <w:sz w:val="18"/>
      <w:szCs w:val="18"/>
    </w:rPr>
  </w:style>
  <w:style w:type="paragraph" w:styleId="7">
    <w:name w:val="header"/>
    <w:basedOn w:val="1"/>
    <w:link w:val="16"/>
    <w:unhideWhenUsed/>
    <w:qFormat/>
    <w:uiPriority w:val="0"/>
    <w:pPr>
      <w:tabs>
        <w:tab w:val="center" w:pos="4153"/>
        <w:tab w:val="right" w:pos="8306"/>
      </w:tabs>
      <w:adjustRightInd/>
      <w:spacing w:line="240" w:lineRule="auto"/>
      <w:ind w:firstLine="0" w:firstLineChars="0"/>
      <w:jc w:val="center"/>
    </w:pPr>
    <w:rPr>
      <w:rFonts w:asciiTheme="minorHAnsi" w:hAnsiTheme="minorHAnsi" w:eastAsiaTheme="minorEastAsia" w:cstheme="minorBidi"/>
      <w:sz w:val="18"/>
      <w:szCs w:val="18"/>
    </w:rPr>
  </w:style>
  <w:style w:type="paragraph" w:styleId="8">
    <w:name w:val="toc 1"/>
    <w:basedOn w:val="9"/>
    <w:next w:val="1"/>
    <w:qFormat/>
    <w:uiPriority w:val="0"/>
    <w:pPr>
      <w:spacing w:before="416" w:after="416"/>
      <w:ind w:firstLine="0" w:firstLineChars="0"/>
      <w:jc w:val="center"/>
    </w:pPr>
    <w:rPr>
      <w:rFonts w:eastAsia="方正小标宋_GBK"/>
      <w:sz w:val="32"/>
    </w:rPr>
  </w:style>
  <w:style w:type="paragraph" w:customStyle="1" w:styleId="9">
    <w:name w:val="正文1"/>
    <w:basedOn w:val="1"/>
    <w:link w:val="28"/>
    <w:qFormat/>
    <w:uiPriority w:val="0"/>
    <w:pPr>
      <w:overflowPunct w:val="0"/>
      <w:spacing w:line="416" w:lineRule="exact"/>
    </w:pPr>
    <w:rPr>
      <w:rFonts w:ascii="Times New Roman" w:hAnsi="Times New Roman" w:eastAsia="方正书宋_GBK"/>
      <w:snapToGrid w:val="0"/>
      <w:kern w:val="0"/>
      <w:sz w:val="24"/>
    </w:rPr>
  </w:style>
  <w:style w:type="paragraph" w:styleId="10">
    <w:name w:val="Subtitle"/>
    <w:basedOn w:val="9"/>
    <w:next w:val="9"/>
    <w:link w:val="22"/>
    <w:qFormat/>
    <w:uiPriority w:val="0"/>
    <w:pPr>
      <w:spacing w:before="416" w:after="416"/>
      <w:ind w:firstLine="0" w:firstLineChars="0"/>
      <w:jc w:val="center"/>
      <w:outlineLvl w:val="1"/>
    </w:pPr>
    <w:rPr>
      <w:rFonts w:eastAsia="方正楷体_GBK"/>
      <w:kern w:val="28"/>
    </w:rPr>
  </w:style>
  <w:style w:type="paragraph" w:styleId="11">
    <w:name w:val="toc 2"/>
    <w:basedOn w:val="9"/>
    <w:next w:val="9"/>
    <w:qFormat/>
    <w:uiPriority w:val="0"/>
    <w:pPr>
      <w:tabs>
        <w:tab w:val="right" w:leader="middleDot" w:pos="8844"/>
      </w:tabs>
      <w:ind w:hanging="480" w:hangingChars="200"/>
    </w:pPr>
  </w:style>
  <w:style w:type="paragraph" w:styleId="12">
    <w:name w:val="Normal (Web)"/>
    <w:basedOn w:val="1"/>
    <w:qFormat/>
    <w:uiPriority w:val="0"/>
    <w:pPr>
      <w:spacing w:beforeAutospacing="1" w:afterAutospacing="1"/>
      <w:jc w:val="left"/>
    </w:pPr>
    <w:rPr>
      <w:kern w:val="0"/>
      <w:sz w:val="24"/>
    </w:rPr>
  </w:style>
  <w:style w:type="character" w:styleId="15">
    <w:name w:val="Strong"/>
    <w:basedOn w:val="14"/>
    <w:qFormat/>
    <w:uiPriority w:val="0"/>
    <w:rPr>
      <w:b/>
    </w:rPr>
  </w:style>
  <w:style w:type="character" w:customStyle="1" w:styleId="16">
    <w:name w:val="页眉 字符"/>
    <w:basedOn w:val="14"/>
    <w:link w:val="7"/>
    <w:qFormat/>
    <w:uiPriority w:val="0"/>
    <w:rPr>
      <w:sz w:val="18"/>
      <w:szCs w:val="18"/>
    </w:rPr>
  </w:style>
  <w:style w:type="character" w:customStyle="1" w:styleId="17">
    <w:name w:val="页脚 字符"/>
    <w:basedOn w:val="14"/>
    <w:link w:val="6"/>
    <w:qFormat/>
    <w:uiPriority w:val="99"/>
    <w:rPr>
      <w:sz w:val="18"/>
      <w:szCs w:val="18"/>
    </w:rPr>
  </w:style>
  <w:style w:type="character" w:customStyle="1" w:styleId="18">
    <w:name w:val="标题 1 字符"/>
    <w:basedOn w:val="14"/>
    <w:link w:val="2"/>
    <w:qFormat/>
    <w:uiPriority w:val="0"/>
    <w:rPr>
      <w:rFonts w:ascii="Times New Roman" w:hAnsi="Times New Roman" w:eastAsia="方正小标宋_GBK" w:cs="Times New Roman"/>
      <w:snapToGrid w:val="0"/>
      <w:kern w:val="0"/>
      <w:sz w:val="44"/>
      <w:szCs w:val="24"/>
    </w:rPr>
  </w:style>
  <w:style w:type="character" w:customStyle="1" w:styleId="19">
    <w:name w:val="标题 2 字符"/>
    <w:basedOn w:val="14"/>
    <w:link w:val="3"/>
    <w:qFormat/>
    <w:uiPriority w:val="1"/>
    <w:rPr>
      <w:rFonts w:ascii="方正黑体_GBK" w:hAnsi="方正黑体_GBK" w:eastAsia="方正黑体_GBK" w:cs="方正黑体_GBK"/>
      <w:sz w:val="36"/>
      <w:szCs w:val="36"/>
    </w:rPr>
  </w:style>
  <w:style w:type="character" w:customStyle="1" w:styleId="20">
    <w:name w:val="标题 4 字符"/>
    <w:basedOn w:val="14"/>
    <w:link w:val="4"/>
    <w:qFormat/>
    <w:uiPriority w:val="1"/>
    <w:rPr>
      <w:rFonts w:ascii="方正楷体_GBK" w:hAnsi="方正楷体_GBK" w:eastAsia="方正楷体_GBK" w:cs="方正楷体_GBK"/>
      <w:sz w:val="28"/>
      <w:szCs w:val="28"/>
    </w:rPr>
  </w:style>
  <w:style w:type="character" w:customStyle="1" w:styleId="21">
    <w:name w:val="正文文本 字符"/>
    <w:basedOn w:val="14"/>
    <w:link w:val="5"/>
    <w:qFormat/>
    <w:uiPriority w:val="1"/>
    <w:rPr>
      <w:rFonts w:ascii="方正书宋_GBK" w:hAnsi="方正书宋_GBK" w:eastAsia="方正书宋_GBK" w:cs="方正书宋_GBK"/>
      <w:sz w:val="24"/>
      <w:szCs w:val="24"/>
    </w:rPr>
  </w:style>
  <w:style w:type="character" w:customStyle="1" w:styleId="22">
    <w:name w:val="副标题 字符"/>
    <w:basedOn w:val="14"/>
    <w:link w:val="10"/>
    <w:qFormat/>
    <w:uiPriority w:val="0"/>
    <w:rPr>
      <w:rFonts w:ascii="Times New Roman" w:hAnsi="Times New Roman" w:eastAsia="方正楷体_GBK" w:cs="Times New Roman"/>
      <w:snapToGrid w:val="0"/>
      <w:kern w:val="28"/>
      <w:sz w:val="24"/>
      <w:szCs w:val="24"/>
    </w:rPr>
  </w:style>
  <w:style w:type="paragraph" w:customStyle="1" w:styleId="23">
    <w:name w:val="表格正文"/>
    <w:basedOn w:val="1"/>
    <w:link w:val="29"/>
    <w:qFormat/>
    <w:uiPriority w:val="0"/>
    <w:pPr>
      <w:spacing w:line="250" w:lineRule="exact"/>
      <w:ind w:firstLine="0" w:firstLineChars="0"/>
    </w:pPr>
    <w:rPr>
      <w:rFonts w:ascii="Times New Roman" w:hAnsi="Times New Roman" w:eastAsia="方正书宋_GBK"/>
      <w:color w:val="000000"/>
      <w:sz w:val="18"/>
    </w:rPr>
  </w:style>
  <w:style w:type="paragraph" w:customStyle="1" w:styleId="24">
    <w:name w:val="表头"/>
    <w:basedOn w:val="1"/>
    <w:qFormat/>
    <w:uiPriority w:val="0"/>
    <w:pPr>
      <w:spacing w:line="250" w:lineRule="exact"/>
      <w:ind w:firstLine="0" w:firstLineChars="0"/>
      <w:jc w:val="center"/>
    </w:pPr>
    <w:rPr>
      <w:rFonts w:hint="eastAsia" w:ascii="Times New Roman" w:hAnsi="Times New Roman" w:eastAsia="方正黑体_GBK"/>
      <w:color w:val="000000"/>
      <w:sz w:val="18"/>
    </w:rPr>
  </w:style>
  <w:style w:type="paragraph" w:customStyle="1" w:styleId="25">
    <w:name w:val="Table Paragraph"/>
    <w:basedOn w:val="1"/>
    <w:unhideWhenUsed/>
    <w:qFormat/>
    <w:uiPriority w:val="1"/>
    <w:rPr>
      <w:rFonts w:hint="eastAsia"/>
      <w:sz w:val="22"/>
      <w:szCs w:val="22"/>
    </w:rPr>
  </w:style>
  <w:style w:type="paragraph" w:customStyle="1" w:styleId="26">
    <w:name w:val="目录组别"/>
    <w:basedOn w:val="9"/>
    <w:next w:val="9"/>
    <w:link w:val="27"/>
    <w:qFormat/>
    <w:uiPriority w:val="0"/>
    <w:pPr>
      <w:pBdr>
        <w:top w:val="none" w:color="auto" w:sz="0" w:space="1"/>
        <w:left w:val="none" w:color="auto" w:sz="0" w:space="4"/>
        <w:bottom w:val="none" w:color="auto" w:sz="0" w:space="1"/>
        <w:right w:val="none" w:color="auto" w:sz="0" w:space="4"/>
      </w:pBdr>
      <w:ind w:firstLine="0" w:firstLineChars="0"/>
      <w:jc w:val="left"/>
      <w:outlineLvl w:val="0"/>
    </w:pPr>
    <w:rPr>
      <w:rFonts w:eastAsia="方正楷体_GBK"/>
      <w:color w:val="FFFFFF" w:themeColor="background1"/>
      <w14:textFill>
        <w14:solidFill>
          <w14:schemeClr w14:val="bg1"/>
        </w14:solidFill>
      </w14:textFill>
    </w:rPr>
  </w:style>
  <w:style w:type="character" w:customStyle="1" w:styleId="27">
    <w:name w:val="目录组别 Char"/>
    <w:link w:val="26"/>
    <w:qFormat/>
    <w:uiPriority w:val="0"/>
    <w:rPr>
      <w:rFonts w:ascii="Times New Roman" w:hAnsi="Times New Roman" w:eastAsia="方正楷体_GBK" w:cs="Times New Roman"/>
      <w:snapToGrid w:val="0"/>
      <w:color w:val="FFFFFF" w:themeColor="background1"/>
      <w:kern w:val="0"/>
      <w:sz w:val="24"/>
      <w:szCs w:val="24"/>
      <w14:textFill>
        <w14:solidFill>
          <w14:schemeClr w14:val="bg1"/>
        </w14:solidFill>
      </w14:textFill>
    </w:rPr>
  </w:style>
  <w:style w:type="character" w:customStyle="1" w:styleId="28">
    <w:name w:val="正文1 Char"/>
    <w:link w:val="9"/>
    <w:qFormat/>
    <w:uiPriority w:val="0"/>
    <w:rPr>
      <w:rFonts w:ascii="Times New Roman" w:hAnsi="Times New Roman" w:eastAsia="方正书宋_GBK" w:cs="Times New Roman"/>
      <w:snapToGrid w:val="0"/>
      <w:kern w:val="0"/>
      <w:sz w:val="24"/>
      <w:szCs w:val="24"/>
    </w:rPr>
  </w:style>
  <w:style w:type="character" w:customStyle="1" w:styleId="29">
    <w:name w:val="表格正文 Char"/>
    <w:link w:val="23"/>
    <w:qFormat/>
    <w:uiPriority w:val="0"/>
    <w:rPr>
      <w:rFonts w:ascii="Times New Roman" w:hAnsi="Times New Roman" w:eastAsia="方正书宋_GBK" w:cs="Times New Roman"/>
      <w:color w:val="000000"/>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34547</Words>
  <Characters>36874</Characters>
  <Lines>271</Lines>
  <Paragraphs>76</Paragraphs>
  <TotalTime>1</TotalTime>
  <ScaleCrop>false</ScaleCrop>
  <LinksUpToDate>false</LinksUpToDate>
  <CharactersWithSpaces>36929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2024-10-15T03:12:00Z</dcterms:created>
  <dc:creator>李佳程</dc:creator>
  <cp:lastModifiedBy>夏之雪</cp:lastModifiedBy>
  <dcterms:modified xsi:type="dcterms:W3CDTF">2024-10-15T09:22:01Z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37E85B90CFF34696B882F2F7F99CBC03_13</vt:lpwstr>
  </property>
</Properties>
</file>