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2C00A1">
      <w:pPr>
        <w:ind w:left="0" w:leftChars="0" w:firstLine="0" w:firstLineChars="0"/>
      </w:pPr>
      <w:r>
        <w:rPr>
          <w:rFonts w:hint="eastAsia"/>
        </w:rPr>
        <w:t>附件2</w:t>
      </w:r>
    </w:p>
    <w:p w14:paraId="212105B8">
      <w:pPr>
        <w:keepNext/>
        <w:keepLines/>
        <w:overflowPunct w:val="0"/>
        <w:spacing w:before="360" w:after="360"/>
        <w:ind w:firstLine="640"/>
      </w:pPr>
      <w:r>
        <w:rPr>
          <w:rFonts w:hint="eastAsia"/>
        </w:rPr>
        <w:t>各区优化营商环境政策文件梳理汇总表</w:t>
      </w:r>
    </w:p>
    <w:tbl>
      <w:tblPr>
        <w:tblStyle w:val="13"/>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8"/>
        <w:gridCol w:w="477"/>
        <w:gridCol w:w="570"/>
        <w:gridCol w:w="4730"/>
        <w:gridCol w:w="2429"/>
      </w:tblGrid>
      <w:tr w14:paraId="4568B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0" w:hRule="atLeast"/>
          <w:tblHeader/>
        </w:trPr>
        <w:tc>
          <w:tcPr>
            <w:tcW w:w="418" w:type="pct"/>
            <w:tcBorders>
              <w:tl2br w:val="nil"/>
              <w:tr2bl w:val="nil"/>
            </w:tcBorders>
            <w:tcMar>
              <w:top w:w="57" w:type="dxa"/>
              <w:left w:w="57" w:type="dxa"/>
              <w:bottom w:w="57" w:type="dxa"/>
              <w:right w:w="57" w:type="dxa"/>
            </w:tcMar>
            <w:vAlign w:val="center"/>
          </w:tcPr>
          <w:p w14:paraId="0AE52689">
            <w:pPr>
              <w:pStyle w:val="24"/>
              <w:rPr>
                <w:rFonts w:hint="default"/>
              </w:rPr>
            </w:pPr>
            <w:r>
              <w:t>政策所属地区</w:t>
            </w:r>
          </w:p>
        </w:tc>
        <w:tc>
          <w:tcPr>
            <w:tcW w:w="266" w:type="pct"/>
            <w:tcBorders>
              <w:tl2br w:val="nil"/>
              <w:tr2bl w:val="nil"/>
            </w:tcBorders>
            <w:tcMar>
              <w:top w:w="57" w:type="dxa"/>
              <w:left w:w="57" w:type="dxa"/>
              <w:bottom w:w="57" w:type="dxa"/>
              <w:right w:w="57" w:type="dxa"/>
            </w:tcMar>
            <w:vAlign w:val="center"/>
          </w:tcPr>
          <w:p w14:paraId="1403FC36">
            <w:pPr>
              <w:pStyle w:val="24"/>
              <w:rPr>
                <w:rFonts w:hint="default"/>
              </w:rPr>
            </w:pPr>
            <w:r>
              <w:t>序号</w:t>
            </w:r>
          </w:p>
        </w:tc>
        <w:tc>
          <w:tcPr>
            <w:tcW w:w="318" w:type="pct"/>
            <w:tcBorders>
              <w:tl2br w:val="nil"/>
              <w:tr2bl w:val="nil"/>
            </w:tcBorders>
            <w:tcMar>
              <w:top w:w="57" w:type="dxa"/>
              <w:left w:w="57" w:type="dxa"/>
              <w:bottom w:w="57" w:type="dxa"/>
              <w:right w:w="57" w:type="dxa"/>
            </w:tcMar>
            <w:vAlign w:val="center"/>
          </w:tcPr>
          <w:p w14:paraId="77EF5E0F">
            <w:pPr>
              <w:pStyle w:val="24"/>
              <w:rPr>
                <w:rFonts w:hint="default"/>
              </w:rPr>
            </w:pPr>
            <w:r>
              <w:t>政策类别</w:t>
            </w:r>
          </w:p>
        </w:tc>
        <w:tc>
          <w:tcPr>
            <w:tcW w:w="2640" w:type="pct"/>
            <w:tcBorders>
              <w:tl2br w:val="nil"/>
              <w:tr2bl w:val="nil"/>
            </w:tcBorders>
            <w:tcMar>
              <w:top w:w="57" w:type="dxa"/>
              <w:left w:w="57" w:type="dxa"/>
              <w:bottom w:w="57" w:type="dxa"/>
              <w:right w:w="57" w:type="dxa"/>
            </w:tcMar>
            <w:vAlign w:val="center"/>
          </w:tcPr>
          <w:p w14:paraId="34F8595D">
            <w:pPr>
              <w:pStyle w:val="24"/>
              <w:rPr>
                <w:rFonts w:hint="default"/>
              </w:rPr>
            </w:pPr>
            <w:r>
              <w:t>具体政策内容</w:t>
            </w:r>
          </w:p>
        </w:tc>
        <w:tc>
          <w:tcPr>
            <w:tcW w:w="1356" w:type="pct"/>
            <w:tcBorders>
              <w:tl2br w:val="nil"/>
              <w:tr2bl w:val="nil"/>
            </w:tcBorders>
            <w:tcMar>
              <w:top w:w="57" w:type="dxa"/>
              <w:left w:w="57" w:type="dxa"/>
              <w:bottom w:w="57" w:type="dxa"/>
              <w:right w:w="57" w:type="dxa"/>
            </w:tcMar>
            <w:vAlign w:val="center"/>
          </w:tcPr>
          <w:p w14:paraId="36891EA0">
            <w:pPr>
              <w:pStyle w:val="24"/>
              <w:rPr>
                <w:rFonts w:hint="default"/>
              </w:rPr>
            </w:pPr>
            <w:r>
              <w:t>政策来源</w:t>
            </w:r>
          </w:p>
        </w:tc>
      </w:tr>
      <w:tr w14:paraId="13A8D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7" w:hRule="atLeast"/>
        </w:trPr>
        <w:tc>
          <w:tcPr>
            <w:tcW w:w="418" w:type="pct"/>
            <w:vMerge w:val="restart"/>
            <w:tcBorders>
              <w:tl2br w:val="nil"/>
              <w:tr2bl w:val="nil"/>
            </w:tcBorders>
            <w:tcMar>
              <w:top w:w="57" w:type="dxa"/>
              <w:left w:w="57" w:type="dxa"/>
              <w:bottom w:w="57" w:type="dxa"/>
              <w:right w:w="57" w:type="dxa"/>
            </w:tcMar>
            <w:vAlign w:val="center"/>
          </w:tcPr>
          <w:p w14:paraId="5C79B87F">
            <w:pPr>
              <w:pStyle w:val="23"/>
              <w:jc w:val="center"/>
            </w:pPr>
            <w:r>
              <w:rPr>
                <w:rFonts w:hint="eastAsia"/>
              </w:rPr>
              <w:t>鄂城区</w:t>
            </w:r>
          </w:p>
        </w:tc>
        <w:tc>
          <w:tcPr>
            <w:tcW w:w="266" w:type="pct"/>
            <w:tcBorders>
              <w:tl2br w:val="nil"/>
              <w:tr2bl w:val="nil"/>
            </w:tcBorders>
            <w:tcMar>
              <w:top w:w="57" w:type="dxa"/>
              <w:left w:w="57" w:type="dxa"/>
              <w:bottom w:w="57" w:type="dxa"/>
              <w:right w:w="57" w:type="dxa"/>
            </w:tcMar>
            <w:vAlign w:val="center"/>
          </w:tcPr>
          <w:p w14:paraId="44A7D4BA">
            <w:pPr>
              <w:pStyle w:val="23"/>
              <w:jc w:val="center"/>
            </w:pPr>
            <w:r>
              <w:rPr>
                <w:rFonts w:hint="eastAsia"/>
              </w:rPr>
              <w:t>1</w:t>
            </w:r>
          </w:p>
        </w:tc>
        <w:tc>
          <w:tcPr>
            <w:tcW w:w="318" w:type="pct"/>
            <w:vMerge w:val="restart"/>
            <w:tcBorders>
              <w:tl2br w:val="nil"/>
              <w:tr2bl w:val="nil"/>
            </w:tcBorders>
            <w:tcMar>
              <w:top w:w="57" w:type="dxa"/>
              <w:left w:w="57" w:type="dxa"/>
              <w:bottom w:w="57" w:type="dxa"/>
              <w:right w:w="57" w:type="dxa"/>
            </w:tcMar>
            <w:vAlign w:val="center"/>
          </w:tcPr>
          <w:p w14:paraId="7598AF52">
            <w:pPr>
              <w:pStyle w:val="23"/>
              <w:jc w:val="center"/>
            </w:pPr>
            <w:r>
              <w:rPr>
                <w:rFonts w:hint="eastAsia"/>
              </w:rPr>
              <w:t>优化服务类</w:t>
            </w:r>
          </w:p>
        </w:tc>
        <w:tc>
          <w:tcPr>
            <w:tcW w:w="2640" w:type="pct"/>
            <w:tcBorders>
              <w:tl2br w:val="nil"/>
              <w:tr2bl w:val="nil"/>
            </w:tcBorders>
            <w:tcMar>
              <w:top w:w="57" w:type="dxa"/>
              <w:left w:w="57" w:type="dxa"/>
              <w:bottom w:w="57" w:type="dxa"/>
              <w:right w:w="57" w:type="dxa"/>
            </w:tcMar>
            <w:vAlign w:val="center"/>
          </w:tcPr>
          <w:p w14:paraId="7D8ACF20">
            <w:pPr>
              <w:pStyle w:val="23"/>
            </w:pPr>
            <w:r>
              <w:rPr>
                <w:rFonts w:hint="eastAsia"/>
              </w:rPr>
              <w:t>推行企业开办“1050”标准。实行企业开办“1个环节、0.5天办结、0费用”，企业名称自主申报后，即时办结设立登记，公章刻制、银行开户预约、发票申领、社保登记、公积金缴存登记实行同步审批，企业开办实现0.5天办结。</w:t>
            </w:r>
          </w:p>
        </w:tc>
        <w:tc>
          <w:tcPr>
            <w:tcW w:w="1356" w:type="pct"/>
            <w:vMerge w:val="restart"/>
            <w:tcBorders>
              <w:tl2br w:val="nil"/>
              <w:tr2bl w:val="nil"/>
            </w:tcBorders>
            <w:tcMar>
              <w:top w:w="57" w:type="dxa"/>
              <w:left w:w="57" w:type="dxa"/>
              <w:bottom w:w="57" w:type="dxa"/>
              <w:right w:w="57" w:type="dxa"/>
            </w:tcMar>
            <w:vAlign w:val="center"/>
          </w:tcPr>
          <w:p w14:paraId="51390605">
            <w:pPr>
              <w:pStyle w:val="23"/>
            </w:pPr>
            <w:r>
              <w:rPr>
                <w:rFonts w:hint="eastAsia"/>
              </w:rPr>
              <w:t>2023年5月22日，《鄂城区人民政府关于印发&lt;鄂城区以控制成本为核心优化营商环境工作方案&gt;的通知》（鄂城政发〔2023〕6 号）</w:t>
            </w:r>
          </w:p>
        </w:tc>
      </w:tr>
      <w:tr w14:paraId="19363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7" w:hRule="atLeast"/>
        </w:trPr>
        <w:tc>
          <w:tcPr>
            <w:tcW w:w="418" w:type="pct"/>
            <w:vMerge w:val="continue"/>
            <w:tcBorders>
              <w:tl2br w:val="nil"/>
              <w:tr2bl w:val="nil"/>
            </w:tcBorders>
            <w:tcMar>
              <w:top w:w="57" w:type="dxa"/>
              <w:left w:w="57" w:type="dxa"/>
              <w:bottom w:w="57" w:type="dxa"/>
              <w:right w:w="57" w:type="dxa"/>
            </w:tcMar>
            <w:vAlign w:val="center"/>
          </w:tcPr>
          <w:p w14:paraId="4E4DBAB3">
            <w:pPr>
              <w:pStyle w:val="23"/>
              <w:jc w:val="center"/>
            </w:pPr>
          </w:p>
        </w:tc>
        <w:tc>
          <w:tcPr>
            <w:tcW w:w="266" w:type="pct"/>
            <w:tcBorders>
              <w:tl2br w:val="nil"/>
              <w:tr2bl w:val="nil"/>
            </w:tcBorders>
            <w:tcMar>
              <w:top w:w="57" w:type="dxa"/>
              <w:left w:w="57" w:type="dxa"/>
              <w:bottom w:w="57" w:type="dxa"/>
              <w:right w:w="57" w:type="dxa"/>
            </w:tcMar>
            <w:vAlign w:val="center"/>
          </w:tcPr>
          <w:p w14:paraId="1700531A">
            <w:pPr>
              <w:pStyle w:val="23"/>
              <w:jc w:val="center"/>
            </w:pPr>
            <w:r>
              <w:rPr>
                <w:rFonts w:hint="eastAsia"/>
              </w:rPr>
              <w:t>2</w:t>
            </w:r>
          </w:p>
        </w:tc>
        <w:tc>
          <w:tcPr>
            <w:tcW w:w="318" w:type="pct"/>
            <w:vMerge w:val="continue"/>
            <w:tcBorders>
              <w:tl2br w:val="nil"/>
              <w:tr2bl w:val="nil"/>
            </w:tcBorders>
            <w:tcMar>
              <w:top w:w="57" w:type="dxa"/>
              <w:left w:w="57" w:type="dxa"/>
              <w:bottom w:w="57" w:type="dxa"/>
              <w:right w:w="57" w:type="dxa"/>
            </w:tcMar>
            <w:vAlign w:val="center"/>
          </w:tcPr>
          <w:p w14:paraId="0280B968">
            <w:pPr>
              <w:pStyle w:val="23"/>
              <w:jc w:val="center"/>
            </w:pPr>
          </w:p>
        </w:tc>
        <w:tc>
          <w:tcPr>
            <w:tcW w:w="2640" w:type="pct"/>
            <w:tcBorders>
              <w:tl2br w:val="nil"/>
              <w:tr2bl w:val="nil"/>
            </w:tcBorders>
            <w:tcMar>
              <w:top w:w="57" w:type="dxa"/>
              <w:left w:w="57" w:type="dxa"/>
              <w:bottom w:w="57" w:type="dxa"/>
              <w:right w:w="57" w:type="dxa"/>
            </w:tcMar>
            <w:vAlign w:val="center"/>
          </w:tcPr>
          <w:p w14:paraId="1F557DA9">
            <w:pPr>
              <w:pStyle w:val="23"/>
            </w:pPr>
            <w:r>
              <w:rPr>
                <w:rFonts w:hint="eastAsia"/>
              </w:rPr>
              <w:t>大力发展“共享用工”。搭建免费公益性用工服务平台，促进用工对接。组织开展民营企业招聘月等“10+N”就业服务专项活动，持续举办线上线下招聘活动。对生产经营暂时困难、稳岗意愿强的企业和因结构调整、转型升级长期停工停产的企业，支持其与符合产业发展方向、短期内用人需求量大的企业开展“共享用工”。</w:t>
            </w:r>
          </w:p>
        </w:tc>
        <w:tc>
          <w:tcPr>
            <w:tcW w:w="1356" w:type="pct"/>
            <w:vMerge w:val="continue"/>
            <w:tcBorders>
              <w:tl2br w:val="nil"/>
              <w:tr2bl w:val="nil"/>
            </w:tcBorders>
            <w:tcMar>
              <w:top w:w="57" w:type="dxa"/>
              <w:left w:w="57" w:type="dxa"/>
              <w:bottom w:w="57" w:type="dxa"/>
              <w:right w:w="57" w:type="dxa"/>
            </w:tcMar>
            <w:vAlign w:val="center"/>
          </w:tcPr>
          <w:p w14:paraId="2DC27CB0">
            <w:pPr>
              <w:pStyle w:val="23"/>
            </w:pPr>
          </w:p>
        </w:tc>
      </w:tr>
      <w:tr w14:paraId="7F441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7" w:hRule="atLeast"/>
        </w:trPr>
        <w:tc>
          <w:tcPr>
            <w:tcW w:w="418" w:type="pct"/>
            <w:vMerge w:val="continue"/>
            <w:tcBorders>
              <w:tl2br w:val="nil"/>
              <w:tr2bl w:val="nil"/>
            </w:tcBorders>
            <w:tcMar>
              <w:top w:w="57" w:type="dxa"/>
              <w:left w:w="57" w:type="dxa"/>
              <w:bottom w:w="57" w:type="dxa"/>
              <w:right w:w="57" w:type="dxa"/>
            </w:tcMar>
            <w:vAlign w:val="center"/>
          </w:tcPr>
          <w:p w14:paraId="4EF23990">
            <w:pPr>
              <w:pStyle w:val="23"/>
              <w:jc w:val="center"/>
            </w:pPr>
          </w:p>
        </w:tc>
        <w:tc>
          <w:tcPr>
            <w:tcW w:w="266" w:type="pct"/>
            <w:tcBorders>
              <w:tl2br w:val="nil"/>
              <w:tr2bl w:val="nil"/>
            </w:tcBorders>
            <w:tcMar>
              <w:top w:w="57" w:type="dxa"/>
              <w:left w:w="57" w:type="dxa"/>
              <w:bottom w:w="57" w:type="dxa"/>
              <w:right w:w="57" w:type="dxa"/>
            </w:tcMar>
            <w:vAlign w:val="center"/>
          </w:tcPr>
          <w:p w14:paraId="3D973210">
            <w:pPr>
              <w:pStyle w:val="23"/>
              <w:jc w:val="center"/>
            </w:pPr>
            <w:r>
              <w:rPr>
                <w:rFonts w:hint="eastAsia"/>
              </w:rPr>
              <w:t>3</w:t>
            </w:r>
          </w:p>
        </w:tc>
        <w:tc>
          <w:tcPr>
            <w:tcW w:w="318" w:type="pct"/>
            <w:vMerge w:val="continue"/>
            <w:tcBorders>
              <w:tl2br w:val="nil"/>
              <w:tr2bl w:val="nil"/>
            </w:tcBorders>
            <w:tcMar>
              <w:top w:w="57" w:type="dxa"/>
              <w:left w:w="57" w:type="dxa"/>
              <w:bottom w:w="57" w:type="dxa"/>
              <w:right w:w="57" w:type="dxa"/>
            </w:tcMar>
            <w:vAlign w:val="center"/>
          </w:tcPr>
          <w:p w14:paraId="6C68671A">
            <w:pPr>
              <w:pStyle w:val="23"/>
              <w:jc w:val="center"/>
            </w:pPr>
          </w:p>
        </w:tc>
        <w:tc>
          <w:tcPr>
            <w:tcW w:w="2640" w:type="pct"/>
            <w:tcBorders>
              <w:tl2br w:val="nil"/>
              <w:tr2bl w:val="nil"/>
            </w:tcBorders>
            <w:tcMar>
              <w:top w:w="57" w:type="dxa"/>
              <w:left w:w="57" w:type="dxa"/>
              <w:bottom w:w="57" w:type="dxa"/>
              <w:right w:w="57" w:type="dxa"/>
            </w:tcMar>
            <w:vAlign w:val="center"/>
          </w:tcPr>
          <w:p w14:paraId="7C4841BC">
            <w:pPr>
              <w:pStyle w:val="23"/>
            </w:pPr>
            <w:r>
              <w:rPr>
                <w:rFonts w:hint="eastAsia"/>
              </w:rPr>
              <w:t>提升供电可靠性和便利度。研发不停电作业信息平台，推广不停电作业移动作业。全年用户平均停电时长压降至3小时，故障停电次数压减30%；创新实施“刷脸办电”“零证办电”“信用办电”“亮码办电”等业务模式。</w:t>
            </w:r>
          </w:p>
        </w:tc>
        <w:tc>
          <w:tcPr>
            <w:tcW w:w="1356" w:type="pct"/>
            <w:vMerge w:val="continue"/>
            <w:tcBorders>
              <w:tl2br w:val="nil"/>
              <w:tr2bl w:val="nil"/>
            </w:tcBorders>
            <w:tcMar>
              <w:top w:w="57" w:type="dxa"/>
              <w:left w:w="57" w:type="dxa"/>
              <w:bottom w:w="57" w:type="dxa"/>
              <w:right w:w="57" w:type="dxa"/>
            </w:tcMar>
            <w:vAlign w:val="center"/>
          </w:tcPr>
          <w:p w14:paraId="7B0EBBB6">
            <w:pPr>
              <w:pStyle w:val="23"/>
            </w:pPr>
          </w:p>
        </w:tc>
      </w:tr>
      <w:tr w14:paraId="0ABF7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4" w:hRule="atLeast"/>
        </w:trPr>
        <w:tc>
          <w:tcPr>
            <w:tcW w:w="418" w:type="pct"/>
            <w:vMerge w:val="continue"/>
            <w:tcBorders>
              <w:tl2br w:val="nil"/>
              <w:tr2bl w:val="nil"/>
            </w:tcBorders>
            <w:tcMar>
              <w:top w:w="57" w:type="dxa"/>
              <w:left w:w="57" w:type="dxa"/>
              <w:bottom w:w="57" w:type="dxa"/>
              <w:right w:w="57" w:type="dxa"/>
            </w:tcMar>
            <w:vAlign w:val="center"/>
          </w:tcPr>
          <w:p w14:paraId="731B066F">
            <w:pPr>
              <w:pStyle w:val="23"/>
              <w:jc w:val="center"/>
            </w:pPr>
          </w:p>
        </w:tc>
        <w:tc>
          <w:tcPr>
            <w:tcW w:w="266" w:type="pct"/>
            <w:tcBorders>
              <w:tl2br w:val="nil"/>
              <w:tr2bl w:val="nil"/>
            </w:tcBorders>
            <w:tcMar>
              <w:top w:w="57" w:type="dxa"/>
              <w:left w:w="57" w:type="dxa"/>
              <w:bottom w:w="57" w:type="dxa"/>
              <w:right w:w="57" w:type="dxa"/>
            </w:tcMar>
            <w:vAlign w:val="center"/>
          </w:tcPr>
          <w:p w14:paraId="6ED2CFA0">
            <w:pPr>
              <w:pStyle w:val="23"/>
              <w:jc w:val="center"/>
            </w:pPr>
            <w:r>
              <w:rPr>
                <w:rFonts w:hint="eastAsia"/>
              </w:rPr>
              <w:t>4</w:t>
            </w:r>
          </w:p>
        </w:tc>
        <w:tc>
          <w:tcPr>
            <w:tcW w:w="318" w:type="pct"/>
            <w:vMerge w:val="continue"/>
            <w:tcBorders>
              <w:tl2br w:val="nil"/>
              <w:tr2bl w:val="nil"/>
            </w:tcBorders>
            <w:tcMar>
              <w:top w:w="57" w:type="dxa"/>
              <w:left w:w="57" w:type="dxa"/>
              <w:bottom w:w="57" w:type="dxa"/>
              <w:right w:w="57" w:type="dxa"/>
            </w:tcMar>
            <w:vAlign w:val="center"/>
          </w:tcPr>
          <w:p w14:paraId="28741E58">
            <w:pPr>
              <w:pStyle w:val="23"/>
              <w:jc w:val="center"/>
            </w:pPr>
          </w:p>
        </w:tc>
        <w:tc>
          <w:tcPr>
            <w:tcW w:w="2640" w:type="pct"/>
            <w:tcBorders>
              <w:tl2br w:val="nil"/>
              <w:tr2bl w:val="nil"/>
            </w:tcBorders>
            <w:tcMar>
              <w:top w:w="57" w:type="dxa"/>
              <w:left w:w="57" w:type="dxa"/>
              <w:bottom w:w="57" w:type="dxa"/>
              <w:right w:w="57" w:type="dxa"/>
            </w:tcMar>
            <w:vAlign w:val="center"/>
          </w:tcPr>
          <w:p w14:paraId="09BCDB22">
            <w:pPr>
              <w:pStyle w:val="23"/>
            </w:pPr>
            <w:r>
              <w:rPr>
                <w:rFonts w:hint="eastAsia"/>
              </w:rPr>
              <w:t>推广水电气网联动报装。根据用户申报需求进行并联推送、提前介入、联合踏勘，实现“一窗受理、一网通办、一同踏勘、一并接入”。</w:t>
            </w:r>
          </w:p>
        </w:tc>
        <w:tc>
          <w:tcPr>
            <w:tcW w:w="1356" w:type="pct"/>
            <w:vMerge w:val="continue"/>
            <w:tcBorders>
              <w:tl2br w:val="nil"/>
              <w:tr2bl w:val="nil"/>
            </w:tcBorders>
            <w:tcMar>
              <w:top w:w="57" w:type="dxa"/>
              <w:left w:w="57" w:type="dxa"/>
              <w:bottom w:w="57" w:type="dxa"/>
              <w:right w:w="57" w:type="dxa"/>
            </w:tcMar>
            <w:vAlign w:val="center"/>
          </w:tcPr>
          <w:p w14:paraId="2D2F4D91">
            <w:pPr>
              <w:pStyle w:val="23"/>
            </w:pPr>
          </w:p>
        </w:tc>
      </w:tr>
      <w:tr w14:paraId="274FC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7" w:hRule="atLeast"/>
        </w:trPr>
        <w:tc>
          <w:tcPr>
            <w:tcW w:w="418" w:type="pct"/>
            <w:vMerge w:val="continue"/>
            <w:tcBorders>
              <w:tl2br w:val="nil"/>
              <w:tr2bl w:val="nil"/>
            </w:tcBorders>
            <w:tcMar>
              <w:top w:w="57" w:type="dxa"/>
              <w:left w:w="57" w:type="dxa"/>
              <w:bottom w:w="57" w:type="dxa"/>
              <w:right w:w="57" w:type="dxa"/>
            </w:tcMar>
            <w:vAlign w:val="center"/>
          </w:tcPr>
          <w:p w14:paraId="6F8E2AAD">
            <w:pPr>
              <w:pStyle w:val="23"/>
              <w:jc w:val="center"/>
            </w:pPr>
          </w:p>
        </w:tc>
        <w:tc>
          <w:tcPr>
            <w:tcW w:w="266" w:type="pct"/>
            <w:tcBorders>
              <w:tl2br w:val="nil"/>
              <w:tr2bl w:val="nil"/>
            </w:tcBorders>
            <w:tcMar>
              <w:top w:w="57" w:type="dxa"/>
              <w:left w:w="57" w:type="dxa"/>
              <w:bottom w:w="57" w:type="dxa"/>
              <w:right w:w="57" w:type="dxa"/>
            </w:tcMar>
            <w:vAlign w:val="center"/>
          </w:tcPr>
          <w:p w14:paraId="3C082DDA">
            <w:pPr>
              <w:pStyle w:val="23"/>
              <w:jc w:val="center"/>
            </w:pPr>
            <w:r>
              <w:rPr>
                <w:rFonts w:hint="eastAsia"/>
              </w:rPr>
              <w:t>5</w:t>
            </w:r>
          </w:p>
        </w:tc>
        <w:tc>
          <w:tcPr>
            <w:tcW w:w="318" w:type="pct"/>
            <w:vMerge w:val="continue"/>
            <w:tcBorders>
              <w:tl2br w:val="nil"/>
              <w:tr2bl w:val="nil"/>
            </w:tcBorders>
            <w:tcMar>
              <w:top w:w="57" w:type="dxa"/>
              <w:left w:w="57" w:type="dxa"/>
              <w:bottom w:w="57" w:type="dxa"/>
              <w:right w:w="57" w:type="dxa"/>
            </w:tcMar>
            <w:vAlign w:val="center"/>
          </w:tcPr>
          <w:p w14:paraId="20D3D98A">
            <w:pPr>
              <w:pStyle w:val="23"/>
              <w:jc w:val="center"/>
            </w:pPr>
          </w:p>
        </w:tc>
        <w:tc>
          <w:tcPr>
            <w:tcW w:w="2640" w:type="pct"/>
            <w:tcBorders>
              <w:tl2br w:val="nil"/>
              <w:tr2bl w:val="nil"/>
            </w:tcBorders>
            <w:tcMar>
              <w:top w:w="57" w:type="dxa"/>
              <w:left w:w="57" w:type="dxa"/>
              <w:bottom w:w="57" w:type="dxa"/>
              <w:right w:w="57" w:type="dxa"/>
            </w:tcMar>
            <w:vAlign w:val="center"/>
          </w:tcPr>
          <w:p w14:paraId="7A4D58B3">
            <w:pPr>
              <w:pStyle w:val="23"/>
            </w:pPr>
            <w:r>
              <w:rPr>
                <w:rFonts w:hint="eastAsia"/>
              </w:rPr>
              <w:t>将小微企业用电报装“零投资”容量提升至200千瓦。</w:t>
            </w:r>
          </w:p>
        </w:tc>
        <w:tc>
          <w:tcPr>
            <w:tcW w:w="1356" w:type="pct"/>
            <w:vMerge w:val="continue"/>
            <w:tcBorders>
              <w:tl2br w:val="nil"/>
              <w:tr2bl w:val="nil"/>
            </w:tcBorders>
            <w:tcMar>
              <w:top w:w="57" w:type="dxa"/>
              <w:left w:w="57" w:type="dxa"/>
              <w:bottom w:w="57" w:type="dxa"/>
              <w:right w:w="57" w:type="dxa"/>
            </w:tcMar>
            <w:vAlign w:val="center"/>
          </w:tcPr>
          <w:p w14:paraId="0450B581">
            <w:pPr>
              <w:pStyle w:val="23"/>
            </w:pPr>
          </w:p>
        </w:tc>
      </w:tr>
      <w:tr w14:paraId="2A8D6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0" w:hRule="atLeast"/>
        </w:trPr>
        <w:tc>
          <w:tcPr>
            <w:tcW w:w="418" w:type="pct"/>
            <w:vMerge w:val="continue"/>
            <w:tcBorders>
              <w:tl2br w:val="nil"/>
              <w:tr2bl w:val="nil"/>
            </w:tcBorders>
            <w:tcMar>
              <w:top w:w="57" w:type="dxa"/>
              <w:left w:w="57" w:type="dxa"/>
              <w:bottom w:w="57" w:type="dxa"/>
              <w:right w:w="57" w:type="dxa"/>
            </w:tcMar>
            <w:vAlign w:val="center"/>
          </w:tcPr>
          <w:p w14:paraId="3B9298C7">
            <w:pPr>
              <w:pStyle w:val="23"/>
              <w:jc w:val="center"/>
            </w:pPr>
          </w:p>
        </w:tc>
        <w:tc>
          <w:tcPr>
            <w:tcW w:w="266" w:type="pct"/>
            <w:tcBorders>
              <w:tl2br w:val="nil"/>
              <w:tr2bl w:val="nil"/>
            </w:tcBorders>
            <w:tcMar>
              <w:top w:w="57" w:type="dxa"/>
              <w:left w:w="57" w:type="dxa"/>
              <w:bottom w:w="57" w:type="dxa"/>
              <w:right w:w="57" w:type="dxa"/>
            </w:tcMar>
            <w:vAlign w:val="center"/>
          </w:tcPr>
          <w:p w14:paraId="01FBDAD8">
            <w:pPr>
              <w:pStyle w:val="23"/>
              <w:jc w:val="center"/>
            </w:pPr>
            <w:r>
              <w:rPr>
                <w:rFonts w:hint="eastAsia"/>
              </w:rPr>
              <w:t>6</w:t>
            </w:r>
          </w:p>
        </w:tc>
        <w:tc>
          <w:tcPr>
            <w:tcW w:w="318" w:type="pct"/>
            <w:vMerge w:val="restart"/>
            <w:tcBorders>
              <w:tl2br w:val="nil"/>
              <w:tr2bl w:val="nil"/>
            </w:tcBorders>
            <w:tcMar>
              <w:top w:w="57" w:type="dxa"/>
              <w:left w:w="57" w:type="dxa"/>
              <w:bottom w:w="57" w:type="dxa"/>
              <w:right w:w="57" w:type="dxa"/>
            </w:tcMar>
            <w:vAlign w:val="center"/>
          </w:tcPr>
          <w:p w14:paraId="36074E10">
            <w:pPr>
              <w:pStyle w:val="23"/>
              <w:jc w:val="center"/>
            </w:pPr>
            <w:r>
              <w:rPr>
                <w:rFonts w:hint="eastAsia"/>
              </w:rPr>
              <w:t>资金奖补类</w:t>
            </w:r>
          </w:p>
        </w:tc>
        <w:tc>
          <w:tcPr>
            <w:tcW w:w="2640" w:type="pct"/>
            <w:tcBorders>
              <w:tl2br w:val="nil"/>
              <w:tr2bl w:val="nil"/>
            </w:tcBorders>
            <w:tcMar>
              <w:top w:w="57" w:type="dxa"/>
              <w:left w:w="57" w:type="dxa"/>
              <w:bottom w:w="57" w:type="dxa"/>
              <w:right w:w="57" w:type="dxa"/>
            </w:tcMar>
            <w:vAlign w:val="center"/>
          </w:tcPr>
          <w:p w14:paraId="514A7B21">
            <w:pPr>
              <w:pStyle w:val="23"/>
            </w:pPr>
            <w:r>
              <w:rPr>
                <w:rFonts w:hint="eastAsia"/>
              </w:rPr>
              <w:t>支持普惠性托育机构发展，对已备案的普惠托育机构根据招收情况给予每个托位每年600元的补贴，鼓励商业保险机构开发托育机构综合责任保险，设立3岁以下婴幼儿照护专项资金，对社会办托育机构给予适当政策倾斜。</w:t>
            </w:r>
          </w:p>
        </w:tc>
        <w:tc>
          <w:tcPr>
            <w:tcW w:w="1356" w:type="pct"/>
            <w:tcBorders>
              <w:tl2br w:val="nil"/>
              <w:tr2bl w:val="nil"/>
            </w:tcBorders>
            <w:tcMar>
              <w:top w:w="57" w:type="dxa"/>
              <w:left w:w="57" w:type="dxa"/>
              <w:bottom w:w="57" w:type="dxa"/>
              <w:right w:w="57" w:type="dxa"/>
            </w:tcMar>
            <w:vAlign w:val="center"/>
          </w:tcPr>
          <w:p w14:paraId="31627E20">
            <w:pPr>
              <w:pStyle w:val="23"/>
            </w:pPr>
            <w:r>
              <w:rPr>
                <w:rFonts w:hint="eastAsia"/>
              </w:rPr>
              <w:t>2021年12月17日，《鄂城区人民政府办公室印发关于进一步促进3岁以下婴幼儿照护服务发展实施方案的通知》</w:t>
            </w:r>
          </w:p>
        </w:tc>
      </w:tr>
      <w:tr w14:paraId="7DE3C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0" w:hRule="atLeast"/>
        </w:trPr>
        <w:tc>
          <w:tcPr>
            <w:tcW w:w="418" w:type="pct"/>
            <w:vMerge w:val="continue"/>
            <w:tcBorders>
              <w:tl2br w:val="nil"/>
              <w:tr2bl w:val="nil"/>
            </w:tcBorders>
            <w:tcMar>
              <w:top w:w="57" w:type="dxa"/>
              <w:left w:w="57" w:type="dxa"/>
              <w:bottom w:w="57" w:type="dxa"/>
              <w:right w:w="57" w:type="dxa"/>
            </w:tcMar>
            <w:vAlign w:val="center"/>
          </w:tcPr>
          <w:p w14:paraId="0D1BB485">
            <w:pPr>
              <w:pStyle w:val="23"/>
              <w:jc w:val="center"/>
            </w:pPr>
          </w:p>
        </w:tc>
        <w:tc>
          <w:tcPr>
            <w:tcW w:w="266" w:type="pct"/>
            <w:tcBorders>
              <w:tl2br w:val="nil"/>
              <w:tr2bl w:val="nil"/>
            </w:tcBorders>
            <w:tcMar>
              <w:top w:w="57" w:type="dxa"/>
              <w:left w:w="57" w:type="dxa"/>
              <w:bottom w:w="57" w:type="dxa"/>
              <w:right w:w="57" w:type="dxa"/>
            </w:tcMar>
            <w:vAlign w:val="center"/>
          </w:tcPr>
          <w:p w14:paraId="7AE90AA9">
            <w:pPr>
              <w:pStyle w:val="23"/>
              <w:jc w:val="center"/>
            </w:pPr>
            <w:r>
              <w:rPr>
                <w:rFonts w:hint="eastAsia"/>
              </w:rPr>
              <w:t>7</w:t>
            </w:r>
          </w:p>
        </w:tc>
        <w:tc>
          <w:tcPr>
            <w:tcW w:w="318" w:type="pct"/>
            <w:vMerge w:val="continue"/>
            <w:tcBorders>
              <w:tl2br w:val="nil"/>
              <w:tr2bl w:val="nil"/>
            </w:tcBorders>
            <w:tcMar>
              <w:top w:w="57" w:type="dxa"/>
              <w:left w:w="57" w:type="dxa"/>
              <w:bottom w:w="57" w:type="dxa"/>
              <w:right w:w="57" w:type="dxa"/>
            </w:tcMar>
            <w:vAlign w:val="center"/>
          </w:tcPr>
          <w:p w14:paraId="594AE603">
            <w:pPr>
              <w:pStyle w:val="23"/>
              <w:jc w:val="center"/>
            </w:pPr>
          </w:p>
        </w:tc>
        <w:tc>
          <w:tcPr>
            <w:tcW w:w="2640" w:type="pct"/>
            <w:tcBorders>
              <w:tl2br w:val="nil"/>
              <w:tr2bl w:val="nil"/>
            </w:tcBorders>
            <w:tcMar>
              <w:top w:w="57" w:type="dxa"/>
              <w:left w:w="57" w:type="dxa"/>
              <w:bottom w:w="57" w:type="dxa"/>
              <w:right w:w="57" w:type="dxa"/>
            </w:tcMar>
            <w:vAlign w:val="center"/>
          </w:tcPr>
          <w:p w14:paraId="2966DB3B">
            <w:pPr>
              <w:pStyle w:val="23"/>
            </w:pPr>
            <w:r>
              <w:rPr>
                <w:rFonts w:hint="eastAsia"/>
              </w:rPr>
              <w:t>餐厨废弃物处理财政补贴参照统一标准220元/吨执行，建立财政补贴标准动态调整机制，每3年评估一次，并根据评估情况适时调整财政补贴标准。</w:t>
            </w:r>
          </w:p>
        </w:tc>
        <w:tc>
          <w:tcPr>
            <w:tcW w:w="1356" w:type="pct"/>
            <w:tcBorders>
              <w:tl2br w:val="nil"/>
              <w:tr2bl w:val="nil"/>
            </w:tcBorders>
            <w:tcMar>
              <w:top w:w="57" w:type="dxa"/>
              <w:left w:w="57" w:type="dxa"/>
              <w:bottom w:w="57" w:type="dxa"/>
              <w:right w:w="57" w:type="dxa"/>
            </w:tcMar>
            <w:vAlign w:val="center"/>
          </w:tcPr>
          <w:p w14:paraId="69F52D9D">
            <w:pPr>
              <w:pStyle w:val="23"/>
            </w:pPr>
            <w:r>
              <w:rPr>
                <w:rFonts w:hint="eastAsia"/>
              </w:rPr>
              <w:t>2022年10月9日，《鄂城区人民政府办公室关于印发&lt;鄂城区餐厨废弃物管理办法实施方案&gt;&lt;鄂城区餐厨废弃物收运处理及财政补贴实施方案&gt;的通知》（鄂城政办发〔2022〕17号）</w:t>
            </w:r>
          </w:p>
        </w:tc>
      </w:tr>
      <w:tr w14:paraId="10A4D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0" w:hRule="atLeast"/>
        </w:trPr>
        <w:tc>
          <w:tcPr>
            <w:tcW w:w="418" w:type="pct"/>
            <w:vMerge w:val="continue"/>
            <w:tcBorders>
              <w:tl2br w:val="nil"/>
              <w:tr2bl w:val="nil"/>
            </w:tcBorders>
            <w:tcMar>
              <w:top w:w="57" w:type="dxa"/>
              <w:left w:w="57" w:type="dxa"/>
              <w:bottom w:w="57" w:type="dxa"/>
              <w:right w:w="57" w:type="dxa"/>
            </w:tcMar>
            <w:vAlign w:val="center"/>
          </w:tcPr>
          <w:p w14:paraId="2794B310">
            <w:pPr>
              <w:pStyle w:val="23"/>
              <w:jc w:val="center"/>
            </w:pPr>
          </w:p>
        </w:tc>
        <w:tc>
          <w:tcPr>
            <w:tcW w:w="266" w:type="pct"/>
            <w:tcBorders>
              <w:tl2br w:val="nil"/>
              <w:tr2bl w:val="nil"/>
            </w:tcBorders>
            <w:tcMar>
              <w:top w:w="57" w:type="dxa"/>
              <w:left w:w="57" w:type="dxa"/>
              <w:bottom w:w="57" w:type="dxa"/>
              <w:right w:w="57" w:type="dxa"/>
            </w:tcMar>
            <w:vAlign w:val="center"/>
          </w:tcPr>
          <w:p w14:paraId="0EA62A7B">
            <w:pPr>
              <w:pStyle w:val="23"/>
              <w:jc w:val="center"/>
            </w:pPr>
            <w:r>
              <w:rPr>
                <w:rFonts w:hint="eastAsia"/>
              </w:rPr>
              <w:t>8</w:t>
            </w:r>
          </w:p>
        </w:tc>
        <w:tc>
          <w:tcPr>
            <w:tcW w:w="318" w:type="pct"/>
            <w:vMerge w:val="continue"/>
            <w:tcBorders>
              <w:tl2br w:val="nil"/>
              <w:tr2bl w:val="nil"/>
            </w:tcBorders>
            <w:tcMar>
              <w:top w:w="57" w:type="dxa"/>
              <w:left w:w="57" w:type="dxa"/>
              <w:bottom w:w="57" w:type="dxa"/>
              <w:right w:w="57" w:type="dxa"/>
            </w:tcMar>
            <w:vAlign w:val="center"/>
          </w:tcPr>
          <w:p w14:paraId="17B876F8">
            <w:pPr>
              <w:pStyle w:val="23"/>
              <w:jc w:val="center"/>
            </w:pPr>
          </w:p>
        </w:tc>
        <w:tc>
          <w:tcPr>
            <w:tcW w:w="2640" w:type="pct"/>
            <w:tcBorders>
              <w:tl2br w:val="nil"/>
              <w:tr2bl w:val="nil"/>
            </w:tcBorders>
            <w:tcMar>
              <w:top w:w="57" w:type="dxa"/>
              <w:left w:w="57" w:type="dxa"/>
              <w:bottom w:w="57" w:type="dxa"/>
              <w:right w:w="57" w:type="dxa"/>
            </w:tcMar>
            <w:vAlign w:val="center"/>
          </w:tcPr>
          <w:p w14:paraId="1AB8CA1C">
            <w:pPr>
              <w:pStyle w:val="23"/>
            </w:pPr>
            <w:r>
              <w:rPr>
                <w:rFonts w:hint="eastAsia"/>
              </w:rPr>
              <w:t>鼓励企业开展技能培训。对企业新录用九类人员，与企业签订1年以上期限劳动合同、并于签订劳动合同之日起1年内参加由企业依托所属培训机构或政府认定的培训机构开展岗位技能培训的，在取得职业资格证书后给予企业职业培训补贴，补贴标准为就业技能培训补贴标准的50%。</w:t>
            </w:r>
          </w:p>
        </w:tc>
        <w:tc>
          <w:tcPr>
            <w:tcW w:w="1356" w:type="pct"/>
            <w:tcBorders>
              <w:tl2br w:val="nil"/>
              <w:tr2bl w:val="nil"/>
            </w:tcBorders>
            <w:tcMar>
              <w:top w:w="57" w:type="dxa"/>
              <w:left w:w="57" w:type="dxa"/>
              <w:bottom w:w="57" w:type="dxa"/>
              <w:right w:w="57" w:type="dxa"/>
            </w:tcMar>
            <w:vAlign w:val="center"/>
          </w:tcPr>
          <w:p w14:paraId="3E2E489F">
            <w:pPr>
              <w:pStyle w:val="23"/>
            </w:pPr>
            <w:r>
              <w:rPr>
                <w:rFonts w:hint="eastAsia"/>
              </w:rPr>
              <w:t>2023年5月22日，《鄂城区人民政府关于印发&lt;鄂城区以控制成本为核心优化营商环境工作方案&gt;的通知》（鄂城政发〔2023〕6 号）</w:t>
            </w:r>
          </w:p>
        </w:tc>
      </w:tr>
      <w:tr w14:paraId="74A41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7" w:hRule="atLeast"/>
        </w:trPr>
        <w:tc>
          <w:tcPr>
            <w:tcW w:w="418" w:type="pct"/>
            <w:vMerge w:val="continue"/>
            <w:tcBorders>
              <w:tl2br w:val="nil"/>
              <w:tr2bl w:val="nil"/>
            </w:tcBorders>
            <w:tcMar>
              <w:top w:w="57" w:type="dxa"/>
              <w:left w:w="57" w:type="dxa"/>
              <w:bottom w:w="57" w:type="dxa"/>
              <w:right w:w="57" w:type="dxa"/>
            </w:tcMar>
            <w:vAlign w:val="center"/>
          </w:tcPr>
          <w:p w14:paraId="1F7DBCCA">
            <w:pPr>
              <w:pStyle w:val="23"/>
              <w:jc w:val="center"/>
            </w:pPr>
          </w:p>
        </w:tc>
        <w:tc>
          <w:tcPr>
            <w:tcW w:w="266" w:type="pct"/>
            <w:tcBorders>
              <w:tl2br w:val="nil"/>
              <w:tr2bl w:val="nil"/>
            </w:tcBorders>
            <w:tcMar>
              <w:top w:w="57" w:type="dxa"/>
              <w:left w:w="57" w:type="dxa"/>
              <w:bottom w:w="57" w:type="dxa"/>
              <w:right w:w="57" w:type="dxa"/>
            </w:tcMar>
            <w:vAlign w:val="center"/>
          </w:tcPr>
          <w:p w14:paraId="35C0647B">
            <w:pPr>
              <w:pStyle w:val="23"/>
              <w:jc w:val="center"/>
            </w:pPr>
            <w:r>
              <w:rPr>
                <w:rFonts w:hint="eastAsia"/>
              </w:rPr>
              <w:t>9</w:t>
            </w:r>
          </w:p>
        </w:tc>
        <w:tc>
          <w:tcPr>
            <w:tcW w:w="318" w:type="pct"/>
            <w:vMerge w:val="restart"/>
            <w:tcBorders>
              <w:tl2br w:val="nil"/>
              <w:tr2bl w:val="nil"/>
            </w:tcBorders>
            <w:tcMar>
              <w:top w:w="57" w:type="dxa"/>
              <w:left w:w="57" w:type="dxa"/>
              <w:bottom w:w="57" w:type="dxa"/>
              <w:right w:w="57" w:type="dxa"/>
            </w:tcMar>
            <w:vAlign w:val="center"/>
          </w:tcPr>
          <w:p w14:paraId="30DB8705">
            <w:pPr>
              <w:pStyle w:val="23"/>
              <w:jc w:val="center"/>
            </w:pPr>
            <w:r>
              <w:rPr>
                <w:rFonts w:hint="eastAsia"/>
              </w:rPr>
              <w:t>金融扶持类</w:t>
            </w:r>
          </w:p>
        </w:tc>
        <w:tc>
          <w:tcPr>
            <w:tcW w:w="2640" w:type="pct"/>
            <w:tcBorders>
              <w:tl2br w:val="nil"/>
              <w:tr2bl w:val="nil"/>
            </w:tcBorders>
            <w:tcMar>
              <w:top w:w="57" w:type="dxa"/>
              <w:left w:w="57" w:type="dxa"/>
              <w:bottom w:w="57" w:type="dxa"/>
              <w:right w:w="57" w:type="dxa"/>
            </w:tcMar>
            <w:vAlign w:val="center"/>
          </w:tcPr>
          <w:p w14:paraId="70D79777">
            <w:pPr>
              <w:pStyle w:val="23"/>
            </w:pPr>
            <w:r>
              <w:rPr>
                <w:rFonts w:hint="eastAsia"/>
              </w:rPr>
              <w:t>支持中小微企业（含个体工商户）利用政府采购合同开展线上融资，鼓励金融机构实行无担保、无抵押贷款并给予20%利率优惠，省级财政按照金融机构2023年新发放“政采贷”额度2‰给予奖励。金融机构不得另行收取任何费用和附加其他任何条件。对满足线上“政采贷”授信条件的中小微企业融资申请，全面推广一站式融资服务模式（即利率优惠20%、1天放款、0抵押、0跑腿），更大力度支持中标供应商融资。</w:t>
            </w:r>
          </w:p>
        </w:tc>
        <w:tc>
          <w:tcPr>
            <w:tcW w:w="1356" w:type="pct"/>
            <w:tcBorders>
              <w:tl2br w:val="nil"/>
              <w:tr2bl w:val="nil"/>
            </w:tcBorders>
            <w:tcMar>
              <w:top w:w="57" w:type="dxa"/>
              <w:left w:w="57" w:type="dxa"/>
              <w:bottom w:w="57" w:type="dxa"/>
              <w:right w:w="57" w:type="dxa"/>
            </w:tcMar>
            <w:vAlign w:val="center"/>
          </w:tcPr>
          <w:p w14:paraId="19DAA978">
            <w:pPr>
              <w:pStyle w:val="23"/>
            </w:pPr>
            <w:r>
              <w:rPr>
                <w:rFonts w:hint="eastAsia"/>
              </w:rPr>
              <w:t>2023年 7月 6日，《关于进一步推进政府采购合同融资工作的通知》（鄂城财采发〔2023〕23号）</w:t>
            </w:r>
          </w:p>
        </w:tc>
      </w:tr>
      <w:tr w14:paraId="0F191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7" w:hRule="atLeast"/>
        </w:trPr>
        <w:tc>
          <w:tcPr>
            <w:tcW w:w="418" w:type="pct"/>
            <w:vMerge w:val="continue"/>
            <w:tcBorders>
              <w:tl2br w:val="nil"/>
              <w:tr2bl w:val="nil"/>
            </w:tcBorders>
            <w:tcMar>
              <w:top w:w="57" w:type="dxa"/>
              <w:left w:w="57" w:type="dxa"/>
              <w:bottom w:w="57" w:type="dxa"/>
              <w:right w:w="57" w:type="dxa"/>
            </w:tcMar>
            <w:vAlign w:val="center"/>
          </w:tcPr>
          <w:p w14:paraId="550D4EEF">
            <w:pPr>
              <w:pStyle w:val="23"/>
              <w:jc w:val="center"/>
            </w:pPr>
          </w:p>
        </w:tc>
        <w:tc>
          <w:tcPr>
            <w:tcW w:w="266" w:type="pct"/>
            <w:tcBorders>
              <w:tl2br w:val="nil"/>
              <w:tr2bl w:val="nil"/>
            </w:tcBorders>
            <w:tcMar>
              <w:top w:w="57" w:type="dxa"/>
              <w:left w:w="57" w:type="dxa"/>
              <w:bottom w:w="57" w:type="dxa"/>
              <w:right w:w="57" w:type="dxa"/>
            </w:tcMar>
            <w:vAlign w:val="center"/>
          </w:tcPr>
          <w:p w14:paraId="7A9A16D7">
            <w:pPr>
              <w:pStyle w:val="23"/>
              <w:jc w:val="center"/>
            </w:pPr>
            <w:r>
              <w:rPr>
                <w:rFonts w:hint="eastAsia"/>
              </w:rPr>
              <w:t>10</w:t>
            </w:r>
          </w:p>
        </w:tc>
        <w:tc>
          <w:tcPr>
            <w:tcW w:w="318" w:type="pct"/>
            <w:vMerge w:val="continue"/>
            <w:tcBorders>
              <w:tl2br w:val="nil"/>
              <w:tr2bl w:val="nil"/>
            </w:tcBorders>
            <w:tcMar>
              <w:top w:w="57" w:type="dxa"/>
              <w:left w:w="57" w:type="dxa"/>
              <w:bottom w:w="57" w:type="dxa"/>
              <w:right w:w="57" w:type="dxa"/>
            </w:tcMar>
            <w:vAlign w:val="center"/>
          </w:tcPr>
          <w:p w14:paraId="046B2527">
            <w:pPr>
              <w:pStyle w:val="23"/>
              <w:jc w:val="center"/>
            </w:pPr>
          </w:p>
        </w:tc>
        <w:tc>
          <w:tcPr>
            <w:tcW w:w="2640" w:type="pct"/>
            <w:tcBorders>
              <w:tl2br w:val="nil"/>
              <w:tr2bl w:val="nil"/>
            </w:tcBorders>
            <w:tcMar>
              <w:top w:w="57" w:type="dxa"/>
              <w:left w:w="57" w:type="dxa"/>
              <w:bottom w:w="57" w:type="dxa"/>
              <w:right w:w="57" w:type="dxa"/>
            </w:tcMar>
            <w:vAlign w:val="center"/>
          </w:tcPr>
          <w:p w14:paraId="1D7D0424">
            <w:pPr>
              <w:pStyle w:val="23"/>
            </w:pPr>
            <w:r>
              <w:rPr>
                <w:rFonts w:hint="eastAsia"/>
              </w:rPr>
              <w:t>对成功办理鄂城区政府采购项目线上“政采贷”业务的中小微企业进行财政贴息，财政贴息利率按实际贷款利率的50%执行，财政贴息时限为2024年1月1日至12月31日，企业贴息贷款金额按实际贷款金额执行。</w:t>
            </w:r>
          </w:p>
        </w:tc>
        <w:tc>
          <w:tcPr>
            <w:tcW w:w="1356" w:type="pct"/>
            <w:tcBorders>
              <w:tl2br w:val="nil"/>
              <w:tr2bl w:val="nil"/>
            </w:tcBorders>
            <w:tcMar>
              <w:top w:w="57" w:type="dxa"/>
              <w:left w:w="57" w:type="dxa"/>
              <w:bottom w:w="57" w:type="dxa"/>
              <w:right w:w="57" w:type="dxa"/>
            </w:tcMar>
            <w:vAlign w:val="center"/>
          </w:tcPr>
          <w:p w14:paraId="60148AAE">
            <w:pPr>
              <w:pStyle w:val="23"/>
            </w:pPr>
            <w:r>
              <w:rPr>
                <w:rFonts w:hint="eastAsia"/>
              </w:rPr>
              <w:t>2024年1月18日，《关于持续推进政府采购合同融资工作的通知》（鄂城财采发〔2024〕1号）</w:t>
            </w:r>
          </w:p>
        </w:tc>
      </w:tr>
      <w:tr w14:paraId="20047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7" w:hRule="atLeast"/>
        </w:trPr>
        <w:tc>
          <w:tcPr>
            <w:tcW w:w="418" w:type="pct"/>
            <w:vMerge w:val="continue"/>
            <w:tcBorders>
              <w:tl2br w:val="nil"/>
              <w:tr2bl w:val="nil"/>
            </w:tcBorders>
            <w:tcMar>
              <w:top w:w="57" w:type="dxa"/>
              <w:left w:w="57" w:type="dxa"/>
              <w:bottom w:w="57" w:type="dxa"/>
              <w:right w:w="57" w:type="dxa"/>
            </w:tcMar>
            <w:vAlign w:val="center"/>
          </w:tcPr>
          <w:p w14:paraId="50CD6719">
            <w:pPr>
              <w:pStyle w:val="23"/>
              <w:jc w:val="center"/>
            </w:pPr>
          </w:p>
        </w:tc>
        <w:tc>
          <w:tcPr>
            <w:tcW w:w="266" w:type="pct"/>
            <w:tcBorders>
              <w:tl2br w:val="nil"/>
              <w:tr2bl w:val="nil"/>
            </w:tcBorders>
            <w:tcMar>
              <w:top w:w="57" w:type="dxa"/>
              <w:left w:w="57" w:type="dxa"/>
              <w:bottom w:w="57" w:type="dxa"/>
              <w:right w:w="57" w:type="dxa"/>
            </w:tcMar>
            <w:vAlign w:val="center"/>
          </w:tcPr>
          <w:p w14:paraId="72F9154D">
            <w:pPr>
              <w:pStyle w:val="23"/>
              <w:jc w:val="center"/>
            </w:pPr>
            <w:r>
              <w:rPr>
                <w:rFonts w:hint="eastAsia"/>
              </w:rPr>
              <w:t>12</w:t>
            </w:r>
          </w:p>
        </w:tc>
        <w:tc>
          <w:tcPr>
            <w:tcW w:w="318" w:type="pct"/>
            <w:vMerge w:val="restart"/>
            <w:tcBorders>
              <w:tl2br w:val="nil"/>
              <w:tr2bl w:val="nil"/>
            </w:tcBorders>
            <w:tcMar>
              <w:top w:w="57" w:type="dxa"/>
              <w:left w:w="57" w:type="dxa"/>
              <w:bottom w:w="57" w:type="dxa"/>
              <w:right w:w="57" w:type="dxa"/>
            </w:tcMar>
            <w:vAlign w:val="center"/>
          </w:tcPr>
          <w:p w14:paraId="58B32867">
            <w:pPr>
              <w:pStyle w:val="23"/>
              <w:jc w:val="center"/>
            </w:pPr>
            <w:r>
              <w:rPr>
                <w:rFonts w:hint="eastAsia"/>
              </w:rPr>
              <w:t>就业创业类</w:t>
            </w:r>
          </w:p>
        </w:tc>
        <w:tc>
          <w:tcPr>
            <w:tcW w:w="2640" w:type="pct"/>
            <w:tcBorders>
              <w:tl2br w:val="nil"/>
              <w:tr2bl w:val="nil"/>
            </w:tcBorders>
            <w:tcMar>
              <w:top w:w="57" w:type="dxa"/>
              <w:left w:w="57" w:type="dxa"/>
              <w:bottom w:w="57" w:type="dxa"/>
              <w:right w:w="57" w:type="dxa"/>
            </w:tcMar>
            <w:vAlign w:val="center"/>
          </w:tcPr>
          <w:p w14:paraId="6C21D3F4">
            <w:pPr>
              <w:pStyle w:val="23"/>
            </w:pPr>
            <w:r>
              <w:rPr>
                <w:rFonts w:hint="eastAsia"/>
              </w:rPr>
              <w:t>毕业五年内的高校毕业生、返乡创业人员、建档立卡脱贫人员、就业困难人员自主创业，符合相应条件的，按规定给予一次性创业补贴。</w:t>
            </w:r>
          </w:p>
        </w:tc>
        <w:tc>
          <w:tcPr>
            <w:tcW w:w="1356" w:type="pct"/>
            <w:vMerge w:val="restart"/>
            <w:tcBorders>
              <w:tl2br w:val="nil"/>
              <w:tr2bl w:val="nil"/>
            </w:tcBorders>
            <w:tcMar>
              <w:top w:w="57" w:type="dxa"/>
              <w:left w:w="57" w:type="dxa"/>
              <w:bottom w:w="57" w:type="dxa"/>
              <w:right w:w="57" w:type="dxa"/>
            </w:tcMar>
            <w:vAlign w:val="center"/>
          </w:tcPr>
          <w:p w14:paraId="68CD1DFE">
            <w:pPr>
              <w:pStyle w:val="23"/>
            </w:pPr>
            <w:r>
              <w:rPr>
                <w:rFonts w:hint="eastAsia"/>
              </w:rPr>
              <w:t>2023年5月22日，《鄂城区人民政府关于印发&lt;鄂城区以控制成本为核心优化营商环境工作方案&gt;的通知》（鄂城政发〔2023〕6 号）</w:t>
            </w:r>
          </w:p>
        </w:tc>
      </w:tr>
      <w:tr w14:paraId="190AE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7" w:hRule="atLeast"/>
        </w:trPr>
        <w:tc>
          <w:tcPr>
            <w:tcW w:w="418" w:type="pct"/>
            <w:vMerge w:val="continue"/>
            <w:tcBorders>
              <w:tl2br w:val="nil"/>
              <w:tr2bl w:val="nil"/>
            </w:tcBorders>
            <w:tcMar>
              <w:top w:w="57" w:type="dxa"/>
              <w:left w:w="57" w:type="dxa"/>
              <w:bottom w:w="57" w:type="dxa"/>
              <w:right w:w="57" w:type="dxa"/>
            </w:tcMar>
            <w:vAlign w:val="center"/>
          </w:tcPr>
          <w:p w14:paraId="6678E8EE">
            <w:pPr>
              <w:pStyle w:val="23"/>
              <w:jc w:val="center"/>
            </w:pPr>
          </w:p>
        </w:tc>
        <w:tc>
          <w:tcPr>
            <w:tcW w:w="266" w:type="pct"/>
            <w:tcBorders>
              <w:tl2br w:val="nil"/>
              <w:tr2bl w:val="nil"/>
            </w:tcBorders>
            <w:tcMar>
              <w:top w:w="57" w:type="dxa"/>
              <w:left w:w="57" w:type="dxa"/>
              <w:bottom w:w="57" w:type="dxa"/>
              <w:right w:w="57" w:type="dxa"/>
            </w:tcMar>
            <w:vAlign w:val="center"/>
          </w:tcPr>
          <w:p w14:paraId="478CD0A5">
            <w:pPr>
              <w:pStyle w:val="23"/>
              <w:jc w:val="center"/>
            </w:pPr>
            <w:r>
              <w:rPr>
                <w:rFonts w:hint="eastAsia"/>
              </w:rPr>
              <w:t>13</w:t>
            </w:r>
          </w:p>
        </w:tc>
        <w:tc>
          <w:tcPr>
            <w:tcW w:w="318" w:type="pct"/>
            <w:vMerge w:val="continue"/>
            <w:tcBorders>
              <w:tl2br w:val="nil"/>
              <w:tr2bl w:val="nil"/>
            </w:tcBorders>
            <w:tcMar>
              <w:top w:w="57" w:type="dxa"/>
              <w:left w:w="57" w:type="dxa"/>
              <w:bottom w:w="57" w:type="dxa"/>
              <w:right w:w="57" w:type="dxa"/>
            </w:tcMar>
            <w:vAlign w:val="center"/>
          </w:tcPr>
          <w:p w14:paraId="002D3026">
            <w:pPr>
              <w:pStyle w:val="23"/>
              <w:jc w:val="center"/>
            </w:pPr>
          </w:p>
        </w:tc>
        <w:tc>
          <w:tcPr>
            <w:tcW w:w="2640" w:type="pct"/>
            <w:tcBorders>
              <w:tl2br w:val="nil"/>
              <w:tr2bl w:val="nil"/>
            </w:tcBorders>
            <w:tcMar>
              <w:top w:w="57" w:type="dxa"/>
              <w:left w:w="57" w:type="dxa"/>
              <w:bottom w:w="57" w:type="dxa"/>
              <w:right w:w="57" w:type="dxa"/>
            </w:tcMar>
            <w:vAlign w:val="center"/>
          </w:tcPr>
          <w:p w14:paraId="609CCBFD">
            <w:pPr>
              <w:pStyle w:val="23"/>
            </w:pPr>
            <w:r>
              <w:rPr>
                <w:rFonts w:hint="eastAsia"/>
              </w:rPr>
              <w:t>城镇登记失业人员、就业困难人员、高校毕业生等十类城乡劳动者，在我区依法自主创业，符合条件的可申请最高额度不超过20万元的创业担保贷款，10万元及以下的个人创业担保贷款，免除反担保要求；小微企业当年新招用符合条件人员占现有职工比例达到15％的（职工超过100人的占比达到8％的），并于其签订1年以上劳动合同，可申请最高额度不超过500万元的创业担保贷款，按规定给予贴息。（注：根据《关于进一步明确创业担保贷款有关事项的通知》（鄂州人社函〔2023〕95号）要求，个人创业担保贷款额度已由20万调整到30万元）</w:t>
            </w:r>
          </w:p>
        </w:tc>
        <w:tc>
          <w:tcPr>
            <w:tcW w:w="1356" w:type="pct"/>
            <w:vMerge w:val="continue"/>
            <w:tcBorders>
              <w:tl2br w:val="nil"/>
              <w:tr2bl w:val="nil"/>
            </w:tcBorders>
            <w:tcMar>
              <w:top w:w="57" w:type="dxa"/>
              <w:left w:w="57" w:type="dxa"/>
              <w:bottom w:w="57" w:type="dxa"/>
              <w:right w:w="57" w:type="dxa"/>
            </w:tcMar>
            <w:vAlign w:val="center"/>
          </w:tcPr>
          <w:p w14:paraId="7A4A8CDD">
            <w:pPr>
              <w:pStyle w:val="23"/>
            </w:pPr>
          </w:p>
        </w:tc>
      </w:tr>
      <w:tr w14:paraId="0A070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7" w:hRule="atLeast"/>
        </w:trPr>
        <w:tc>
          <w:tcPr>
            <w:tcW w:w="418" w:type="pct"/>
            <w:vMerge w:val="restart"/>
            <w:tcBorders>
              <w:tl2br w:val="nil"/>
              <w:tr2bl w:val="nil"/>
            </w:tcBorders>
            <w:tcMar>
              <w:top w:w="57" w:type="dxa"/>
              <w:left w:w="57" w:type="dxa"/>
              <w:bottom w:w="57" w:type="dxa"/>
              <w:right w:w="57" w:type="dxa"/>
            </w:tcMar>
            <w:vAlign w:val="center"/>
          </w:tcPr>
          <w:p w14:paraId="5366B41B">
            <w:pPr>
              <w:pStyle w:val="23"/>
              <w:jc w:val="center"/>
            </w:pPr>
            <w:r>
              <w:rPr>
                <w:rFonts w:hint="eastAsia"/>
              </w:rPr>
              <w:t>华容区</w:t>
            </w:r>
          </w:p>
        </w:tc>
        <w:tc>
          <w:tcPr>
            <w:tcW w:w="266" w:type="pct"/>
            <w:tcBorders>
              <w:tl2br w:val="nil"/>
              <w:tr2bl w:val="nil"/>
            </w:tcBorders>
            <w:tcMar>
              <w:top w:w="57" w:type="dxa"/>
              <w:left w:w="57" w:type="dxa"/>
              <w:bottom w:w="57" w:type="dxa"/>
              <w:right w:w="57" w:type="dxa"/>
            </w:tcMar>
            <w:vAlign w:val="center"/>
          </w:tcPr>
          <w:p w14:paraId="26185F9A">
            <w:pPr>
              <w:pStyle w:val="23"/>
              <w:jc w:val="center"/>
              <w:rPr>
                <w:rFonts w:eastAsia="Times New Roman"/>
              </w:rPr>
            </w:pPr>
            <w:r>
              <w:rPr>
                <w:rFonts w:hint="eastAsia"/>
              </w:rPr>
              <w:t>1</w:t>
            </w:r>
          </w:p>
        </w:tc>
        <w:tc>
          <w:tcPr>
            <w:tcW w:w="318" w:type="pct"/>
            <w:vMerge w:val="restart"/>
            <w:tcBorders>
              <w:tl2br w:val="nil"/>
              <w:tr2bl w:val="nil"/>
            </w:tcBorders>
            <w:tcMar>
              <w:top w:w="57" w:type="dxa"/>
              <w:left w:w="57" w:type="dxa"/>
              <w:bottom w:w="57" w:type="dxa"/>
              <w:right w:w="57" w:type="dxa"/>
            </w:tcMar>
            <w:vAlign w:val="center"/>
          </w:tcPr>
          <w:p w14:paraId="10187116">
            <w:pPr>
              <w:pStyle w:val="23"/>
              <w:jc w:val="center"/>
            </w:pPr>
            <w:r>
              <w:rPr>
                <w:rFonts w:hint="eastAsia"/>
              </w:rPr>
              <w:t>减税降费类</w:t>
            </w:r>
          </w:p>
        </w:tc>
        <w:tc>
          <w:tcPr>
            <w:tcW w:w="2640" w:type="pct"/>
            <w:tcBorders>
              <w:tl2br w:val="nil"/>
              <w:tr2bl w:val="nil"/>
            </w:tcBorders>
            <w:tcMar>
              <w:top w:w="57" w:type="dxa"/>
              <w:left w:w="57" w:type="dxa"/>
              <w:bottom w:w="57" w:type="dxa"/>
              <w:right w:w="57" w:type="dxa"/>
            </w:tcMar>
            <w:vAlign w:val="center"/>
          </w:tcPr>
          <w:p w14:paraId="14B7202D">
            <w:pPr>
              <w:pStyle w:val="23"/>
            </w:pPr>
            <w:r>
              <w:rPr>
                <w:rFonts w:hint="eastAsia"/>
              </w:rPr>
              <w:t>“两送”：</w:t>
            </w:r>
          </w:p>
          <w:p w14:paraId="505A2741">
            <w:pPr>
              <w:pStyle w:val="23"/>
            </w:pPr>
            <w:r>
              <w:rPr>
                <w:rFonts w:hint="eastAsia"/>
              </w:rPr>
              <w:t>1、在华容区申请新开办的企业（不含个体工商户）免费赠送一套印章（包含企业名称公章、财务专用章、发票专用章、合同章和法人章共计五枚印章）。2、在华容区申请新开办的所有市场主体免费赠送营业执照正副本保护套。</w:t>
            </w:r>
          </w:p>
          <w:p w14:paraId="2DA0B857">
            <w:pPr>
              <w:pStyle w:val="23"/>
            </w:pPr>
            <w:r>
              <w:rPr>
                <w:rFonts w:hint="eastAsia"/>
              </w:rPr>
              <w:t>“三免”：1、免邮寄费；2、免复印费；3、免停车费。</w:t>
            </w:r>
          </w:p>
        </w:tc>
        <w:tc>
          <w:tcPr>
            <w:tcW w:w="1356" w:type="pct"/>
            <w:tcBorders>
              <w:tl2br w:val="nil"/>
              <w:tr2bl w:val="nil"/>
            </w:tcBorders>
            <w:tcMar>
              <w:top w:w="57" w:type="dxa"/>
              <w:left w:w="57" w:type="dxa"/>
              <w:bottom w:w="57" w:type="dxa"/>
              <w:right w:w="57" w:type="dxa"/>
            </w:tcMar>
            <w:vAlign w:val="center"/>
          </w:tcPr>
          <w:p w14:paraId="09CC9F46">
            <w:pPr>
              <w:pStyle w:val="23"/>
            </w:pPr>
            <w:r>
              <w:rPr>
                <w:rFonts w:hint="eastAsia"/>
              </w:rPr>
              <w:t>2022年3月18日，《关于印发企业开办“两送三免”工作实施方案的通知》（华容市监〔2022〕7号）</w:t>
            </w:r>
          </w:p>
        </w:tc>
      </w:tr>
      <w:tr w14:paraId="7FD42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7" w:hRule="atLeast"/>
        </w:trPr>
        <w:tc>
          <w:tcPr>
            <w:tcW w:w="418" w:type="pct"/>
            <w:vMerge w:val="continue"/>
            <w:tcBorders>
              <w:tl2br w:val="nil"/>
              <w:tr2bl w:val="nil"/>
            </w:tcBorders>
            <w:tcMar>
              <w:top w:w="57" w:type="dxa"/>
              <w:left w:w="57" w:type="dxa"/>
              <w:bottom w:w="57" w:type="dxa"/>
              <w:right w:w="57" w:type="dxa"/>
            </w:tcMar>
            <w:vAlign w:val="center"/>
          </w:tcPr>
          <w:p w14:paraId="4A995C7E">
            <w:pPr>
              <w:pStyle w:val="23"/>
              <w:jc w:val="center"/>
            </w:pPr>
          </w:p>
        </w:tc>
        <w:tc>
          <w:tcPr>
            <w:tcW w:w="266" w:type="pct"/>
            <w:tcBorders>
              <w:tl2br w:val="nil"/>
              <w:tr2bl w:val="nil"/>
            </w:tcBorders>
            <w:tcMar>
              <w:top w:w="57" w:type="dxa"/>
              <w:left w:w="57" w:type="dxa"/>
              <w:bottom w:w="57" w:type="dxa"/>
              <w:right w:w="57" w:type="dxa"/>
            </w:tcMar>
            <w:vAlign w:val="center"/>
          </w:tcPr>
          <w:p w14:paraId="787E2895">
            <w:pPr>
              <w:pStyle w:val="23"/>
              <w:jc w:val="center"/>
            </w:pPr>
            <w:r>
              <w:rPr>
                <w:rFonts w:hint="eastAsia"/>
              </w:rPr>
              <w:t>2</w:t>
            </w:r>
          </w:p>
        </w:tc>
        <w:tc>
          <w:tcPr>
            <w:tcW w:w="318" w:type="pct"/>
            <w:vMerge w:val="continue"/>
            <w:tcBorders>
              <w:tl2br w:val="nil"/>
              <w:tr2bl w:val="nil"/>
            </w:tcBorders>
            <w:tcMar>
              <w:top w:w="57" w:type="dxa"/>
              <w:left w:w="57" w:type="dxa"/>
              <w:bottom w:w="57" w:type="dxa"/>
              <w:right w:w="57" w:type="dxa"/>
            </w:tcMar>
            <w:vAlign w:val="center"/>
          </w:tcPr>
          <w:p w14:paraId="1AE7E207">
            <w:pPr>
              <w:pStyle w:val="23"/>
              <w:jc w:val="center"/>
            </w:pPr>
          </w:p>
        </w:tc>
        <w:tc>
          <w:tcPr>
            <w:tcW w:w="2640" w:type="pct"/>
            <w:tcBorders>
              <w:tl2br w:val="nil"/>
              <w:tr2bl w:val="nil"/>
            </w:tcBorders>
            <w:tcMar>
              <w:top w:w="57" w:type="dxa"/>
              <w:left w:w="57" w:type="dxa"/>
              <w:bottom w:w="57" w:type="dxa"/>
              <w:right w:w="57" w:type="dxa"/>
            </w:tcMar>
            <w:vAlign w:val="center"/>
          </w:tcPr>
          <w:p w14:paraId="4CD6F0CC">
            <w:pPr>
              <w:pStyle w:val="23"/>
            </w:pPr>
            <w:r>
              <w:rPr>
                <w:rFonts w:hint="eastAsia"/>
              </w:rPr>
              <w:t>推行企业办理不动产登记“专窗受理，涉企零费用”。</w:t>
            </w:r>
          </w:p>
        </w:tc>
        <w:tc>
          <w:tcPr>
            <w:tcW w:w="1356" w:type="pct"/>
            <w:tcBorders>
              <w:tl2br w:val="nil"/>
              <w:tr2bl w:val="nil"/>
            </w:tcBorders>
            <w:tcMar>
              <w:top w:w="57" w:type="dxa"/>
              <w:left w:w="57" w:type="dxa"/>
              <w:bottom w:w="57" w:type="dxa"/>
              <w:right w:w="57" w:type="dxa"/>
            </w:tcMar>
            <w:vAlign w:val="center"/>
          </w:tcPr>
          <w:p w14:paraId="6CE09C2C">
            <w:pPr>
              <w:pStyle w:val="23"/>
            </w:pPr>
            <w:r>
              <w:rPr>
                <w:rFonts w:hint="eastAsia"/>
              </w:rPr>
              <w:t>2023年6月28日，《鄂州市自然资源和规划局华容分局关于实施涉企不动产登记“零收费”的通告》</w:t>
            </w:r>
          </w:p>
        </w:tc>
      </w:tr>
      <w:tr w14:paraId="2D331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7" w:hRule="atLeast"/>
        </w:trPr>
        <w:tc>
          <w:tcPr>
            <w:tcW w:w="418" w:type="pct"/>
            <w:vMerge w:val="continue"/>
            <w:tcBorders>
              <w:tl2br w:val="nil"/>
              <w:tr2bl w:val="nil"/>
            </w:tcBorders>
            <w:tcMar>
              <w:top w:w="57" w:type="dxa"/>
              <w:left w:w="57" w:type="dxa"/>
              <w:bottom w:w="57" w:type="dxa"/>
              <w:right w:w="57" w:type="dxa"/>
            </w:tcMar>
            <w:vAlign w:val="center"/>
          </w:tcPr>
          <w:p w14:paraId="0971A36B">
            <w:pPr>
              <w:pStyle w:val="23"/>
              <w:jc w:val="center"/>
            </w:pPr>
          </w:p>
        </w:tc>
        <w:tc>
          <w:tcPr>
            <w:tcW w:w="266" w:type="pct"/>
            <w:tcBorders>
              <w:tl2br w:val="nil"/>
              <w:tr2bl w:val="nil"/>
            </w:tcBorders>
            <w:tcMar>
              <w:top w:w="57" w:type="dxa"/>
              <w:left w:w="57" w:type="dxa"/>
              <w:bottom w:w="57" w:type="dxa"/>
              <w:right w:w="57" w:type="dxa"/>
            </w:tcMar>
            <w:vAlign w:val="center"/>
          </w:tcPr>
          <w:p w14:paraId="6796EFE6">
            <w:pPr>
              <w:pStyle w:val="23"/>
              <w:jc w:val="center"/>
            </w:pPr>
            <w:r>
              <w:rPr>
                <w:rFonts w:hint="eastAsia"/>
              </w:rPr>
              <w:t>3</w:t>
            </w:r>
          </w:p>
        </w:tc>
        <w:tc>
          <w:tcPr>
            <w:tcW w:w="318" w:type="pct"/>
            <w:vMerge w:val="restart"/>
            <w:tcBorders>
              <w:tl2br w:val="nil"/>
              <w:tr2bl w:val="nil"/>
            </w:tcBorders>
            <w:tcMar>
              <w:top w:w="57" w:type="dxa"/>
              <w:left w:w="57" w:type="dxa"/>
              <w:bottom w:w="57" w:type="dxa"/>
              <w:right w:w="57" w:type="dxa"/>
            </w:tcMar>
            <w:vAlign w:val="center"/>
          </w:tcPr>
          <w:p w14:paraId="247E34F4">
            <w:pPr>
              <w:pStyle w:val="23"/>
              <w:jc w:val="center"/>
            </w:pPr>
            <w:r>
              <w:rPr>
                <w:rFonts w:hint="eastAsia"/>
              </w:rPr>
              <w:t>优化服务类</w:t>
            </w:r>
          </w:p>
        </w:tc>
        <w:tc>
          <w:tcPr>
            <w:tcW w:w="2640" w:type="pct"/>
            <w:tcBorders>
              <w:tl2br w:val="nil"/>
              <w:tr2bl w:val="nil"/>
            </w:tcBorders>
            <w:tcMar>
              <w:top w:w="57" w:type="dxa"/>
              <w:left w:w="57" w:type="dxa"/>
              <w:bottom w:w="57" w:type="dxa"/>
              <w:right w:w="57" w:type="dxa"/>
            </w:tcMar>
            <w:vAlign w:val="center"/>
          </w:tcPr>
          <w:p w14:paraId="18C24BC9">
            <w:pPr>
              <w:pStyle w:val="23"/>
            </w:pPr>
            <w:r>
              <w:rPr>
                <w:rFonts w:hint="eastAsia"/>
              </w:rPr>
              <w:t>不动产登记大厅全面开展“预约服务、延时服务、非工作日办证服务”。</w:t>
            </w:r>
          </w:p>
        </w:tc>
        <w:tc>
          <w:tcPr>
            <w:tcW w:w="1356" w:type="pct"/>
            <w:tcBorders>
              <w:tl2br w:val="nil"/>
              <w:tr2bl w:val="nil"/>
            </w:tcBorders>
            <w:tcMar>
              <w:top w:w="57" w:type="dxa"/>
              <w:left w:w="57" w:type="dxa"/>
              <w:bottom w:w="57" w:type="dxa"/>
              <w:right w:w="57" w:type="dxa"/>
            </w:tcMar>
            <w:vAlign w:val="center"/>
          </w:tcPr>
          <w:p w14:paraId="70E21B02">
            <w:pPr>
              <w:pStyle w:val="23"/>
            </w:pPr>
            <w:r>
              <w:rPr>
                <w:rFonts w:hint="eastAsia"/>
              </w:rPr>
              <w:t>2021年1月4日，《鄂州市自然资源和规划局华容分局关于在不动产登记大厅全面开展“预约服务、延时服务、非工作日办证服务”的通知》（华容自然资规办文〔2021〕2号）</w:t>
            </w:r>
          </w:p>
        </w:tc>
      </w:tr>
      <w:tr w14:paraId="7B8ED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7" w:hRule="atLeast"/>
        </w:trPr>
        <w:tc>
          <w:tcPr>
            <w:tcW w:w="418" w:type="pct"/>
            <w:vMerge w:val="continue"/>
            <w:tcBorders>
              <w:tl2br w:val="nil"/>
              <w:tr2bl w:val="nil"/>
            </w:tcBorders>
            <w:tcMar>
              <w:top w:w="57" w:type="dxa"/>
              <w:left w:w="57" w:type="dxa"/>
              <w:bottom w:w="57" w:type="dxa"/>
              <w:right w:w="57" w:type="dxa"/>
            </w:tcMar>
            <w:vAlign w:val="center"/>
          </w:tcPr>
          <w:p w14:paraId="1BEE94C8">
            <w:pPr>
              <w:pStyle w:val="23"/>
              <w:jc w:val="center"/>
            </w:pPr>
          </w:p>
        </w:tc>
        <w:tc>
          <w:tcPr>
            <w:tcW w:w="266" w:type="pct"/>
            <w:tcBorders>
              <w:tl2br w:val="nil"/>
              <w:tr2bl w:val="nil"/>
            </w:tcBorders>
            <w:tcMar>
              <w:top w:w="57" w:type="dxa"/>
              <w:left w:w="57" w:type="dxa"/>
              <w:bottom w:w="57" w:type="dxa"/>
              <w:right w:w="57" w:type="dxa"/>
            </w:tcMar>
            <w:vAlign w:val="center"/>
          </w:tcPr>
          <w:p w14:paraId="2ACE74B4">
            <w:pPr>
              <w:pStyle w:val="23"/>
              <w:jc w:val="center"/>
            </w:pPr>
            <w:r>
              <w:rPr>
                <w:rFonts w:hint="eastAsia"/>
              </w:rPr>
              <w:t>4</w:t>
            </w:r>
          </w:p>
        </w:tc>
        <w:tc>
          <w:tcPr>
            <w:tcW w:w="318" w:type="pct"/>
            <w:vMerge w:val="continue"/>
            <w:tcBorders>
              <w:tl2br w:val="nil"/>
              <w:tr2bl w:val="nil"/>
            </w:tcBorders>
            <w:tcMar>
              <w:top w:w="57" w:type="dxa"/>
              <w:left w:w="57" w:type="dxa"/>
              <w:bottom w:w="57" w:type="dxa"/>
              <w:right w:w="57" w:type="dxa"/>
            </w:tcMar>
            <w:vAlign w:val="center"/>
          </w:tcPr>
          <w:p w14:paraId="4D5FF222">
            <w:pPr>
              <w:pStyle w:val="23"/>
              <w:jc w:val="center"/>
            </w:pPr>
          </w:p>
        </w:tc>
        <w:tc>
          <w:tcPr>
            <w:tcW w:w="2640" w:type="pct"/>
            <w:tcBorders>
              <w:tl2br w:val="nil"/>
              <w:tr2bl w:val="nil"/>
            </w:tcBorders>
            <w:tcMar>
              <w:top w:w="57" w:type="dxa"/>
              <w:left w:w="57" w:type="dxa"/>
              <w:bottom w:w="57" w:type="dxa"/>
              <w:right w:w="57" w:type="dxa"/>
            </w:tcMar>
            <w:vAlign w:val="center"/>
          </w:tcPr>
          <w:p w14:paraId="74D8ECE6">
            <w:pPr>
              <w:pStyle w:val="23"/>
            </w:pPr>
            <w:r>
              <w:rPr>
                <w:rFonts w:hint="eastAsia"/>
              </w:rPr>
              <w:t>压缩不动产登记办理环节，一般登记、抵押登记精简至1个环节，按照“一窗受理、当场缴纳税费、同窗出证”模式，实行“一窗通办、即办即取”。</w:t>
            </w:r>
          </w:p>
        </w:tc>
        <w:tc>
          <w:tcPr>
            <w:tcW w:w="1356" w:type="pct"/>
            <w:tcBorders>
              <w:tl2br w:val="nil"/>
              <w:tr2bl w:val="nil"/>
            </w:tcBorders>
            <w:tcMar>
              <w:top w:w="57" w:type="dxa"/>
              <w:left w:w="57" w:type="dxa"/>
              <w:bottom w:w="57" w:type="dxa"/>
              <w:right w:w="57" w:type="dxa"/>
            </w:tcMar>
            <w:vAlign w:val="center"/>
          </w:tcPr>
          <w:p w14:paraId="410518A2">
            <w:pPr>
              <w:pStyle w:val="23"/>
            </w:pPr>
            <w:r>
              <w:rPr>
                <w:rFonts w:hint="eastAsia"/>
              </w:rPr>
              <w:t>2021年3月29日，《鄂州市自然资源和规划局华容分局关于落实不动产登记“一窗受理当场办结”有关事项的通知》（华容自然资规办文〔2021〕23号）</w:t>
            </w:r>
          </w:p>
        </w:tc>
      </w:tr>
      <w:tr w14:paraId="14436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7" w:hRule="atLeast"/>
        </w:trPr>
        <w:tc>
          <w:tcPr>
            <w:tcW w:w="418" w:type="pct"/>
            <w:vMerge w:val="continue"/>
            <w:tcBorders>
              <w:tl2br w:val="nil"/>
              <w:tr2bl w:val="nil"/>
            </w:tcBorders>
            <w:tcMar>
              <w:top w:w="57" w:type="dxa"/>
              <w:left w:w="57" w:type="dxa"/>
              <w:bottom w:w="57" w:type="dxa"/>
              <w:right w:w="57" w:type="dxa"/>
            </w:tcMar>
            <w:vAlign w:val="center"/>
          </w:tcPr>
          <w:p w14:paraId="324F8DA5">
            <w:pPr>
              <w:pStyle w:val="23"/>
              <w:jc w:val="center"/>
            </w:pPr>
          </w:p>
        </w:tc>
        <w:tc>
          <w:tcPr>
            <w:tcW w:w="266" w:type="pct"/>
            <w:tcBorders>
              <w:tl2br w:val="nil"/>
              <w:tr2bl w:val="nil"/>
            </w:tcBorders>
            <w:tcMar>
              <w:top w:w="57" w:type="dxa"/>
              <w:left w:w="57" w:type="dxa"/>
              <w:bottom w:w="57" w:type="dxa"/>
              <w:right w:w="57" w:type="dxa"/>
            </w:tcMar>
            <w:vAlign w:val="center"/>
          </w:tcPr>
          <w:p w14:paraId="30F9CEE1">
            <w:pPr>
              <w:pStyle w:val="23"/>
              <w:jc w:val="center"/>
            </w:pPr>
            <w:r>
              <w:rPr>
                <w:rFonts w:hint="eastAsia"/>
              </w:rPr>
              <w:t>5</w:t>
            </w:r>
          </w:p>
        </w:tc>
        <w:tc>
          <w:tcPr>
            <w:tcW w:w="318" w:type="pct"/>
            <w:vMerge w:val="continue"/>
            <w:tcBorders>
              <w:tl2br w:val="nil"/>
              <w:tr2bl w:val="nil"/>
            </w:tcBorders>
            <w:tcMar>
              <w:top w:w="57" w:type="dxa"/>
              <w:left w:w="57" w:type="dxa"/>
              <w:bottom w:w="57" w:type="dxa"/>
              <w:right w:w="57" w:type="dxa"/>
            </w:tcMar>
            <w:vAlign w:val="center"/>
          </w:tcPr>
          <w:p w14:paraId="7A8262B4">
            <w:pPr>
              <w:pStyle w:val="23"/>
              <w:jc w:val="center"/>
            </w:pPr>
          </w:p>
        </w:tc>
        <w:tc>
          <w:tcPr>
            <w:tcW w:w="2640" w:type="pct"/>
            <w:tcBorders>
              <w:tl2br w:val="nil"/>
              <w:tr2bl w:val="nil"/>
            </w:tcBorders>
            <w:tcMar>
              <w:top w:w="57" w:type="dxa"/>
              <w:left w:w="57" w:type="dxa"/>
              <w:bottom w:w="57" w:type="dxa"/>
              <w:right w:w="57" w:type="dxa"/>
            </w:tcMar>
            <w:vAlign w:val="center"/>
          </w:tcPr>
          <w:p w14:paraId="771192D7">
            <w:pPr>
              <w:pStyle w:val="23"/>
            </w:pPr>
            <w:r>
              <w:rPr>
                <w:rFonts w:hint="eastAsia"/>
              </w:rPr>
              <w:t>公民、法人和其他组织在向行政机关申请办理行政事项时，行政机关以书面形式（含电子文本，下同）将证明义务、证明内容以及不实承诺的法律责任一次性告知申请人，申请人书面承诺已经符合告知的相关要求并愿意承担不实承诺的法律责任，行政机关不再索要有关证明并依据书面承诺办理相关行政事项。</w:t>
            </w:r>
          </w:p>
        </w:tc>
        <w:tc>
          <w:tcPr>
            <w:tcW w:w="1356" w:type="pct"/>
            <w:tcBorders>
              <w:tl2br w:val="nil"/>
              <w:tr2bl w:val="nil"/>
            </w:tcBorders>
            <w:tcMar>
              <w:top w:w="57" w:type="dxa"/>
              <w:left w:w="57" w:type="dxa"/>
              <w:bottom w:w="57" w:type="dxa"/>
              <w:right w:w="57" w:type="dxa"/>
            </w:tcMar>
            <w:vAlign w:val="center"/>
          </w:tcPr>
          <w:p w14:paraId="783B4141">
            <w:pPr>
              <w:pStyle w:val="23"/>
            </w:pPr>
            <w:r>
              <w:rPr>
                <w:rFonts w:hint="eastAsia"/>
              </w:rPr>
              <w:t>2021年9月2日，《区人民政府办公室关于公布华容区证明事项告知承诺目录清单的通知》（华容政办发〔2021〕11号）</w:t>
            </w:r>
          </w:p>
        </w:tc>
      </w:tr>
      <w:tr w14:paraId="77628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7" w:hRule="atLeast"/>
        </w:trPr>
        <w:tc>
          <w:tcPr>
            <w:tcW w:w="418" w:type="pct"/>
            <w:vMerge w:val="continue"/>
            <w:tcBorders>
              <w:tl2br w:val="nil"/>
              <w:tr2bl w:val="nil"/>
            </w:tcBorders>
            <w:tcMar>
              <w:top w:w="57" w:type="dxa"/>
              <w:left w:w="57" w:type="dxa"/>
              <w:bottom w:w="57" w:type="dxa"/>
              <w:right w:w="57" w:type="dxa"/>
            </w:tcMar>
            <w:vAlign w:val="center"/>
          </w:tcPr>
          <w:p w14:paraId="786A0560">
            <w:pPr>
              <w:pStyle w:val="23"/>
              <w:jc w:val="center"/>
            </w:pPr>
          </w:p>
        </w:tc>
        <w:tc>
          <w:tcPr>
            <w:tcW w:w="266" w:type="pct"/>
            <w:tcBorders>
              <w:tl2br w:val="nil"/>
              <w:tr2bl w:val="nil"/>
            </w:tcBorders>
            <w:tcMar>
              <w:top w:w="57" w:type="dxa"/>
              <w:left w:w="57" w:type="dxa"/>
              <w:bottom w:w="57" w:type="dxa"/>
              <w:right w:w="57" w:type="dxa"/>
            </w:tcMar>
            <w:vAlign w:val="center"/>
          </w:tcPr>
          <w:p w14:paraId="165D2612">
            <w:pPr>
              <w:pStyle w:val="23"/>
              <w:jc w:val="center"/>
            </w:pPr>
            <w:r>
              <w:rPr>
                <w:rFonts w:hint="eastAsia"/>
              </w:rPr>
              <w:t>6</w:t>
            </w:r>
          </w:p>
        </w:tc>
        <w:tc>
          <w:tcPr>
            <w:tcW w:w="318" w:type="pct"/>
            <w:vMerge w:val="continue"/>
            <w:tcBorders>
              <w:tl2br w:val="nil"/>
              <w:tr2bl w:val="nil"/>
            </w:tcBorders>
            <w:tcMar>
              <w:top w:w="57" w:type="dxa"/>
              <w:left w:w="57" w:type="dxa"/>
              <w:bottom w:w="57" w:type="dxa"/>
              <w:right w:w="57" w:type="dxa"/>
            </w:tcMar>
            <w:vAlign w:val="center"/>
          </w:tcPr>
          <w:p w14:paraId="0E8A2D20">
            <w:pPr>
              <w:pStyle w:val="23"/>
              <w:jc w:val="center"/>
            </w:pPr>
          </w:p>
        </w:tc>
        <w:tc>
          <w:tcPr>
            <w:tcW w:w="2640" w:type="pct"/>
            <w:tcBorders>
              <w:tl2br w:val="nil"/>
              <w:tr2bl w:val="nil"/>
            </w:tcBorders>
            <w:tcMar>
              <w:top w:w="57" w:type="dxa"/>
              <w:left w:w="57" w:type="dxa"/>
              <w:bottom w:w="57" w:type="dxa"/>
              <w:right w:w="57" w:type="dxa"/>
            </w:tcMar>
            <w:vAlign w:val="center"/>
          </w:tcPr>
          <w:p w14:paraId="65F1DB05">
            <w:pPr>
              <w:pStyle w:val="23"/>
            </w:pPr>
            <w:r>
              <w:rPr>
                <w:rFonts w:hint="eastAsia"/>
              </w:rPr>
              <w:t>根据企业自愿，在我区登记的企业（不含个体工商户和企业分支机构），在华容区内设立经营场所无需前（后）置审批的，可以办理“一照多址”登记，不再办理分支机构登记。</w:t>
            </w:r>
          </w:p>
        </w:tc>
        <w:tc>
          <w:tcPr>
            <w:tcW w:w="1356" w:type="pct"/>
            <w:tcBorders>
              <w:tl2br w:val="nil"/>
              <w:tr2bl w:val="nil"/>
            </w:tcBorders>
            <w:tcMar>
              <w:top w:w="57" w:type="dxa"/>
              <w:left w:w="57" w:type="dxa"/>
              <w:bottom w:w="57" w:type="dxa"/>
              <w:right w:w="57" w:type="dxa"/>
            </w:tcMar>
            <w:vAlign w:val="center"/>
          </w:tcPr>
          <w:p w14:paraId="0A6C4A14">
            <w:pPr>
              <w:pStyle w:val="23"/>
            </w:pPr>
            <w:r>
              <w:rPr>
                <w:rFonts w:hint="eastAsia"/>
              </w:rPr>
              <w:t>2022年4月25日，《华容区市场监管局关于印发&lt;华容区“一照多址”改革工作方案&gt;的通知》（华容市监优〔2022〕4号）</w:t>
            </w:r>
          </w:p>
        </w:tc>
      </w:tr>
      <w:tr w14:paraId="1D4B7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7" w:hRule="atLeast"/>
        </w:trPr>
        <w:tc>
          <w:tcPr>
            <w:tcW w:w="418" w:type="pct"/>
            <w:vMerge w:val="continue"/>
            <w:tcBorders>
              <w:tl2br w:val="nil"/>
              <w:tr2bl w:val="nil"/>
            </w:tcBorders>
            <w:tcMar>
              <w:top w:w="57" w:type="dxa"/>
              <w:left w:w="57" w:type="dxa"/>
              <w:bottom w:w="57" w:type="dxa"/>
              <w:right w:w="57" w:type="dxa"/>
            </w:tcMar>
            <w:vAlign w:val="center"/>
          </w:tcPr>
          <w:p w14:paraId="1AC8FC05">
            <w:pPr>
              <w:pStyle w:val="23"/>
              <w:jc w:val="center"/>
            </w:pPr>
          </w:p>
        </w:tc>
        <w:tc>
          <w:tcPr>
            <w:tcW w:w="266" w:type="pct"/>
            <w:tcBorders>
              <w:tl2br w:val="nil"/>
              <w:tr2bl w:val="nil"/>
            </w:tcBorders>
            <w:tcMar>
              <w:top w:w="57" w:type="dxa"/>
              <w:left w:w="57" w:type="dxa"/>
              <w:bottom w:w="57" w:type="dxa"/>
              <w:right w:w="57" w:type="dxa"/>
            </w:tcMar>
            <w:vAlign w:val="center"/>
          </w:tcPr>
          <w:p w14:paraId="2B790164">
            <w:pPr>
              <w:pStyle w:val="23"/>
              <w:jc w:val="center"/>
            </w:pPr>
            <w:r>
              <w:rPr>
                <w:rFonts w:hint="eastAsia"/>
              </w:rPr>
              <w:t>7</w:t>
            </w:r>
          </w:p>
        </w:tc>
        <w:tc>
          <w:tcPr>
            <w:tcW w:w="318" w:type="pct"/>
            <w:vMerge w:val="continue"/>
            <w:tcBorders>
              <w:tl2br w:val="nil"/>
              <w:tr2bl w:val="nil"/>
            </w:tcBorders>
            <w:tcMar>
              <w:top w:w="57" w:type="dxa"/>
              <w:left w:w="57" w:type="dxa"/>
              <w:bottom w:w="57" w:type="dxa"/>
              <w:right w:w="57" w:type="dxa"/>
            </w:tcMar>
            <w:vAlign w:val="center"/>
          </w:tcPr>
          <w:p w14:paraId="5C372E4C">
            <w:pPr>
              <w:pStyle w:val="23"/>
              <w:jc w:val="center"/>
            </w:pPr>
          </w:p>
        </w:tc>
        <w:tc>
          <w:tcPr>
            <w:tcW w:w="2640" w:type="pct"/>
            <w:tcBorders>
              <w:tl2br w:val="nil"/>
              <w:tr2bl w:val="nil"/>
            </w:tcBorders>
            <w:tcMar>
              <w:top w:w="57" w:type="dxa"/>
              <w:left w:w="57" w:type="dxa"/>
              <w:bottom w:w="57" w:type="dxa"/>
              <w:right w:w="57" w:type="dxa"/>
            </w:tcMar>
            <w:vAlign w:val="center"/>
          </w:tcPr>
          <w:p w14:paraId="4BF7F2B3">
            <w:pPr>
              <w:pStyle w:val="23"/>
            </w:pPr>
            <w:r>
              <w:rPr>
                <w:rFonts w:hint="eastAsia"/>
              </w:rPr>
              <w:t>市场主体以信用为基础，在线上“一业一证”专区、线下“市场准营承诺即入制”专窗，可“全程网办、一窗通办、最多跑一次、只填一张承诺书、当即办结”，实现承诺即准营。</w:t>
            </w:r>
          </w:p>
        </w:tc>
        <w:tc>
          <w:tcPr>
            <w:tcW w:w="1356" w:type="pct"/>
            <w:tcBorders>
              <w:tl2br w:val="nil"/>
              <w:tr2bl w:val="nil"/>
            </w:tcBorders>
            <w:tcMar>
              <w:top w:w="57" w:type="dxa"/>
              <w:left w:w="57" w:type="dxa"/>
              <w:bottom w:w="57" w:type="dxa"/>
              <w:right w:w="57" w:type="dxa"/>
            </w:tcMar>
            <w:vAlign w:val="center"/>
          </w:tcPr>
          <w:p w14:paraId="022695BF">
            <w:pPr>
              <w:pStyle w:val="23"/>
            </w:pPr>
            <w:r>
              <w:rPr>
                <w:rFonts w:hint="eastAsia"/>
              </w:rPr>
              <w:t>2022年5月12日，《区人民政府办公室关于印发华容区“市场准营承诺即入制”改革试点工作方案的通知》（华容政办函〔2022〕35号）</w:t>
            </w:r>
          </w:p>
        </w:tc>
      </w:tr>
      <w:tr w14:paraId="79A03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7" w:hRule="atLeast"/>
        </w:trPr>
        <w:tc>
          <w:tcPr>
            <w:tcW w:w="418" w:type="pct"/>
            <w:vMerge w:val="continue"/>
            <w:tcBorders>
              <w:tl2br w:val="nil"/>
              <w:tr2bl w:val="nil"/>
            </w:tcBorders>
            <w:tcMar>
              <w:top w:w="57" w:type="dxa"/>
              <w:left w:w="57" w:type="dxa"/>
              <w:bottom w:w="57" w:type="dxa"/>
              <w:right w:w="57" w:type="dxa"/>
            </w:tcMar>
            <w:vAlign w:val="center"/>
          </w:tcPr>
          <w:p w14:paraId="7304B2D1">
            <w:pPr>
              <w:pStyle w:val="23"/>
              <w:jc w:val="center"/>
            </w:pPr>
          </w:p>
        </w:tc>
        <w:tc>
          <w:tcPr>
            <w:tcW w:w="266" w:type="pct"/>
            <w:tcBorders>
              <w:tl2br w:val="nil"/>
              <w:tr2bl w:val="nil"/>
            </w:tcBorders>
            <w:tcMar>
              <w:top w:w="57" w:type="dxa"/>
              <w:left w:w="57" w:type="dxa"/>
              <w:bottom w:w="57" w:type="dxa"/>
              <w:right w:w="57" w:type="dxa"/>
            </w:tcMar>
            <w:vAlign w:val="center"/>
          </w:tcPr>
          <w:p w14:paraId="164D01E7">
            <w:pPr>
              <w:pStyle w:val="23"/>
              <w:jc w:val="center"/>
            </w:pPr>
            <w:r>
              <w:rPr>
                <w:rFonts w:hint="eastAsia"/>
              </w:rPr>
              <w:t>8</w:t>
            </w:r>
          </w:p>
        </w:tc>
        <w:tc>
          <w:tcPr>
            <w:tcW w:w="318" w:type="pct"/>
            <w:vMerge w:val="continue"/>
            <w:tcBorders>
              <w:tl2br w:val="nil"/>
              <w:tr2bl w:val="nil"/>
            </w:tcBorders>
            <w:tcMar>
              <w:top w:w="57" w:type="dxa"/>
              <w:left w:w="57" w:type="dxa"/>
              <w:bottom w:w="57" w:type="dxa"/>
              <w:right w:w="57" w:type="dxa"/>
            </w:tcMar>
            <w:vAlign w:val="center"/>
          </w:tcPr>
          <w:p w14:paraId="234EA5B4">
            <w:pPr>
              <w:pStyle w:val="23"/>
              <w:jc w:val="center"/>
            </w:pPr>
          </w:p>
        </w:tc>
        <w:tc>
          <w:tcPr>
            <w:tcW w:w="2640" w:type="pct"/>
            <w:tcBorders>
              <w:tl2br w:val="nil"/>
              <w:tr2bl w:val="nil"/>
            </w:tcBorders>
            <w:tcMar>
              <w:top w:w="57" w:type="dxa"/>
              <w:left w:w="57" w:type="dxa"/>
              <w:bottom w:w="57" w:type="dxa"/>
              <w:right w:w="57" w:type="dxa"/>
            </w:tcMar>
            <w:vAlign w:val="center"/>
          </w:tcPr>
          <w:p w14:paraId="1B37B95E">
            <w:pPr>
              <w:pStyle w:val="23"/>
            </w:pPr>
            <w:r>
              <w:rPr>
                <w:rFonts w:hint="eastAsia"/>
              </w:rPr>
              <w:t>推行单位工程单体竣工验收。对办理了一张建设工程规划许可证但涉及多个单位工程的工程建设项目，在符合项目整体质量安全要求、达到安全使用条件的前提下，对已满足使用功能的单位工程可采用单体竣工验收方式，单位工程验收合格后，可单独投入使用。</w:t>
            </w:r>
          </w:p>
        </w:tc>
        <w:tc>
          <w:tcPr>
            <w:tcW w:w="1356" w:type="pct"/>
            <w:tcBorders>
              <w:tl2br w:val="nil"/>
              <w:tr2bl w:val="nil"/>
            </w:tcBorders>
            <w:tcMar>
              <w:top w:w="57" w:type="dxa"/>
              <w:left w:w="57" w:type="dxa"/>
              <w:bottom w:w="57" w:type="dxa"/>
              <w:right w:w="57" w:type="dxa"/>
            </w:tcMar>
            <w:vAlign w:val="center"/>
          </w:tcPr>
          <w:p w14:paraId="43CF0FDC">
            <w:pPr>
              <w:pStyle w:val="23"/>
            </w:pPr>
            <w:r>
              <w:rPr>
                <w:rFonts w:hint="eastAsia"/>
              </w:rPr>
              <w:t>2023年2月12日，《关于转发省四部门联合发文&lt;湖北省房屋建筑和市政基础设施工程联合验收管理办法&gt;等的通知》（华工改办〔2023〕1号）</w:t>
            </w:r>
          </w:p>
        </w:tc>
      </w:tr>
      <w:tr w14:paraId="3134A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7" w:hRule="atLeast"/>
        </w:trPr>
        <w:tc>
          <w:tcPr>
            <w:tcW w:w="418" w:type="pct"/>
            <w:vMerge w:val="continue"/>
            <w:tcBorders>
              <w:tl2br w:val="nil"/>
              <w:tr2bl w:val="nil"/>
            </w:tcBorders>
            <w:tcMar>
              <w:top w:w="57" w:type="dxa"/>
              <w:left w:w="57" w:type="dxa"/>
              <w:bottom w:w="57" w:type="dxa"/>
              <w:right w:w="57" w:type="dxa"/>
            </w:tcMar>
            <w:vAlign w:val="center"/>
          </w:tcPr>
          <w:p w14:paraId="11F9BB5B">
            <w:pPr>
              <w:pStyle w:val="23"/>
              <w:jc w:val="center"/>
            </w:pPr>
          </w:p>
        </w:tc>
        <w:tc>
          <w:tcPr>
            <w:tcW w:w="266" w:type="pct"/>
            <w:tcBorders>
              <w:tl2br w:val="nil"/>
              <w:tr2bl w:val="nil"/>
            </w:tcBorders>
            <w:tcMar>
              <w:top w:w="57" w:type="dxa"/>
              <w:left w:w="57" w:type="dxa"/>
              <w:bottom w:w="57" w:type="dxa"/>
              <w:right w:w="57" w:type="dxa"/>
            </w:tcMar>
            <w:vAlign w:val="center"/>
          </w:tcPr>
          <w:p w14:paraId="34954370">
            <w:pPr>
              <w:pStyle w:val="23"/>
              <w:jc w:val="center"/>
            </w:pPr>
            <w:r>
              <w:rPr>
                <w:rFonts w:hint="eastAsia"/>
              </w:rPr>
              <w:t>9</w:t>
            </w:r>
          </w:p>
        </w:tc>
        <w:tc>
          <w:tcPr>
            <w:tcW w:w="318" w:type="pct"/>
            <w:vMerge w:val="continue"/>
            <w:tcBorders>
              <w:tl2br w:val="nil"/>
              <w:tr2bl w:val="nil"/>
            </w:tcBorders>
            <w:tcMar>
              <w:top w:w="57" w:type="dxa"/>
              <w:left w:w="57" w:type="dxa"/>
              <w:bottom w:w="57" w:type="dxa"/>
              <w:right w:w="57" w:type="dxa"/>
            </w:tcMar>
            <w:vAlign w:val="center"/>
          </w:tcPr>
          <w:p w14:paraId="5D48EE10">
            <w:pPr>
              <w:pStyle w:val="23"/>
              <w:jc w:val="center"/>
            </w:pPr>
          </w:p>
        </w:tc>
        <w:tc>
          <w:tcPr>
            <w:tcW w:w="2640" w:type="pct"/>
            <w:tcBorders>
              <w:tl2br w:val="nil"/>
              <w:tr2bl w:val="nil"/>
            </w:tcBorders>
            <w:tcMar>
              <w:top w:w="57" w:type="dxa"/>
              <w:left w:w="57" w:type="dxa"/>
              <w:bottom w:w="57" w:type="dxa"/>
              <w:right w:w="57" w:type="dxa"/>
            </w:tcMar>
            <w:vAlign w:val="center"/>
          </w:tcPr>
          <w:p w14:paraId="51E1B580">
            <w:pPr>
              <w:pStyle w:val="23"/>
            </w:pPr>
            <w:r>
              <w:rPr>
                <w:rFonts w:hint="eastAsia"/>
              </w:rPr>
              <w:t>对联合验收中档案归档事项实行告知承诺制度。</w:t>
            </w:r>
          </w:p>
        </w:tc>
        <w:tc>
          <w:tcPr>
            <w:tcW w:w="1356" w:type="pct"/>
            <w:tcBorders>
              <w:tl2br w:val="nil"/>
              <w:tr2bl w:val="nil"/>
            </w:tcBorders>
            <w:tcMar>
              <w:top w:w="57" w:type="dxa"/>
              <w:left w:w="57" w:type="dxa"/>
              <w:bottom w:w="57" w:type="dxa"/>
              <w:right w:w="57" w:type="dxa"/>
            </w:tcMar>
            <w:vAlign w:val="center"/>
          </w:tcPr>
          <w:p w14:paraId="5AFCD999">
            <w:pPr>
              <w:pStyle w:val="23"/>
            </w:pPr>
            <w:r>
              <w:rPr>
                <w:rFonts w:hint="eastAsia"/>
              </w:rPr>
              <w:t>2023年2月24日，《关于开展建设工程竣工档案验收告知承诺制审批改革试点的通知》（华工改办〔2023〕2号）</w:t>
            </w:r>
          </w:p>
        </w:tc>
      </w:tr>
      <w:tr w14:paraId="0D981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7" w:hRule="atLeast"/>
        </w:trPr>
        <w:tc>
          <w:tcPr>
            <w:tcW w:w="418" w:type="pct"/>
            <w:vMerge w:val="continue"/>
            <w:tcBorders>
              <w:tl2br w:val="nil"/>
              <w:tr2bl w:val="nil"/>
            </w:tcBorders>
            <w:tcMar>
              <w:top w:w="57" w:type="dxa"/>
              <w:left w:w="57" w:type="dxa"/>
              <w:bottom w:w="57" w:type="dxa"/>
              <w:right w:w="57" w:type="dxa"/>
            </w:tcMar>
            <w:vAlign w:val="center"/>
          </w:tcPr>
          <w:p w14:paraId="4B8C9F75">
            <w:pPr>
              <w:pStyle w:val="23"/>
              <w:jc w:val="center"/>
            </w:pPr>
          </w:p>
        </w:tc>
        <w:tc>
          <w:tcPr>
            <w:tcW w:w="266" w:type="pct"/>
            <w:tcBorders>
              <w:tl2br w:val="nil"/>
              <w:tr2bl w:val="nil"/>
            </w:tcBorders>
            <w:tcMar>
              <w:top w:w="57" w:type="dxa"/>
              <w:left w:w="57" w:type="dxa"/>
              <w:bottom w:w="57" w:type="dxa"/>
              <w:right w:w="57" w:type="dxa"/>
            </w:tcMar>
            <w:vAlign w:val="center"/>
          </w:tcPr>
          <w:p w14:paraId="6CCE1E4C">
            <w:pPr>
              <w:pStyle w:val="23"/>
              <w:jc w:val="center"/>
            </w:pPr>
            <w:r>
              <w:rPr>
                <w:rFonts w:hint="eastAsia"/>
              </w:rPr>
              <w:t>10</w:t>
            </w:r>
          </w:p>
        </w:tc>
        <w:tc>
          <w:tcPr>
            <w:tcW w:w="318" w:type="pct"/>
            <w:vMerge w:val="continue"/>
            <w:tcBorders>
              <w:tl2br w:val="nil"/>
              <w:tr2bl w:val="nil"/>
            </w:tcBorders>
            <w:tcMar>
              <w:top w:w="57" w:type="dxa"/>
              <w:left w:w="57" w:type="dxa"/>
              <w:bottom w:w="57" w:type="dxa"/>
              <w:right w:w="57" w:type="dxa"/>
            </w:tcMar>
            <w:vAlign w:val="center"/>
          </w:tcPr>
          <w:p w14:paraId="3A6D3ECC">
            <w:pPr>
              <w:pStyle w:val="23"/>
              <w:jc w:val="center"/>
            </w:pPr>
          </w:p>
        </w:tc>
        <w:tc>
          <w:tcPr>
            <w:tcW w:w="2640" w:type="pct"/>
            <w:tcBorders>
              <w:tl2br w:val="nil"/>
              <w:tr2bl w:val="nil"/>
            </w:tcBorders>
            <w:tcMar>
              <w:top w:w="57" w:type="dxa"/>
              <w:left w:w="57" w:type="dxa"/>
              <w:bottom w:w="57" w:type="dxa"/>
              <w:right w:w="57" w:type="dxa"/>
            </w:tcMar>
            <w:vAlign w:val="center"/>
          </w:tcPr>
          <w:p w14:paraId="0C0EF540">
            <w:pPr>
              <w:pStyle w:val="23"/>
            </w:pPr>
            <w:r>
              <w:rPr>
                <w:rFonts w:hint="eastAsia"/>
              </w:rPr>
              <w:t>除法律、行政法规另有规定外，因自然灾害、事故灾难、公共卫生事件、社会安全事件等不可抗力或其他客观原因造成经营困难可以申请歇业备案。</w:t>
            </w:r>
          </w:p>
        </w:tc>
        <w:tc>
          <w:tcPr>
            <w:tcW w:w="1356" w:type="pct"/>
            <w:tcBorders>
              <w:tl2br w:val="nil"/>
              <w:tr2bl w:val="nil"/>
            </w:tcBorders>
            <w:tcMar>
              <w:top w:w="57" w:type="dxa"/>
              <w:left w:w="57" w:type="dxa"/>
              <w:bottom w:w="57" w:type="dxa"/>
              <w:right w:w="57" w:type="dxa"/>
            </w:tcMar>
            <w:vAlign w:val="center"/>
          </w:tcPr>
          <w:p w14:paraId="34E34343">
            <w:pPr>
              <w:pStyle w:val="23"/>
            </w:pPr>
            <w:r>
              <w:rPr>
                <w:rFonts w:hint="eastAsia"/>
              </w:rPr>
              <w:t>2023年3月15日，《华容区市场监督管理局关于印发市场主体歇业备案实施方案的通知》（华容市监〔2023〕8号）</w:t>
            </w:r>
          </w:p>
        </w:tc>
      </w:tr>
      <w:tr w14:paraId="5A087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1" w:hRule="atLeast"/>
        </w:trPr>
        <w:tc>
          <w:tcPr>
            <w:tcW w:w="418" w:type="pct"/>
            <w:vMerge w:val="continue"/>
            <w:tcBorders>
              <w:tl2br w:val="nil"/>
              <w:tr2bl w:val="nil"/>
            </w:tcBorders>
            <w:tcMar>
              <w:top w:w="57" w:type="dxa"/>
              <w:left w:w="57" w:type="dxa"/>
              <w:bottom w:w="57" w:type="dxa"/>
              <w:right w:w="57" w:type="dxa"/>
            </w:tcMar>
            <w:vAlign w:val="center"/>
          </w:tcPr>
          <w:p w14:paraId="1FE49645">
            <w:pPr>
              <w:pStyle w:val="23"/>
              <w:jc w:val="center"/>
            </w:pPr>
          </w:p>
        </w:tc>
        <w:tc>
          <w:tcPr>
            <w:tcW w:w="266" w:type="pct"/>
            <w:tcBorders>
              <w:tl2br w:val="nil"/>
              <w:tr2bl w:val="nil"/>
            </w:tcBorders>
            <w:tcMar>
              <w:top w:w="57" w:type="dxa"/>
              <w:left w:w="57" w:type="dxa"/>
              <w:bottom w:w="57" w:type="dxa"/>
              <w:right w:w="57" w:type="dxa"/>
            </w:tcMar>
            <w:vAlign w:val="center"/>
          </w:tcPr>
          <w:p w14:paraId="1F659F53">
            <w:pPr>
              <w:pStyle w:val="23"/>
              <w:jc w:val="center"/>
            </w:pPr>
            <w:r>
              <w:rPr>
                <w:rFonts w:hint="eastAsia"/>
              </w:rPr>
              <w:t>11</w:t>
            </w:r>
          </w:p>
        </w:tc>
        <w:tc>
          <w:tcPr>
            <w:tcW w:w="318" w:type="pct"/>
            <w:vMerge w:val="continue"/>
            <w:tcBorders>
              <w:tl2br w:val="nil"/>
              <w:tr2bl w:val="nil"/>
            </w:tcBorders>
            <w:tcMar>
              <w:top w:w="57" w:type="dxa"/>
              <w:left w:w="57" w:type="dxa"/>
              <w:bottom w:w="57" w:type="dxa"/>
              <w:right w:w="57" w:type="dxa"/>
            </w:tcMar>
            <w:vAlign w:val="center"/>
          </w:tcPr>
          <w:p w14:paraId="189DE6DB">
            <w:pPr>
              <w:pStyle w:val="23"/>
              <w:jc w:val="center"/>
            </w:pPr>
          </w:p>
        </w:tc>
        <w:tc>
          <w:tcPr>
            <w:tcW w:w="2640" w:type="pct"/>
            <w:tcBorders>
              <w:tl2br w:val="nil"/>
              <w:tr2bl w:val="nil"/>
            </w:tcBorders>
            <w:tcMar>
              <w:top w:w="57" w:type="dxa"/>
              <w:left w:w="57" w:type="dxa"/>
              <w:bottom w:w="57" w:type="dxa"/>
              <w:right w:w="57" w:type="dxa"/>
            </w:tcMar>
            <w:vAlign w:val="center"/>
          </w:tcPr>
          <w:p w14:paraId="7CAE1FC5">
            <w:pPr>
              <w:pStyle w:val="23"/>
            </w:pPr>
            <w:r>
              <w:rPr>
                <w:rFonts w:hint="eastAsia"/>
              </w:rPr>
              <w:t>根据项目分级分类实行差别化的监督管理和审批模式，根据每季度建设工程项目红黑榜公示结果，对“红黑榜”管理坚持守信激励、失信惩戒的原则，实行统一发布，动态管理，红榜企业可享受土地出让、用地等优先考虑，减少监督检查频次、建筑许可审批优先走绿色通道等便利服务措施，对纳入“黑名单”的企业在土地供应、出让、不动产交易等采取限制措施，同时严格审批流程，加大监督执法检查频次。</w:t>
            </w:r>
          </w:p>
        </w:tc>
        <w:tc>
          <w:tcPr>
            <w:tcW w:w="1356" w:type="pct"/>
            <w:tcBorders>
              <w:tl2br w:val="nil"/>
              <w:tr2bl w:val="nil"/>
            </w:tcBorders>
            <w:tcMar>
              <w:top w:w="57" w:type="dxa"/>
              <w:left w:w="57" w:type="dxa"/>
              <w:bottom w:w="57" w:type="dxa"/>
              <w:right w:w="57" w:type="dxa"/>
            </w:tcMar>
            <w:vAlign w:val="center"/>
          </w:tcPr>
          <w:p w14:paraId="3F05BBF5">
            <w:pPr>
              <w:pStyle w:val="23"/>
            </w:pPr>
            <w:r>
              <w:rPr>
                <w:rFonts w:hint="eastAsia"/>
              </w:rPr>
              <w:t>2023年4月26日，《华容区建设工程质量监督差别化管理办法（试行）》（华工改办〔2023〕4号）</w:t>
            </w:r>
          </w:p>
        </w:tc>
      </w:tr>
      <w:tr w14:paraId="1A68C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418" w:type="pct"/>
            <w:vMerge w:val="continue"/>
            <w:tcBorders>
              <w:tl2br w:val="nil"/>
              <w:tr2bl w:val="nil"/>
            </w:tcBorders>
            <w:tcMar>
              <w:top w:w="57" w:type="dxa"/>
              <w:left w:w="57" w:type="dxa"/>
              <w:bottom w:w="57" w:type="dxa"/>
              <w:right w:w="57" w:type="dxa"/>
            </w:tcMar>
            <w:vAlign w:val="center"/>
          </w:tcPr>
          <w:p w14:paraId="118AE540">
            <w:pPr>
              <w:pStyle w:val="23"/>
              <w:jc w:val="center"/>
            </w:pPr>
          </w:p>
        </w:tc>
        <w:tc>
          <w:tcPr>
            <w:tcW w:w="266" w:type="pct"/>
            <w:tcBorders>
              <w:tl2br w:val="nil"/>
              <w:tr2bl w:val="nil"/>
            </w:tcBorders>
            <w:tcMar>
              <w:top w:w="57" w:type="dxa"/>
              <w:left w:w="57" w:type="dxa"/>
              <w:bottom w:w="57" w:type="dxa"/>
              <w:right w:w="57" w:type="dxa"/>
            </w:tcMar>
            <w:vAlign w:val="center"/>
          </w:tcPr>
          <w:p w14:paraId="18897CC7">
            <w:pPr>
              <w:pStyle w:val="23"/>
              <w:jc w:val="center"/>
            </w:pPr>
            <w:r>
              <w:rPr>
                <w:rFonts w:hint="eastAsia"/>
              </w:rPr>
              <w:t>12</w:t>
            </w:r>
          </w:p>
        </w:tc>
        <w:tc>
          <w:tcPr>
            <w:tcW w:w="318" w:type="pct"/>
            <w:vMerge w:val="continue"/>
            <w:tcBorders>
              <w:tl2br w:val="nil"/>
              <w:tr2bl w:val="nil"/>
            </w:tcBorders>
            <w:tcMar>
              <w:top w:w="57" w:type="dxa"/>
              <w:left w:w="57" w:type="dxa"/>
              <w:bottom w:w="57" w:type="dxa"/>
              <w:right w:w="57" w:type="dxa"/>
            </w:tcMar>
            <w:vAlign w:val="center"/>
          </w:tcPr>
          <w:p w14:paraId="6D849E6E">
            <w:pPr>
              <w:pStyle w:val="23"/>
              <w:jc w:val="center"/>
            </w:pPr>
          </w:p>
        </w:tc>
        <w:tc>
          <w:tcPr>
            <w:tcW w:w="2640" w:type="pct"/>
            <w:tcBorders>
              <w:tl2br w:val="nil"/>
              <w:tr2bl w:val="nil"/>
            </w:tcBorders>
            <w:tcMar>
              <w:top w:w="57" w:type="dxa"/>
              <w:left w:w="57" w:type="dxa"/>
              <w:bottom w:w="57" w:type="dxa"/>
              <w:right w:w="57" w:type="dxa"/>
            </w:tcMar>
            <w:vAlign w:val="center"/>
          </w:tcPr>
          <w:p w14:paraId="13BECE63">
            <w:pPr>
              <w:pStyle w:val="23"/>
            </w:pPr>
            <w:r>
              <w:rPr>
                <w:rFonts w:hint="eastAsia"/>
              </w:rPr>
              <w:t>低风险项目免于施工图审查建设单位和勘察、设计单位对建设工程作出质量安全承诺，即可办理建筑施工许可或开工。</w:t>
            </w:r>
          </w:p>
        </w:tc>
        <w:tc>
          <w:tcPr>
            <w:tcW w:w="1356" w:type="pct"/>
            <w:tcBorders>
              <w:tl2br w:val="nil"/>
              <w:tr2bl w:val="nil"/>
            </w:tcBorders>
            <w:tcMar>
              <w:top w:w="57" w:type="dxa"/>
              <w:left w:w="57" w:type="dxa"/>
              <w:bottom w:w="57" w:type="dxa"/>
              <w:right w:w="57" w:type="dxa"/>
            </w:tcMar>
            <w:vAlign w:val="center"/>
          </w:tcPr>
          <w:p w14:paraId="1A005926">
            <w:pPr>
              <w:pStyle w:val="23"/>
            </w:pPr>
            <w:r>
              <w:rPr>
                <w:rFonts w:hint="eastAsia"/>
              </w:rPr>
              <w:t>2023年5月22日，《关于公布施工图审查、施工许可、工程监理豁免清单（试行）的通知》（华工改办〔2023〕7号）</w:t>
            </w:r>
          </w:p>
        </w:tc>
      </w:tr>
      <w:tr w14:paraId="49C72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418" w:type="pct"/>
            <w:vMerge w:val="continue"/>
            <w:tcBorders>
              <w:tl2br w:val="nil"/>
              <w:tr2bl w:val="nil"/>
            </w:tcBorders>
            <w:tcMar>
              <w:top w:w="57" w:type="dxa"/>
              <w:left w:w="57" w:type="dxa"/>
              <w:bottom w:w="57" w:type="dxa"/>
              <w:right w:w="57" w:type="dxa"/>
            </w:tcMar>
            <w:vAlign w:val="center"/>
          </w:tcPr>
          <w:p w14:paraId="41CA2AC8">
            <w:pPr>
              <w:pStyle w:val="23"/>
              <w:jc w:val="center"/>
            </w:pPr>
          </w:p>
        </w:tc>
        <w:tc>
          <w:tcPr>
            <w:tcW w:w="266" w:type="pct"/>
            <w:tcBorders>
              <w:tl2br w:val="nil"/>
              <w:tr2bl w:val="nil"/>
            </w:tcBorders>
            <w:tcMar>
              <w:top w:w="57" w:type="dxa"/>
              <w:left w:w="57" w:type="dxa"/>
              <w:bottom w:w="57" w:type="dxa"/>
              <w:right w:w="57" w:type="dxa"/>
            </w:tcMar>
            <w:vAlign w:val="center"/>
          </w:tcPr>
          <w:p w14:paraId="03D80FC7">
            <w:pPr>
              <w:pStyle w:val="23"/>
              <w:jc w:val="center"/>
            </w:pPr>
            <w:r>
              <w:rPr>
                <w:rFonts w:hint="eastAsia"/>
              </w:rPr>
              <w:t>13</w:t>
            </w:r>
          </w:p>
        </w:tc>
        <w:tc>
          <w:tcPr>
            <w:tcW w:w="318" w:type="pct"/>
            <w:vMerge w:val="continue"/>
            <w:tcBorders>
              <w:tl2br w:val="nil"/>
              <w:tr2bl w:val="nil"/>
            </w:tcBorders>
            <w:tcMar>
              <w:top w:w="57" w:type="dxa"/>
              <w:left w:w="57" w:type="dxa"/>
              <w:bottom w:w="57" w:type="dxa"/>
              <w:right w:w="57" w:type="dxa"/>
            </w:tcMar>
            <w:vAlign w:val="center"/>
          </w:tcPr>
          <w:p w14:paraId="12E205F6">
            <w:pPr>
              <w:pStyle w:val="23"/>
              <w:jc w:val="center"/>
            </w:pPr>
          </w:p>
        </w:tc>
        <w:tc>
          <w:tcPr>
            <w:tcW w:w="2640" w:type="pct"/>
            <w:tcBorders>
              <w:tl2br w:val="nil"/>
              <w:tr2bl w:val="nil"/>
            </w:tcBorders>
            <w:tcMar>
              <w:top w:w="57" w:type="dxa"/>
              <w:left w:w="57" w:type="dxa"/>
              <w:bottom w:w="57" w:type="dxa"/>
              <w:right w:w="57" w:type="dxa"/>
            </w:tcMar>
            <w:vAlign w:val="center"/>
          </w:tcPr>
          <w:p w14:paraId="040B587B">
            <w:pPr>
              <w:pStyle w:val="23"/>
            </w:pPr>
            <w:r>
              <w:rPr>
                <w:rFonts w:hint="eastAsia"/>
              </w:rPr>
              <w:t>推广水电气网排水通讯联动报装，当工改平台项目库信息显示项目进入施工阶段，无需企业提交申请、提交材料，住建部门及时通过市工改平台将信息推送给区供水供电燃气排水通信广电网络主管部门。6家单位根据需求信息，联合上门对接，对项目场地实地踏勘，根据设计图与周边管线布局情况为项目提供最近的接入点，制定最优的供水供电燃气排水通信广电网络等外线管网接入方案。</w:t>
            </w:r>
          </w:p>
        </w:tc>
        <w:tc>
          <w:tcPr>
            <w:tcW w:w="1356" w:type="pct"/>
            <w:tcBorders>
              <w:tl2br w:val="nil"/>
              <w:tr2bl w:val="nil"/>
            </w:tcBorders>
            <w:tcMar>
              <w:top w:w="57" w:type="dxa"/>
              <w:left w:w="57" w:type="dxa"/>
              <w:bottom w:w="57" w:type="dxa"/>
              <w:right w:w="57" w:type="dxa"/>
            </w:tcMar>
            <w:vAlign w:val="center"/>
          </w:tcPr>
          <w:p w14:paraId="424E1D4E">
            <w:pPr>
              <w:pStyle w:val="23"/>
            </w:pPr>
            <w:r>
              <w:rPr>
                <w:rFonts w:hint="eastAsia"/>
              </w:rPr>
              <w:t>2023年5月24日，《关于印发&lt;华容区水电气网排水联动报装实施方案&gt;的通知》（华工改办〔2023〕9号）</w:t>
            </w:r>
          </w:p>
        </w:tc>
      </w:tr>
      <w:tr w14:paraId="611BB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418" w:type="pct"/>
            <w:vMerge w:val="continue"/>
            <w:tcBorders>
              <w:tl2br w:val="nil"/>
              <w:tr2bl w:val="nil"/>
            </w:tcBorders>
            <w:tcMar>
              <w:top w:w="57" w:type="dxa"/>
              <w:left w:w="57" w:type="dxa"/>
              <w:bottom w:w="57" w:type="dxa"/>
              <w:right w:w="57" w:type="dxa"/>
            </w:tcMar>
            <w:vAlign w:val="center"/>
          </w:tcPr>
          <w:p w14:paraId="779BBB78">
            <w:pPr>
              <w:pStyle w:val="23"/>
              <w:jc w:val="center"/>
            </w:pPr>
          </w:p>
        </w:tc>
        <w:tc>
          <w:tcPr>
            <w:tcW w:w="266" w:type="pct"/>
            <w:tcBorders>
              <w:tl2br w:val="nil"/>
              <w:tr2bl w:val="nil"/>
            </w:tcBorders>
            <w:tcMar>
              <w:top w:w="57" w:type="dxa"/>
              <w:left w:w="57" w:type="dxa"/>
              <w:bottom w:w="57" w:type="dxa"/>
              <w:right w:w="57" w:type="dxa"/>
            </w:tcMar>
            <w:vAlign w:val="center"/>
          </w:tcPr>
          <w:p w14:paraId="2C73EEEB">
            <w:pPr>
              <w:pStyle w:val="23"/>
              <w:jc w:val="center"/>
            </w:pPr>
            <w:r>
              <w:rPr>
                <w:rFonts w:hint="eastAsia"/>
              </w:rPr>
              <w:t>14</w:t>
            </w:r>
          </w:p>
        </w:tc>
        <w:tc>
          <w:tcPr>
            <w:tcW w:w="318" w:type="pct"/>
            <w:vMerge w:val="continue"/>
            <w:tcBorders>
              <w:tl2br w:val="nil"/>
              <w:tr2bl w:val="nil"/>
            </w:tcBorders>
            <w:tcMar>
              <w:top w:w="57" w:type="dxa"/>
              <w:left w:w="57" w:type="dxa"/>
              <w:bottom w:w="57" w:type="dxa"/>
              <w:right w:w="57" w:type="dxa"/>
            </w:tcMar>
            <w:vAlign w:val="center"/>
          </w:tcPr>
          <w:p w14:paraId="76A17ED1">
            <w:pPr>
              <w:pStyle w:val="23"/>
              <w:jc w:val="center"/>
            </w:pPr>
          </w:p>
        </w:tc>
        <w:tc>
          <w:tcPr>
            <w:tcW w:w="2640" w:type="pct"/>
            <w:tcBorders>
              <w:tl2br w:val="nil"/>
              <w:tr2bl w:val="nil"/>
            </w:tcBorders>
            <w:tcMar>
              <w:top w:w="57" w:type="dxa"/>
              <w:left w:w="57" w:type="dxa"/>
              <w:bottom w:w="57" w:type="dxa"/>
              <w:right w:w="57" w:type="dxa"/>
            </w:tcMar>
            <w:vAlign w:val="center"/>
          </w:tcPr>
          <w:p w14:paraId="2C8B02C6">
            <w:pPr>
              <w:pStyle w:val="23"/>
            </w:pPr>
            <w:r>
              <w:rPr>
                <w:rFonts w:hint="eastAsia"/>
              </w:rPr>
              <w:t>推行企业开办“1050标准”服务。将企业开办“2050标准”升级为“1050标准”，由2个环节压缩为1个环节，0.5个工作日内办结，0费用。</w:t>
            </w:r>
          </w:p>
        </w:tc>
        <w:tc>
          <w:tcPr>
            <w:tcW w:w="1356" w:type="pct"/>
            <w:tcBorders>
              <w:tl2br w:val="nil"/>
              <w:tr2bl w:val="nil"/>
            </w:tcBorders>
            <w:tcMar>
              <w:top w:w="57" w:type="dxa"/>
              <w:left w:w="57" w:type="dxa"/>
              <w:bottom w:w="57" w:type="dxa"/>
              <w:right w:w="57" w:type="dxa"/>
            </w:tcMar>
            <w:vAlign w:val="center"/>
          </w:tcPr>
          <w:p w14:paraId="6BF640AA">
            <w:pPr>
              <w:pStyle w:val="23"/>
            </w:pPr>
            <w:r>
              <w:rPr>
                <w:rFonts w:hint="eastAsia"/>
              </w:rPr>
              <w:t>2023年6月7日，《中共华容区委 华容区人民政府关于印发&lt;华容区以控制成本为核心优化营商环境行动方案&gt;的通知》（华容发〔2023〕2号）</w:t>
            </w:r>
          </w:p>
        </w:tc>
      </w:tr>
      <w:tr w14:paraId="3E727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418" w:type="pct"/>
            <w:vMerge w:val="continue"/>
            <w:tcBorders>
              <w:tl2br w:val="nil"/>
              <w:tr2bl w:val="nil"/>
            </w:tcBorders>
            <w:tcMar>
              <w:top w:w="57" w:type="dxa"/>
              <w:left w:w="57" w:type="dxa"/>
              <w:bottom w:w="57" w:type="dxa"/>
              <w:right w:w="57" w:type="dxa"/>
            </w:tcMar>
            <w:vAlign w:val="center"/>
          </w:tcPr>
          <w:p w14:paraId="7F890662">
            <w:pPr>
              <w:pStyle w:val="23"/>
              <w:jc w:val="center"/>
            </w:pPr>
          </w:p>
        </w:tc>
        <w:tc>
          <w:tcPr>
            <w:tcW w:w="266" w:type="pct"/>
            <w:tcBorders>
              <w:tl2br w:val="nil"/>
              <w:tr2bl w:val="nil"/>
            </w:tcBorders>
            <w:tcMar>
              <w:top w:w="57" w:type="dxa"/>
              <w:left w:w="57" w:type="dxa"/>
              <w:bottom w:w="57" w:type="dxa"/>
              <w:right w:w="57" w:type="dxa"/>
            </w:tcMar>
            <w:vAlign w:val="center"/>
          </w:tcPr>
          <w:p w14:paraId="46C6E49F">
            <w:pPr>
              <w:pStyle w:val="23"/>
              <w:jc w:val="center"/>
            </w:pPr>
            <w:r>
              <w:rPr>
                <w:rFonts w:hint="eastAsia"/>
              </w:rPr>
              <w:t>15</w:t>
            </w:r>
          </w:p>
        </w:tc>
        <w:tc>
          <w:tcPr>
            <w:tcW w:w="318" w:type="pct"/>
            <w:vMerge w:val="continue"/>
            <w:tcBorders>
              <w:tl2br w:val="nil"/>
              <w:tr2bl w:val="nil"/>
            </w:tcBorders>
            <w:tcMar>
              <w:top w:w="57" w:type="dxa"/>
              <w:left w:w="57" w:type="dxa"/>
              <w:bottom w:w="57" w:type="dxa"/>
              <w:right w:w="57" w:type="dxa"/>
            </w:tcMar>
            <w:vAlign w:val="center"/>
          </w:tcPr>
          <w:p w14:paraId="573D8DE3">
            <w:pPr>
              <w:pStyle w:val="23"/>
              <w:jc w:val="center"/>
            </w:pPr>
          </w:p>
        </w:tc>
        <w:tc>
          <w:tcPr>
            <w:tcW w:w="2640" w:type="pct"/>
            <w:tcBorders>
              <w:tl2br w:val="nil"/>
              <w:tr2bl w:val="nil"/>
            </w:tcBorders>
            <w:tcMar>
              <w:top w:w="57" w:type="dxa"/>
              <w:left w:w="57" w:type="dxa"/>
              <w:bottom w:w="57" w:type="dxa"/>
              <w:right w:w="57" w:type="dxa"/>
            </w:tcMar>
            <w:vAlign w:val="center"/>
          </w:tcPr>
          <w:p w14:paraId="6F792D68">
            <w:pPr>
              <w:pStyle w:val="23"/>
            </w:pPr>
            <w:r>
              <w:rPr>
                <w:rFonts w:hint="eastAsia"/>
              </w:rPr>
              <w:t>规范食品经营许可、小餐饮经营许可、药品经营许可先行服务，实现经营许可材料及现场指导工作标准化、规范化。</w:t>
            </w:r>
          </w:p>
        </w:tc>
        <w:tc>
          <w:tcPr>
            <w:tcW w:w="1356" w:type="pct"/>
            <w:tcBorders>
              <w:tl2br w:val="nil"/>
              <w:tr2bl w:val="nil"/>
            </w:tcBorders>
            <w:tcMar>
              <w:top w:w="57" w:type="dxa"/>
              <w:left w:w="57" w:type="dxa"/>
              <w:bottom w:w="57" w:type="dxa"/>
              <w:right w:w="57" w:type="dxa"/>
            </w:tcMar>
            <w:vAlign w:val="center"/>
          </w:tcPr>
          <w:p w14:paraId="16CFD6DC">
            <w:pPr>
              <w:pStyle w:val="23"/>
            </w:pPr>
            <w:r>
              <w:rPr>
                <w:rFonts w:hint="eastAsia"/>
              </w:rPr>
              <w:t>2023年6月19日，《关于印发华容区市场监督管理局“事前服务”改革实施方案的通知》（华容市监函〔2023〕7号）</w:t>
            </w:r>
          </w:p>
        </w:tc>
      </w:tr>
      <w:tr w14:paraId="4F1BC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418" w:type="pct"/>
            <w:vMerge w:val="continue"/>
            <w:tcBorders>
              <w:tl2br w:val="nil"/>
              <w:tr2bl w:val="nil"/>
            </w:tcBorders>
            <w:tcMar>
              <w:top w:w="57" w:type="dxa"/>
              <w:left w:w="57" w:type="dxa"/>
              <w:bottom w:w="57" w:type="dxa"/>
              <w:right w:w="57" w:type="dxa"/>
            </w:tcMar>
            <w:vAlign w:val="center"/>
          </w:tcPr>
          <w:p w14:paraId="47FCEBCF">
            <w:pPr>
              <w:pStyle w:val="23"/>
              <w:jc w:val="center"/>
            </w:pPr>
          </w:p>
        </w:tc>
        <w:tc>
          <w:tcPr>
            <w:tcW w:w="266" w:type="pct"/>
            <w:tcBorders>
              <w:tl2br w:val="nil"/>
              <w:tr2bl w:val="nil"/>
            </w:tcBorders>
            <w:tcMar>
              <w:top w:w="57" w:type="dxa"/>
              <w:left w:w="57" w:type="dxa"/>
              <w:bottom w:w="57" w:type="dxa"/>
              <w:right w:w="57" w:type="dxa"/>
            </w:tcMar>
            <w:vAlign w:val="center"/>
          </w:tcPr>
          <w:p w14:paraId="4CEF4F1F">
            <w:pPr>
              <w:pStyle w:val="23"/>
              <w:jc w:val="center"/>
            </w:pPr>
            <w:r>
              <w:rPr>
                <w:rFonts w:hint="eastAsia"/>
              </w:rPr>
              <w:t>16</w:t>
            </w:r>
          </w:p>
        </w:tc>
        <w:tc>
          <w:tcPr>
            <w:tcW w:w="318" w:type="pct"/>
            <w:vMerge w:val="continue"/>
            <w:tcBorders>
              <w:tl2br w:val="nil"/>
              <w:tr2bl w:val="nil"/>
            </w:tcBorders>
            <w:tcMar>
              <w:top w:w="57" w:type="dxa"/>
              <w:left w:w="57" w:type="dxa"/>
              <w:bottom w:w="57" w:type="dxa"/>
              <w:right w:w="57" w:type="dxa"/>
            </w:tcMar>
            <w:vAlign w:val="center"/>
          </w:tcPr>
          <w:p w14:paraId="13BB39D2">
            <w:pPr>
              <w:pStyle w:val="23"/>
              <w:jc w:val="center"/>
            </w:pPr>
          </w:p>
        </w:tc>
        <w:tc>
          <w:tcPr>
            <w:tcW w:w="2640" w:type="pct"/>
            <w:tcBorders>
              <w:tl2br w:val="nil"/>
              <w:tr2bl w:val="nil"/>
            </w:tcBorders>
            <w:tcMar>
              <w:top w:w="57" w:type="dxa"/>
              <w:left w:w="57" w:type="dxa"/>
              <w:bottom w:w="57" w:type="dxa"/>
              <w:right w:w="57" w:type="dxa"/>
            </w:tcMar>
            <w:vAlign w:val="center"/>
          </w:tcPr>
          <w:p w14:paraId="10A5F3CD">
            <w:pPr>
              <w:pStyle w:val="23"/>
            </w:pPr>
            <w:r>
              <w:rPr>
                <w:rFonts w:hint="eastAsia"/>
              </w:rPr>
              <w:t>依托政务服务平台，整合不动产登记信息资源，实行线上线下融合、多级联动，将与企业和群众互动紧密的不动产登记申请、受理等业务环节迁移至互联网运行，打造全区不动产登记业务随时随地线上申请、网上查看、现场核验、随到随办的“一网通办”新模式。</w:t>
            </w:r>
          </w:p>
        </w:tc>
        <w:tc>
          <w:tcPr>
            <w:tcW w:w="1356" w:type="pct"/>
            <w:tcBorders>
              <w:tl2br w:val="nil"/>
              <w:tr2bl w:val="nil"/>
            </w:tcBorders>
            <w:tcMar>
              <w:top w:w="57" w:type="dxa"/>
              <w:left w:w="57" w:type="dxa"/>
              <w:bottom w:w="57" w:type="dxa"/>
              <w:right w:w="57" w:type="dxa"/>
            </w:tcMar>
            <w:vAlign w:val="center"/>
          </w:tcPr>
          <w:p w14:paraId="4986B007">
            <w:pPr>
              <w:pStyle w:val="23"/>
            </w:pPr>
            <w:r>
              <w:rPr>
                <w:rFonts w:hint="eastAsia"/>
              </w:rPr>
              <w:t>2023年6月27日，《关于印发&lt;华容区推行不动产登记、交易和缴纳税费“一网通办”改革工作方案&gt;的通知》（华容自然资规办文〔2023〕10号）</w:t>
            </w:r>
          </w:p>
        </w:tc>
      </w:tr>
      <w:tr w14:paraId="6B9ED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418" w:type="pct"/>
            <w:vMerge w:val="continue"/>
            <w:tcBorders>
              <w:tl2br w:val="nil"/>
              <w:tr2bl w:val="nil"/>
            </w:tcBorders>
            <w:tcMar>
              <w:top w:w="57" w:type="dxa"/>
              <w:left w:w="57" w:type="dxa"/>
              <w:bottom w:w="57" w:type="dxa"/>
              <w:right w:w="57" w:type="dxa"/>
            </w:tcMar>
            <w:vAlign w:val="center"/>
          </w:tcPr>
          <w:p w14:paraId="784752EE">
            <w:pPr>
              <w:pStyle w:val="23"/>
              <w:jc w:val="center"/>
            </w:pPr>
          </w:p>
        </w:tc>
        <w:tc>
          <w:tcPr>
            <w:tcW w:w="266" w:type="pct"/>
            <w:tcBorders>
              <w:tl2br w:val="nil"/>
              <w:tr2bl w:val="nil"/>
            </w:tcBorders>
            <w:tcMar>
              <w:top w:w="57" w:type="dxa"/>
              <w:left w:w="57" w:type="dxa"/>
              <w:bottom w:w="57" w:type="dxa"/>
              <w:right w:w="57" w:type="dxa"/>
            </w:tcMar>
            <w:vAlign w:val="center"/>
          </w:tcPr>
          <w:p w14:paraId="63455A70">
            <w:pPr>
              <w:pStyle w:val="23"/>
              <w:jc w:val="center"/>
            </w:pPr>
            <w:r>
              <w:rPr>
                <w:rFonts w:hint="eastAsia"/>
              </w:rPr>
              <w:t>17</w:t>
            </w:r>
          </w:p>
        </w:tc>
        <w:tc>
          <w:tcPr>
            <w:tcW w:w="318" w:type="pct"/>
            <w:vMerge w:val="continue"/>
            <w:tcBorders>
              <w:tl2br w:val="nil"/>
              <w:tr2bl w:val="nil"/>
            </w:tcBorders>
            <w:tcMar>
              <w:top w:w="57" w:type="dxa"/>
              <w:left w:w="57" w:type="dxa"/>
              <w:bottom w:w="57" w:type="dxa"/>
              <w:right w:w="57" w:type="dxa"/>
            </w:tcMar>
            <w:vAlign w:val="center"/>
          </w:tcPr>
          <w:p w14:paraId="76AB5CC4">
            <w:pPr>
              <w:pStyle w:val="23"/>
              <w:jc w:val="center"/>
            </w:pPr>
          </w:p>
        </w:tc>
        <w:tc>
          <w:tcPr>
            <w:tcW w:w="2640" w:type="pct"/>
            <w:tcBorders>
              <w:tl2br w:val="nil"/>
              <w:tr2bl w:val="nil"/>
            </w:tcBorders>
            <w:tcMar>
              <w:top w:w="57" w:type="dxa"/>
              <w:left w:w="57" w:type="dxa"/>
              <w:bottom w:w="57" w:type="dxa"/>
              <w:right w:w="57" w:type="dxa"/>
            </w:tcMar>
            <w:vAlign w:val="center"/>
          </w:tcPr>
          <w:p w14:paraId="2712C27E">
            <w:pPr>
              <w:pStyle w:val="23"/>
            </w:pPr>
            <w:r>
              <w:rPr>
                <w:rFonts w:hint="eastAsia"/>
              </w:rPr>
              <w:t>创新开展华容区“互联网+不动产继承转移登记”工作，简化不动产非公证继承手续，将不动产登记窗口延伸至公证处，实现不动产登记与公证处服务资源共享。</w:t>
            </w:r>
          </w:p>
        </w:tc>
        <w:tc>
          <w:tcPr>
            <w:tcW w:w="1356" w:type="pct"/>
            <w:tcBorders>
              <w:tl2br w:val="nil"/>
              <w:tr2bl w:val="nil"/>
            </w:tcBorders>
            <w:tcMar>
              <w:top w:w="57" w:type="dxa"/>
              <w:left w:w="57" w:type="dxa"/>
              <w:bottom w:w="57" w:type="dxa"/>
              <w:right w:w="57" w:type="dxa"/>
            </w:tcMar>
            <w:vAlign w:val="center"/>
          </w:tcPr>
          <w:p w14:paraId="15BC15D9">
            <w:pPr>
              <w:pStyle w:val="23"/>
            </w:pPr>
            <w:r>
              <w:rPr>
                <w:rFonts w:hint="eastAsia"/>
              </w:rPr>
              <w:t>2023年6月27日，《关于印发&lt;“互联网+不动产继承转移登记”改革工作方案&gt;的通知》（华容自然资规办文〔2023〕11号）</w:t>
            </w:r>
          </w:p>
        </w:tc>
      </w:tr>
      <w:tr w14:paraId="5F167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418" w:type="pct"/>
            <w:vMerge w:val="continue"/>
            <w:tcBorders>
              <w:tl2br w:val="nil"/>
              <w:tr2bl w:val="nil"/>
            </w:tcBorders>
            <w:tcMar>
              <w:top w:w="57" w:type="dxa"/>
              <w:left w:w="57" w:type="dxa"/>
              <w:bottom w:w="57" w:type="dxa"/>
              <w:right w:w="57" w:type="dxa"/>
            </w:tcMar>
            <w:vAlign w:val="center"/>
          </w:tcPr>
          <w:p w14:paraId="46B32C81">
            <w:pPr>
              <w:pStyle w:val="23"/>
              <w:jc w:val="center"/>
            </w:pPr>
          </w:p>
        </w:tc>
        <w:tc>
          <w:tcPr>
            <w:tcW w:w="266" w:type="pct"/>
            <w:tcBorders>
              <w:tl2br w:val="nil"/>
              <w:tr2bl w:val="nil"/>
            </w:tcBorders>
            <w:tcMar>
              <w:top w:w="57" w:type="dxa"/>
              <w:left w:w="57" w:type="dxa"/>
              <w:bottom w:w="57" w:type="dxa"/>
              <w:right w:w="57" w:type="dxa"/>
            </w:tcMar>
            <w:vAlign w:val="center"/>
          </w:tcPr>
          <w:p w14:paraId="62BF19C4">
            <w:pPr>
              <w:pStyle w:val="23"/>
              <w:jc w:val="center"/>
            </w:pPr>
            <w:r>
              <w:rPr>
                <w:rFonts w:hint="eastAsia"/>
              </w:rPr>
              <w:t>18</w:t>
            </w:r>
          </w:p>
        </w:tc>
        <w:tc>
          <w:tcPr>
            <w:tcW w:w="318" w:type="pct"/>
            <w:vMerge w:val="continue"/>
            <w:tcBorders>
              <w:tl2br w:val="nil"/>
              <w:tr2bl w:val="nil"/>
            </w:tcBorders>
            <w:tcMar>
              <w:top w:w="57" w:type="dxa"/>
              <w:left w:w="57" w:type="dxa"/>
              <w:bottom w:w="57" w:type="dxa"/>
              <w:right w:w="57" w:type="dxa"/>
            </w:tcMar>
            <w:vAlign w:val="center"/>
          </w:tcPr>
          <w:p w14:paraId="584C6A4A">
            <w:pPr>
              <w:pStyle w:val="23"/>
              <w:jc w:val="center"/>
            </w:pPr>
          </w:p>
        </w:tc>
        <w:tc>
          <w:tcPr>
            <w:tcW w:w="2640" w:type="pct"/>
            <w:tcBorders>
              <w:tl2br w:val="nil"/>
              <w:tr2bl w:val="nil"/>
            </w:tcBorders>
            <w:tcMar>
              <w:top w:w="57" w:type="dxa"/>
              <w:left w:w="57" w:type="dxa"/>
              <w:bottom w:w="57" w:type="dxa"/>
              <w:right w:w="57" w:type="dxa"/>
            </w:tcMar>
            <w:vAlign w:val="center"/>
          </w:tcPr>
          <w:p w14:paraId="06967CEA">
            <w:pPr>
              <w:pStyle w:val="23"/>
            </w:pPr>
            <w:r>
              <w:rPr>
                <w:rFonts w:hint="eastAsia"/>
              </w:rPr>
              <w:t>积极推行工程建设项目的审批事项告知承诺制改革，本地区在工程建设项目审批过程中，共含有60项审批事项，其中56项审批事项实行的告知承诺制，告知承诺制审批事项比例为93.33%。</w:t>
            </w:r>
          </w:p>
        </w:tc>
        <w:tc>
          <w:tcPr>
            <w:tcW w:w="1356" w:type="pct"/>
            <w:tcBorders>
              <w:tl2br w:val="nil"/>
              <w:tr2bl w:val="nil"/>
            </w:tcBorders>
            <w:tcMar>
              <w:top w:w="57" w:type="dxa"/>
              <w:left w:w="57" w:type="dxa"/>
              <w:bottom w:w="57" w:type="dxa"/>
              <w:right w:w="57" w:type="dxa"/>
            </w:tcMar>
            <w:vAlign w:val="center"/>
          </w:tcPr>
          <w:p w14:paraId="5642E34A">
            <w:pPr>
              <w:pStyle w:val="23"/>
            </w:pPr>
            <w:r>
              <w:rPr>
                <w:rFonts w:hint="eastAsia"/>
              </w:rPr>
              <w:t>2023年7月4日，《关于印发&lt;华容区工程建设项目告知承诺制审批事项清单&gt;的通知》（华工改办〔2023〕11号）</w:t>
            </w:r>
          </w:p>
        </w:tc>
      </w:tr>
      <w:tr w14:paraId="416C6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418" w:type="pct"/>
            <w:vMerge w:val="continue"/>
            <w:tcBorders>
              <w:tl2br w:val="nil"/>
              <w:tr2bl w:val="nil"/>
            </w:tcBorders>
            <w:tcMar>
              <w:top w:w="57" w:type="dxa"/>
              <w:left w:w="57" w:type="dxa"/>
              <w:bottom w:w="57" w:type="dxa"/>
              <w:right w:w="57" w:type="dxa"/>
            </w:tcMar>
            <w:vAlign w:val="center"/>
          </w:tcPr>
          <w:p w14:paraId="7BC39CC9">
            <w:pPr>
              <w:pStyle w:val="23"/>
              <w:jc w:val="center"/>
            </w:pPr>
          </w:p>
        </w:tc>
        <w:tc>
          <w:tcPr>
            <w:tcW w:w="266" w:type="pct"/>
            <w:tcBorders>
              <w:tl2br w:val="nil"/>
              <w:tr2bl w:val="nil"/>
            </w:tcBorders>
            <w:tcMar>
              <w:top w:w="57" w:type="dxa"/>
              <w:left w:w="57" w:type="dxa"/>
              <w:bottom w:w="57" w:type="dxa"/>
              <w:right w:w="57" w:type="dxa"/>
            </w:tcMar>
            <w:vAlign w:val="center"/>
          </w:tcPr>
          <w:p w14:paraId="1A62D0EB">
            <w:pPr>
              <w:pStyle w:val="23"/>
              <w:jc w:val="center"/>
            </w:pPr>
            <w:r>
              <w:rPr>
                <w:rFonts w:hint="eastAsia"/>
              </w:rPr>
              <w:t>19</w:t>
            </w:r>
          </w:p>
        </w:tc>
        <w:tc>
          <w:tcPr>
            <w:tcW w:w="318" w:type="pct"/>
            <w:vMerge w:val="continue"/>
            <w:tcBorders>
              <w:tl2br w:val="nil"/>
              <w:tr2bl w:val="nil"/>
            </w:tcBorders>
            <w:tcMar>
              <w:top w:w="57" w:type="dxa"/>
              <w:left w:w="57" w:type="dxa"/>
              <w:bottom w:w="57" w:type="dxa"/>
              <w:right w:w="57" w:type="dxa"/>
            </w:tcMar>
            <w:vAlign w:val="center"/>
          </w:tcPr>
          <w:p w14:paraId="5BF591A0">
            <w:pPr>
              <w:pStyle w:val="23"/>
              <w:jc w:val="center"/>
            </w:pPr>
          </w:p>
        </w:tc>
        <w:tc>
          <w:tcPr>
            <w:tcW w:w="2640" w:type="pct"/>
            <w:tcBorders>
              <w:tl2br w:val="nil"/>
              <w:tr2bl w:val="nil"/>
            </w:tcBorders>
            <w:tcMar>
              <w:top w:w="57" w:type="dxa"/>
              <w:left w:w="57" w:type="dxa"/>
              <w:bottom w:w="57" w:type="dxa"/>
              <w:right w:w="57" w:type="dxa"/>
            </w:tcMar>
            <w:vAlign w:val="center"/>
          </w:tcPr>
          <w:p w14:paraId="76E08130">
            <w:pPr>
              <w:pStyle w:val="23"/>
            </w:pPr>
            <w:r>
              <w:rPr>
                <w:rFonts w:hint="eastAsia"/>
              </w:rPr>
              <w:t>对已经以公开出让方式取得土地的社会投资简易低风险项目仓储项目全流程办理时间控制在7个工作日内；对建筑面积不超过20000平方米的社会投资一般类工业建设项目将全流程办理时间控制在10个工作日内。</w:t>
            </w:r>
          </w:p>
        </w:tc>
        <w:tc>
          <w:tcPr>
            <w:tcW w:w="1356" w:type="pct"/>
            <w:tcBorders>
              <w:tl2br w:val="nil"/>
              <w:tr2bl w:val="nil"/>
            </w:tcBorders>
            <w:tcMar>
              <w:top w:w="57" w:type="dxa"/>
              <w:left w:w="57" w:type="dxa"/>
              <w:bottom w:w="57" w:type="dxa"/>
              <w:right w:w="57" w:type="dxa"/>
            </w:tcMar>
            <w:vAlign w:val="center"/>
          </w:tcPr>
          <w:p w14:paraId="1DC8F504">
            <w:pPr>
              <w:pStyle w:val="23"/>
            </w:pPr>
            <w:r>
              <w:rPr>
                <w:rFonts w:hint="eastAsia"/>
              </w:rPr>
              <w:t>2023年7月6日，《关于印发&lt;华容区社会投资工业类建设项目审批流程图&gt;的通知》（华工改办〔2023〕13号）</w:t>
            </w:r>
          </w:p>
        </w:tc>
      </w:tr>
      <w:tr w14:paraId="24630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418" w:type="pct"/>
            <w:vMerge w:val="continue"/>
            <w:tcBorders>
              <w:tl2br w:val="nil"/>
              <w:tr2bl w:val="nil"/>
            </w:tcBorders>
            <w:tcMar>
              <w:top w:w="57" w:type="dxa"/>
              <w:left w:w="57" w:type="dxa"/>
              <w:bottom w:w="57" w:type="dxa"/>
              <w:right w:w="57" w:type="dxa"/>
            </w:tcMar>
            <w:vAlign w:val="center"/>
          </w:tcPr>
          <w:p w14:paraId="76CD88E6">
            <w:pPr>
              <w:pStyle w:val="23"/>
              <w:jc w:val="center"/>
            </w:pPr>
          </w:p>
        </w:tc>
        <w:tc>
          <w:tcPr>
            <w:tcW w:w="266" w:type="pct"/>
            <w:tcBorders>
              <w:tl2br w:val="nil"/>
              <w:tr2bl w:val="nil"/>
            </w:tcBorders>
            <w:tcMar>
              <w:top w:w="57" w:type="dxa"/>
              <w:left w:w="57" w:type="dxa"/>
              <w:bottom w:w="57" w:type="dxa"/>
              <w:right w:w="57" w:type="dxa"/>
            </w:tcMar>
            <w:vAlign w:val="center"/>
          </w:tcPr>
          <w:p w14:paraId="4609E959">
            <w:pPr>
              <w:pStyle w:val="23"/>
              <w:jc w:val="center"/>
            </w:pPr>
            <w:r>
              <w:rPr>
                <w:rFonts w:hint="eastAsia"/>
              </w:rPr>
              <w:t>20</w:t>
            </w:r>
          </w:p>
        </w:tc>
        <w:tc>
          <w:tcPr>
            <w:tcW w:w="318" w:type="pct"/>
            <w:vMerge w:val="continue"/>
            <w:tcBorders>
              <w:tl2br w:val="nil"/>
              <w:tr2bl w:val="nil"/>
            </w:tcBorders>
            <w:tcMar>
              <w:top w:w="57" w:type="dxa"/>
              <w:left w:w="57" w:type="dxa"/>
              <w:bottom w:w="57" w:type="dxa"/>
              <w:right w:w="57" w:type="dxa"/>
            </w:tcMar>
            <w:vAlign w:val="center"/>
          </w:tcPr>
          <w:p w14:paraId="0549D6AC">
            <w:pPr>
              <w:pStyle w:val="23"/>
              <w:jc w:val="center"/>
            </w:pPr>
          </w:p>
        </w:tc>
        <w:tc>
          <w:tcPr>
            <w:tcW w:w="2640" w:type="pct"/>
            <w:tcBorders>
              <w:tl2br w:val="nil"/>
              <w:tr2bl w:val="nil"/>
            </w:tcBorders>
            <w:tcMar>
              <w:top w:w="57" w:type="dxa"/>
              <w:left w:w="57" w:type="dxa"/>
              <w:bottom w:w="57" w:type="dxa"/>
              <w:right w:w="57" w:type="dxa"/>
            </w:tcMar>
            <w:vAlign w:val="center"/>
          </w:tcPr>
          <w:p w14:paraId="7CBD4811">
            <w:pPr>
              <w:pStyle w:val="23"/>
            </w:pPr>
            <w:r>
              <w:rPr>
                <w:rFonts w:hint="eastAsia"/>
              </w:rPr>
              <w:t>建设单位在取得项目用地批准手续并确定施工总承包单位后，可根据施工进展顺序，自主选择分阶段办理施工许可证。</w:t>
            </w:r>
          </w:p>
        </w:tc>
        <w:tc>
          <w:tcPr>
            <w:tcW w:w="1356" w:type="pct"/>
            <w:tcBorders>
              <w:tl2br w:val="nil"/>
              <w:tr2bl w:val="nil"/>
            </w:tcBorders>
            <w:tcMar>
              <w:top w:w="57" w:type="dxa"/>
              <w:left w:w="57" w:type="dxa"/>
              <w:bottom w:w="57" w:type="dxa"/>
              <w:right w:w="57" w:type="dxa"/>
            </w:tcMar>
            <w:vAlign w:val="center"/>
          </w:tcPr>
          <w:p w14:paraId="0482AE3D">
            <w:pPr>
              <w:pStyle w:val="23"/>
            </w:pPr>
            <w:r>
              <w:rPr>
                <w:rFonts w:hint="eastAsia"/>
              </w:rPr>
              <w:t>2023年8月4日，《关于印发&lt;鄂州市华容区建设工程分阶段办理施工许可证（试行）工作方案&gt;的通知》（华工改办〔2023〕18号）</w:t>
            </w:r>
          </w:p>
        </w:tc>
      </w:tr>
      <w:tr w14:paraId="37E24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1" w:hRule="atLeast"/>
        </w:trPr>
        <w:tc>
          <w:tcPr>
            <w:tcW w:w="418" w:type="pct"/>
            <w:vMerge w:val="restart"/>
            <w:tcBorders>
              <w:tl2br w:val="nil"/>
              <w:tr2bl w:val="nil"/>
            </w:tcBorders>
            <w:tcMar>
              <w:top w:w="57" w:type="dxa"/>
              <w:left w:w="57" w:type="dxa"/>
              <w:bottom w:w="57" w:type="dxa"/>
              <w:right w:w="57" w:type="dxa"/>
            </w:tcMar>
            <w:vAlign w:val="center"/>
          </w:tcPr>
          <w:p w14:paraId="0673BEE0">
            <w:pPr>
              <w:pStyle w:val="23"/>
              <w:jc w:val="center"/>
              <w:rPr>
                <w:rFonts w:eastAsia="Times New Roman"/>
              </w:rPr>
            </w:pPr>
            <w:r>
              <w:rPr>
                <w:rFonts w:hint="eastAsia"/>
              </w:rPr>
              <w:t>梁子湖区</w:t>
            </w:r>
          </w:p>
        </w:tc>
        <w:tc>
          <w:tcPr>
            <w:tcW w:w="266" w:type="pct"/>
            <w:tcBorders>
              <w:tl2br w:val="nil"/>
              <w:tr2bl w:val="nil"/>
            </w:tcBorders>
            <w:tcMar>
              <w:top w:w="57" w:type="dxa"/>
              <w:left w:w="57" w:type="dxa"/>
              <w:bottom w:w="57" w:type="dxa"/>
              <w:right w:w="57" w:type="dxa"/>
            </w:tcMar>
            <w:vAlign w:val="center"/>
          </w:tcPr>
          <w:p w14:paraId="216E42C3">
            <w:pPr>
              <w:pStyle w:val="23"/>
              <w:jc w:val="center"/>
            </w:pPr>
            <w:r>
              <w:rPr>
                <w:rFonts w:hint="eastAsia"/>
              </w:rPr>
              <w:t>1</w:t>
            </w:r>
          </w:p>
        </w:tc>
        <w:tc>
          <w:tcPr>
            <w:tcW w:w="318" w:type="pct"/>
            <w:vMerge w:val="restart"/>
            <w:tcBorders>
              <w:tl2br w:val="nil"/>
              <w:tr2bl w:val="nil"/>
            </w:tcBorders>
            <w:tcMar>
              <w:top w:w="57" w:type="dxa"/>
              <w:left w:w="57" w:type="dxa"/>
              <w:bottom w:w="57" w:type="dxa"/>
              <w:right w:w="57" w:type="dxa"/>
            </w:tcMar>
            <w:vAlign w:val="center"/>
          </w:tcPr>
          <w:p w14:paraId="1E03ECD6">
            <w:pPr>
              <w:pStyle w:val="23"/>
              <w:jc w:val="center"/>
            </w:pPr>
            <w:r>
              <w:rPr>
                <w:rFonts w:hint="eastAsia"/>
              </w:rPr>
              <w:t>减税降费类</w:t>
            </w:r>
          </w:p>
        </w:tc>
        <w:tc>
          <w:tcPr>
            <w:tcW w:w="2640" w:type="pct"/>
            <w:tcBorders>
              <w:tl2br w:val="nil"/>
              <w:tr2bl w:val="nil"/>
            </w:tcBorders>
            <w:tcMar>
              <w:top w:w="57" w:type="dxa"/>
              <w:left w:w="57" w:type="dxa"/>
              <w:bottom w:w="57" w:type="dxa"/>
              <w:right w:w="57" w:type="dxa"/>
            </w:tcMar>
            <w:vAlign w:val="center"/>
          </w:tcPr>
          <w:p w14:paraId="17A197D9">
            <w:pPr>
              <w:pStyle w:val="23"/>
            </w:pPr>
            <w:r>
              <w:rPr>
                <w:rFonts w:hint="eastAsia"/>
              </w:rPr>
              <w:t>连续两年被评为A级且连续两年无拖欠农民工工资不良记录的本市、外市建筑业企业，经人社部门核实，可免缴农民工工资保证金，实行农民工工资保证金承诺制替代等优惠措施。</w:t>
            </w:r>
          </w:p>
        </w:tc>
        <w:tc>
          <w:tcPr>
            <w:tcW w:w="1356" w:type="pct"/>
            <w:tcBorders>
              <w:tl2br w:val="nil"/>
              <w:tr2bl w:val="nil"/>
            </w:tcBorders>
            <w:tcMar>
              <w:top w:w="57" w:type="dxa"/>
              <w:left w:w="57" w:type="dxa"/>
              <w:bottom w:w="57" w:type="dxa"/>
              <w:right w:w="57" w:type="dxa"/>
            </w:tcMar>
            <w:vAlign w:val="center"/>
          </w:tcPr>
          <w:p w14:paraId="2D4B2BF6">
            <w:pPr>
              <w:pStyle w:val="23"/>
            </w:pPr>
            <w:r>
              <w:rPr>
                <w:rFonts w:hint="eastAsia"/>
              </w:rPr>
              <w:t>2021年7月16日，《区根治办关于印发&lt;优化营商环境完善梁子湖区农民工工资保证金管理暂行制度&gt;的通知》（梁根治办〔2021〕2号）</w:t>
            </w:r>
          </w:p>
        </w:tc>
      </w:tr>
      <w:tr w14:paraId="04FFA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1" w:hRule="atLeast"/>
        </w:trPr>
        <w:tc>
          <w:tcPr>
            <w:tcW w:w="418" w:type="pct"/>
            <w:vMerge w:val="continue"/>
            <w:tcBorders>
              <w:tl2br w:val="nil"/>
              <w:tr2bl w:val="nil"/>
            </w:tcBorders>
            <w:tcMar>
              <w:top w:w="57" w:type="dxa"/>
              <w:left w:w="57" w:type="dxa"/>
              <w:bottom w:w="57" w:type="dxa"/>
              <w:right w:w="57" w:type="dxa"/>
            </w:tcMar>
            <w:vAlign w:val="center"/>
          </w:tcPr>
          <w:p w14:paraId="7E771EED">
            <w:pPr>
              <w:pStyle w:val="23"/>
              <w:jc w:val="center"/>
            </w:pPr>
          </w:p>
        </w:tc>
        <w:tc>
          <w:tcPr>
            <w:tcW w:w="266" w:type="pct"/>
            <w:tcBorders>
              <w:tl2br w:val="nil"/>
              <w:tr2bl w:val="nil"/>
            </w:tcBorders>
            <w:tcMar>
              <w:top w:w="57" w:type="dxa"/>
              <w:left w:w="57" w:type="dxa"/>
              <w:bottom w:w="57" w:type="dxa"/>
              <w:right w:w="57" w:type="dxa"/>
            </w:tcMar>
            <w:vAlign w:val="center"/>
          </w:tcPr>
          <w:p w14:paraId="3AEA66DB">
            <w:pPr>
              <w:pStyle w:val="23"/>
              <w:jc w:val="center"/>
            </w:pPr>
            <w:r>
              <w:rPr>
                <w:rFonts w:hint="eastAsia"/>
              </w:rPr>
              <w:t>2</w:t>
            </w:r>
          </w:p>
        </w:tc>
        <w:tc>
          <w:tcPr>
            <w:tcW w:w="318" w:type="pct"/>
            <w:vMerge w:val="continue"/>
            <w:tcBorders>
              <w:tl2br w:val="nil"/>
              <w:tr2bl w:val="nil"/>
            </w:tcBorders>
            <w:tcMar>
              <w:top w:w="57" w:type="dxa"/>
              <w:left w:w="57" w:type="dxa"/>
              <w:bottom w:w="57" w:type="dxa"/>
              <w:right w:w="57" w:type="dxa"/>
            </w:tcMar>
            <w:vAlign w:val="center"/>
          </w:tcPr>
          <w:p w14:paraId="4D78A3AB">
            <w:pPr>
              <w:pStyle w:val="23"/>
              <w:jc w:val="center"/>
            </w:pPr>
          </w:p>
        </w:tc>
        <w:tc>
          <w:tcPr>
            <w:tcW w:w="2640" w:type="pct"/>
            <w:tcBorders>
              <w:tl2br w:val="nil"/>
              <w:tr2bl w:val="nil"/>
            </w:tcBorders>
            <w:tcMar>
              <w:top w:w="57" w:type="dxa"/>
              <w:left w:w="57" w:type="dxa"/>
              <w:bottom w:w="57" w:type="dxa"/>
              <w:right w:w="57" w:type="dxa"/>
            </w:tcMar>
            <w:vAlign w:val="center"/>
          </w:tcPr>
          <w:p w14:paraId="282BB53C">
            <w:pPr>
              <w:pStyle w:val="23"/>
            </w:pPr>
            <w:r>
              <w:rPr>
                <w:rFonts w:hint="eastAsia"/>
              </w:rPr>
              <w:t>免收政府采购投标保证金和履约保证金。</w:t>
            </w:r>
          </w:p>
        </w:tc>
        <w:tc>
          <w:tcPr>
            <w:tcW w:w="1356" w:type="pct"/>
            <w:tcBorders>
              <w:tl2br w:val="nil"/>
              <w:tr2bl w:val="nil"/>
            </w:tcBorders>
            <w:tcMar>
              <w:top w:w="57" w:type="dxa"/>
              <w:left w:w="57" w:type="dxa"/>
              <w:bottom w:w="57" w:type="dxa"/>
              <w:right w:w="57" w:type="dxa"/>
            </w:tcMar>
            <w:vAlign w:val="center"/>
          </w:tcPr>
          <w:p w14:paraId="2FD477AB">
            <w:pPr>
              <w:pStyle w:val="23"/>
            </w:pPr>
            <w:r>
              <w:rPr>
                <w:rFonts w:hint="eastAsia"/>
              </w:rPr>
              <w:t>2022年8月28日，《梁子湖区财政局 梁子湖区公共资源交易监督管理局 梁子湖区金融领导小组办公室 梁子湖区公共资源交易中心关于进一步加大政府采购支持中小微企业发展若干措施的通知》（梁财发〔2022〕71号）</w:t>
            </w:r>
          </w:p>
        </w:tc>
      </w:tr>
      <w:tr w14:paraId="4B0F8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1" w:hRule="atLeast"/>
        </w:trPr>
        <w:tc>
          <w:tcPr>
            <w:tcW w:w="418" w:type="pct"/>
            <w:vMerge w:val="continue"/>
            <w:tcBorders>
              <w:tl2br w:val="nil"/>
              <w:tr2bl w:val="nil"/>
            </w:tcBorders>
            <w:tcMar>
              <w:top w:w="57" w:type="dxa"/>
              <w:left w:w="57" w:type="dxa"/>
              <w:bottom w:w="57" w:type="dxa"/>
              <w:right w:w="57" w:type="dxa"/>
            </w:tcMar>
            <w:vAlign w:val="center"/>
          </w:tcPr>
          <w:p w14:paraId="6007BBF6">
            <w:pPr>
              <w:pStyle w:val="23"/>
              <w:jc w:val="center"/>
            </w:pPr>
          </w:p>
        </w:tc>
        <w:tc>
          <w:tcPr>
            <w:tcW w:w="266" w:type="pct"/>
            <w:tcBorders>
              <w:tl2br w:val="nil"/>
              <w:tr2bl w:val="nil"/>
            </w:tcBorders>
            <w:tcMar>
              <w:top w:w="57" w:type="dxa"/>
              <w:left w:w="57" w:type="dxa"/>
              <w:bottom w:w="57" w:type="dxa"/>
              <w:right w:w="57" w:type="dxa"/>
            </w:tcMar>
            <w:vAlign w:val="center"/>
          </w:tcPr>
          <w:p w14:paraId="23C2B592">
            <w:pPr>
              <w:pStyle w:val="23"/>
              <w:jc w:val="center"/>
            </w:pPr>
            <w:r>
              <w:rPr>
                <w:rFonts w:hint="eastAsia"/>
              </w:rPr>
              <w:t>3</w:t>
            </w:r>
          </w:p>
        </w:tc>
        <w:tc>
          <w:tcPr>
            <w:tcW w:w="318" w:type="pct"/>
            <w:vMerge w:val="restart"/>
            <w:tcBorders>
              <w:tl2br w:val="nil"/>
              <w:tr2bl w:val="nil"/>
            </w:tcBorders>
            <w:tcMar>
              <w:top w:w="57" w:type="dxa"/>
              <w:left w:w="57" w:type="dxa"/>
              <w:bottom w:w="57" w:type="dxa"/>
              <w:right w:w="57" w:type="dxa"/>
            </w:tcMar>
            <w:vAlign w:val="center"/>
          </w:tcPr>
          <w:p w14:paraId="7FBC5669">
            <w:pPr>
              <w:pStyle w:val="23"/>
              <w:jc w:val="center"/>
            </w:pPr>
            <w:r>
              <w:rPr>
                <w:rFonts w:hint="eastAsia"/>
              </w:rPr>
              <w:t>优化服务类</w:t>
            </w:r>
          </w:p>
        </w:tc>
        <w:tc>
          <w:tcPr>
            <w:tcW w:w="2640" w:type="pct"/>
            <w:tcBorders>
              <w:tl2br w:val="nil"/>
              <w:tr2bl w:val="nil"/>
            </w:tcBorders>
            <w:tcMar>
              <w:top w:w="57" w:type="dxa"/>
              <w:left w:w="57" w:type="dxa"/>
              <w:bottom w:w="57" w:type="dxa"/>
              <w:right w:w="57" w:type="dxa"/>
            </w:tcMar>
            <w:vAlign w:val="center"/>
          </w:tcPr>
          <w:p w14:paraId="774BF912">
            <w:pPr>
              <w:pStyle w:val="23"/>
            </w:pPr>
            <w:r>
              <w:rPr>
                <w:rFonts w:hint="eastAsia"/>
              </w:rPr>
              <w:t>在政府采购领域推行手机CA证书的应用，实现政府采购全流程业务“一证通办”。</w:t>
            </w:r>
          </w:p>
        </w:tc>
        <w:tc>
          <w:tcPr>
            <w:tcW w:w="1356" w:type="pct"/>
            <w:tcBorders>
              <w:tl2br w:val="nil"/>
              <w:tr2bl w:val="nil"/>
            </w:tcBorders>
            <w:tcMar>
              <w:top w:w="57" w:type="dxa"/>
              <w:left w:w="57" w:type="dxa"/>
              <w:bottom w:w="57" w:type="dxa"/>
              <w:right w:w="57" w:type="dxa"/>
            </w:tcMar>
            <w:vAlign w:val="center"/>
          </w:tcPr>
          <w:p w14:paraId="389F1C5A">
            <w:pPr>
              <w:pStyle w:val="23"/>
            </w:pPr>
            <w:r>
              <w:rPr>
                <w:rFonts w:hint="eastAsia"/>
              </w:rPr>
              <w:t>2022年8月28日，《梁子湖区财政局 梁子湖区公共资源交易监督管理局 梁子湖区金融领导小组办公室 梁子湖区公共资源交易中心关于进一步加大政府采购支持中小微企业发展若干措施的通知》（梁财发〔2022〕71号）</w:t>
            </w:r>
          </w:p>
        </w:tc>
      </w:tr>
      <w:tr w14:paraId="53082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1" w:hRule="atLeast"/>
        </w:trPr>
        <w:tc>
          <w:tcPr>
            <w:tcW w:w="418" w:type="pct"/>
            <w:vMerge w:val="continue"/>
            <w:tcBorders>
              <w:tl2br w:val="nil"/>
              <w:tr2bl w:val="nil"/>
            </w:tcBorders>
            <w:tcMar>
              <w:top w:w="57" w:type="dxa"/>
              <w:left w:w="57" w:type="dxa"/>
              <w:bottom w:w="57" w:type="dxa"/>
              <w:right w:w="57" w:type="dxa"/>
            </w:tcMar>
            <w:vAlign w:val="center"/>
          </w:tcPr>
          <w:p w14:paraId="2E18078B">
            <w:pPr>
              <w:pStyle w:val="23"/>
              <w:jc w:val="center"/>
            </w:pPr>
          </w:p>
        </w:tc>
        <w:tc>
          <w:tcPr>
            <w:tcW w:w="266" w:type="pct"/>
            <w:tcBorders>
              <w:tl2br w:val="nil"/>
              <w:tr2bl w:val="nil"/>
            </w:tcBorders>
            <w:tcMar>
              <w:top w:w="57" w:type="dxa"/>
              <w:left w:w="57" w:type="dxa"/>
              <w:bottom w:w="57" w:type="dxa"/>
              <w:right w:w="57" w:type="dxa"/>
            </w:tcMar>
            <w:vAlign w:val="center"/>
          </w:tcPr>
          <w:p w14:paraId="6AE63D61">
            <w:pPr>
              <w:pStyle w:val="23"/>
              <w:jc w:val="center"/>
            </w:pPr>
            <w:r>
              <w:rPr>
                <w:rFonts w:hint="eastAsia"/>
              </w:rPr>
              <w:t>4</w:t>
            </w:r>
          </w:p>
        </w:tc>
        <w:tc>
          <w:tcPr>
            <w:tcW w:w="318" w:type="pct"/>
            <w:vMerge w:val="continue"/>
            <w:tcBorders>
              <w:tl2br w:val="nil"/>
              <w:tr2bl w:val="nil"/>
            </w:tcBorders>
            <w:tcMar>
              <w:top w:w="57" w:type="dxa"/>
              <w:left w:w="57" w:type="dxa"/>
              <w:bottom w:w="57" w:type="dxa"/>
              <w:right w:w="57" w:type="dxa"/>
            </w:tcMar>
            <w:vAlign w:val="center"/>
          </w:tcPr>
          <w:p w14:paraId="1DCDA2EF">
            <w:pPr>
              <w:pStyle w:val="23"/>
              <w:jc w:val="center"/>
            </w:pPr>
          </w:p>
        </w:tc>
        <w:tc>
          <w:tcPr>
            <w:tcW w:w="2640" w:type="pct"/>
            <w:tcBorders>
              <w:tl2br w:val="nil"/>
              <w:tr2bl w:val="nil"/>
            </w:tcBorders>
            <w:tcMar>
              <w:top w:w="57" w:type="dxa"/>
              <w:left w:w="57" w:type="dxa"/>
              <w:bottom w:w="57" w:type="dxa"/>
              <w:right w:w="57" w:type="dxa"/>
            </w:tcMar>
            <w:vAlign w:val="center"/>
          </w:tcPr>
          <w:p w14:paraId="74F0657D">
            <w:pPr>
              <w:pStyle w:val="23"/>
            </w:pPr>
            <w:r>
              <w:rPr>
                <w:rFonts w:hint="eastAsia"/>
              </w:rPr>
              <w:t>深化行政审批制度改革，实现企业群众办事“只进一扇门”。按照“集中为原则、不集中为例外”的要求，推进政务服务“一门一窗”改革，加快实现审批服务“前台综合受理、后台分类审批、窗口统一出件”。</w:t>
            </w:r>
          </w:p>
        </w:tc>
        <w:tc>
          <w:tcPr>
            <w:tcW w:w="1356" w:type="pct"/>
            <w:tcBorders>
              <w:tl2br w:val="nil"/>
              <w:tr2bl w:val="nil"/>
            </w:tcBorders>
            <w:tcMar>
              <w:top w:w="57" w:type="dxa"/>
              <w:left w:w="57" w:type="dxa"/>
              <w:bottom w:w="57" w:type="dxa"/>
              <w:right w:w="57" w:type="dxa"/>
            </w:tcMar>
            <w:vAlign w:val="center"/>
          </w:tcPr>
          <w:p w14:paraId="4572753B">
            <w:pPr>
              <w:pStyle w:val="23"/>
            </w:pPr>
            <w:r>
              <w:rPr>
                <w:rFonts w:hint="eastAsia"/>
              </w:rPr>
              <w:t>2022年9月2日，《梁子湖区人民政府办公室关于印发梁子湖区政务服务“一门一窗”改革实施方案的通知》（梁政办文〔2022〕11号）</w:t>
            </w:r>
          </w:p>
        </w:tc>
      </w:tr>
      <w:tr w14:paraId="00D80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1" w:hRule="atLeast"/>
        </w:trPr>
        <w:tc>
          <w:tcPr>
            <w:tcW w:w="418" w:type="pct"/>
            <w:vMerge w:val="continue"/>
            <w:tcBorders>
              <w:tl2br w:val="nil"/>
              <w:tr2bl w:val="nil"/>
            </w:tcBorders>
            <w:tcMar>
              <w:top w:w="57" w:type="dxa"/>
              <w:left w:w="57" w:type="dxa"/>
              <w:bottom w:w="57" w:type="dxa"/>
              <w:right w:w="57" w:type="dxa"/>
            </w:tcMar>
            <w:vAlign w:val="center"/>
          </w:tcPr>
          <w:p w14:paraId="7AA60E4F">
            <w:pPr>
              <w:pStyle w:val="23"/>
              <w:jc w:val="center"/>
            </w:pPr>
          </w:p>
        </w:tc>
        <w:tc>
          <w:tcPr>
            <w:tcW w:w="266" w:type="pct"/>
            <w:tcBorders>
              <w:tl2br w:val="nil"/>
              <w:tr2bl w:val="nil"/>
            </w:tcBorders>
            <w:tcMar>
              <w:top w:w="57" w:type="dxa"/>
              <w:left w:w="57" w:type="dxa"/>
              <w:bottom w:w="57" w:type="dxa"/>
              <w:right w:w="57" w:type="dxa"/>
            </w:tcMar>
            <w:vAlign w:val="center"/>
          </w:tcPr>
          <w:p w14:paraId="4F7FDDC4">
            <w:pPr>
              <w:pStyle w:val="23"/>
              <w:jc w:val="center"/>
            </w:pPr>
            <w:r>
              <w:rPr>
                <w:rFonts w:hint="eastAsia"/>
              </w:rPr>
              <w:t>5</w:t>
            </w:r>
          </w:p>
        </w:tc>
        <w:tc>
          <w:tcPr>
            <w:tcW w:w="318" w:type="pct"/>
            <w:vMerge w:val="continue"/>
            <w:tcBorders>
              <w:tl2br w:val="nil"/>
              <w:tr2bl w:val="nil"/>
            </w:tcBorders>
            <w:tcMar>
              <w:top w:w="57" w:type="dxa"/>
              <w:left w:w="57" w:type="dxa"/>
              <w:bottom w:w="57" w:type="dxa"/>
              <w:right w:w="57" w:type="dxa"/>
            </w:tcMar>
            <w:vAlign w:val="center"/>
          </w:tcPr>
          <w:p w14:paraId="776B85C9">
            <w:pPr>
              <w:pStyle w:val="23"/>
              <w:jc w:val="center"/>
            </w:pPr>
          </w:p>
        </w:tc>
        <w:tc>
          <w:tcPr>
            <w:tcW w:w="2640" w:type="pct"/>
            <w:tcBorders>
              <w:tl2br w:val="nil"/>
              <w:tr2bl w:val="nil"/>
            </w:tcBorders>
            <w:tcMar>
              <w:top w:w="57" w:type="dxa"/>
              <w:left w:w="57" w:type="dxa"/>
              <w:bottom w:w="57" w:type="dxa"/>
              <w:right w:w="57" w:type="dxa"/>
            </w:tcMar>
            <w:vAlign w:val="center"/>
          </w:tcPr>
          <w:p w14:paraId="72F86B33">
            <w:pPr>
              <w:pStyle w:val="23"/>
            </w:pPr>
            <w:r>
              <w:rPr>
                <w:rFonts w:hint="eastAsia"/>
              </w:rPr>
              <w:t>通过开展“局长服务日”活动，深入推进“一网、一门、一窗、一次”改革。</w:t>
            </w:r>
          </w:p>
        </w:tc>
        <w:tc>
          <w:tcPr>
            <w:tcW w:w="1356" w:type="pct"/>
            <w:tcBorders>
              <w:tl2br w:val="nil"/>
              <w:tr2bl w:val="nil"/>
            </w:tcBorders>
            <w:tcMar>
              <w:top w:w="57" w:type="dxa"/>
              <w:left w:w="57" w:type="dxa"/>
              <w:bottom w:w="57" w:type="dxa"/>
              <w:right w:w="57" w:type="dxa"/>
            </w:tcMar>
            <w:vAlign w:val="center"/>
          </w:tcPr>
          <w:p w14:paraId="3F35750B">
            <w:pPr>
              <w:pStyle w:val="23"/>
            </w:pPr>
            <w:r>
              <w:rPr>
                <w:rFonts w:hint="eastAsia"/>
              </w:rPr>
              <w:t>2023年4月26日，《关于印发&lt;梁子湖区政务服务“局长服务日”工作实施方案&gt;的通知》（梁放管服办文〔2023〕2号）</w:t>
            </w:r>
          </w:p>
        </w:tc>
      </w:tr>
      <w:tr w14:paraId="5FC39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1" w:hRule="atLeast"/>
        </w:trPr>
        <w:tc>
          <w:tcPr>
            <w:tcW w:w="418" w:type="pct"/>
            <w:vMerge w:val="continue"/>
            <w:tcBorders>
              <w:tl2br w:val="nil"/>
              <w:tr2bl w:val="nil"/>
            </w:tcBorders>
            <w:tcMar>
              <w:top w:w="57" w:type="dxa"/>
              <w:left w:w="57" w:type="dxa"/>
              <w:bottom w:w="57" w:type="dxa"/>
              <w:right w:w="57" w:type="dxa"/>
            </w:tcMar>
            <w:vAlign w:val="center"/>
          </w:tcPr>
          <w:p w14:paraId="7AB8D6FF">
            <w:pPr>
              <w:pStyle w:val="23"/>
              <w:jc w:val="center"/>
            </w:pPr>
          </w:p>
        </w:tc>
        <w:tc>
          <w:tcPr>
            <w:tcW w:w="266" w:type="pct"/>
            <w:tcBorders>
              <w:tl2br w:val="nil"/>
              <w:tr2bl w:val="nil"/>
            </w:tcBorders>
            <w:tcMar>
              <w:top w:w="57" w:type="dxa"/>
              <w:left w:w="57" w:type="dxa"/>
              <w:bottom w:w="57" w:type="dxa"/>
              <w:right w:w="57" w:type="dxa"/>
            </w:tcMar>
            <w:vAlign w:val="center"/>
          </w:tcPr>
          <w:p w14:paraId="201CE868">
            <w:pPr>
              <w:pStyle w:val="23"/>
              <w:jc w:val="center"/>
            </w:pPr>
            <w:r>
              <w:rPr>
                <w:rFonts w:hint="eastAsia"/>
              </w:rPr>
              <w:t>6</w:t>
            </w:r>
          </w:p>
        </w:tc>
        <w:tc>
          <w:tcPr>
            <w:tcW w:w="318" w:type="pct"/>
            <w:vMerge w:val="continue"/>
            <w:tcBorders>
              <w:tl2br w:val="nil"/>
              <w:tr2bl w:val="nil"/>
            </w:tcBorders>
            <w:tcMar>
              <w:top w:w="57" w:type="dxa"/>
              <w:left w:w="57" w:type="dxa"/>
              <w:bottom w:w="57" w:type="dxa"/>
              <w:right w:w="57" w:type="dxa"/>
            </w:tcMar>
            <w:vAlign w:val="center"/>
          </w:tcPr>
          <w:p w14:paraId="100C8EDD">
            <w:pPr>
              <w:pStyle w:val="23"/>
              <w:jc w:val="center"/>
            </w:pPr>
          </w:p>
        </w:tc>
        <w:tc>
          <w:tcPr>
            <w:tcW w:w="2640" w:type="pct"/>
            <w:tcBorders>
              <w:tl2br w:val="nil"/>
              <w:tr2bl w:val="nil"/>
            </w:tcBorders>
            <w:tcMar>
              <w:top w:w="57" w:type="dxa"/>
              <w:left w:w="57" w:type="dxa"/>
              <w:bottom w:w="57" w:type="dxa"/>
              <w:right w:w="57" w:type="dxa"/>
            </w:tcMar>
            <w:vAlign w:val="center"/>
          </w:tcPr>
          <w:p w14:paraId="4CD166C9">
            <w:pPr>
              <w:pStyle w:val="23"/>
            </w:pPr>
            <w:r>
              <w:rPr>
                <w:rFonts w:hint="eastAsia"/>
              </w:rPr>
              <w:t>各履行审批职责的行政机关对可采用承诺审批的各类事项进行梳理，按照全区统一的容缺受理告知承诺制事项清单模版和告知承诺书模版，制定本部门容缺受理告知承诺制事项清单并逐项编制实施事项的告知承诺书。行政相对人按要求提出书面申请并签定合法有效的书面承诺，履行审批职责的行政机关审核确认后，属即办件的，应当当场作出行政审批决定，制作相应的行政审批证件，并将证件副本或行政许可决定书复印件送达申请人；属承诺件的，履行审批职责的行政机关应在规定期限内作出行政审批决定；申请人在办理期限内补齐全部容缺材料的，向申请人颁发行政许可证件或行政许可决定书。</w:t>
            </w:r>
          </w:p>
        </w:tc>
        <w:tc>
          <w:tcPr>
            <w:tcW w:w="1356" w:type="pct"/>
            <w:tcBorders>
              <w:tl2br w:val="nil"/>
              <w:tr2bl w:val="nil"/>
            </w:tcBorders>
            <w:tcMar>
              <w:top w:w="57" w:type="dxa"/>
              <w:left w:w="57" w:type="dxa"/>
              <w:bottom w:w="57" w:type="dxa"/>
              <w:right w:w="57" w:type="dxa"/>
            </w:tcMar>
            <w:vAlign w:val="center"/>
          </w:tcPr>
          <w:p w14:paraId="18611732">
            <w:pPr>
              <w:pStyle w:val="23"/>
            </w:pPr>
            <w:r>
              <w:rPr>
                <w:rFonts w:hint="eastAsia"/>
              </w:rPr>
              <w:t>2023年6月15日，《关于印发&lt;梁子湖区推行政务服务告知承诺制和容缺受理服务模式实施方案&gt;的通知》（梁放管服办文〔2023〕3号）</w:t>
            </w:r>
          </w:p>
        </w:tc>
      </w:tr>
      <w:tr w14:paraId="66F58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418" w:type="pct"/>
            <w:vMerge w:val="continue"/>
            <w:tcBorders>
              <w:tl2br w:val="nil"/>
              <w:tr2bl w:val="nil"/>
            </w:tcBorders>
            <w:tcMar>
              <w:top w:w="57" w:type="dxa"/>
              <w:left w:w="57" w:type="dxa"/>
              <w:bottom w:w="57" w:type="dxa"/>
              <w:right w:w="57" w:type="dxa"/>
            </w:tcMar>
            <w:vAlign w:val="center"/>
          </w:tcPr>
          <w:p w14:paraId="6E2D87C5">
            <w:pPr>
              <w:pStyle w:val="23"/>
              <w:jc w:val="center"/>
            </w:pPr>
          </w:p>
        </w:tc>
        <w:tc>
          <w:tcPr>
            <w:tcW w:w="266" w:type="pct"/>
            <w:tcBorders>
              <w:tl2br w:val="nil"/>
              <w:tr2bl w:val="nil"/>
            </w:tcBorders>
            <w:tcMar>
              <w:top w:w="57" w:type="dxa"/>
              <w:left w:w="57" w:type="dxa"/>
              <w:bottom w:w="57" w:type="dxa"/>
              <w:right w:w="57" w:type="dxa"/>
            </w:tcMar>
            <w:vAlign w:val="center"/>
          </w:tcPr>
          <w:p w14:paraId="63BE8A19">
            <w:pPr>
              <w:pStyle w:val="23"/>
              <w:jc w:val="center"/>
            </w:pPr>
            <w:r>
              <w:rPr>
                <w:rFonts w:hint="eastAsia"/>
              </w:rPr>
              <w:t>7</w:t>
            </w:r>
          </w:p>
        </w:tc>
        <w:tc>
          <w:tcPr>
            <w:tcW w:w="318" w:type="pct"/>
            <w:vMerge w:val="continue"/>
            <w:tcBorders>
              <w:tl2br w:val="nil"/>
              <w:tr2bl w:val="nil"/>
            </w:tcBorders>
            <w:tcMar>
              <w:top w:w="57" w:type="dxa"/>
              <w:left w:w="57" w:type="dxa"/>
              <w:bottom w:w="57" w:type="dxa"/>
              <w:right w:w="57" w:type="dxa"/>
            </w:tcMar>
            <w:vAlign w:val="center"/>
          </w:tcPr>
          <w:p w14:paraId="1FC4D2E7">
            <w:pPr>
              <w:pStyle w:val="23"/>
              <w:jc w:val="center"/>
            </w:pPr>
          </w:p>
        </w:tc>
        <w:tc>
          <w:tcPr>
            <w:tcW w:w="2640" w:type="pct"/>
            <w:tcBorders>
              <w:tl2br w:val="nil"/>
              <w:tr2bl w:val="nil"/>
            </w:tcBorders>
            <w:tcMar>
              <w:top w:w="57" w:type="dxa"/>
              <w:left w:w="57" w:type="dxa"/>
              <w:bottom w:w="57" w:type="dxa"/>
              <w:right w:w="57" w:type="dxa"/>
            </w:tcMar>
            <w:vAlign w:val="center"/>
          </w:tcPr>
          <w:p w14:paraId="5CDB9805">
            <w:pPr>
              <w:pStyle w:val="23"/>
            </w:pPr>
            <w:r>
              <w:rPr>
                <w:rFonts w:hint="eastAsia"/>
              </w:rPr>
              <w:t>针对不动产登记、开办企业、社保医保、水电气报装等高频办理事项，推动相关业务主管单位遴选一批业务骨干担任“首席服务员”，打破行政职级、授予岗位相应审批权，实现跨部门“一人受理、全程服务”。</w:t>
            </w:r>
          </w:p>
        </w:tc>
        <w:tc>
          <w:tcPr>
            <w:tcW w:w="1356" w:type="pct"/>
            <w:tcBorders>
              <w:tl2br w:val="nil"/>
              <w:tr2bl w:val="nil"/>
            </w:tcBorders>
            <w:tcMar>
              <w:top w:w="57" w:type="dxa"/>
              <w:left w:w="57" w:type="dxa"/>
              <w:bottom w:w="57" w:type="dxa"/>
              <w:right w:w="57" w:type="dxa"/>
            </w:tcMar>
            <w:vAlign w:val="center"/>
          </w:tcPr>
          <w:p w14:paraId="6F63E92E">
            <w:pPr>
              <w:pStyle w:val="23"/>
            </w:pPr>
            <w:r>
              <w:rPr>
                <w:rFonts w:hint="eastAsia"/>
              </w:rPr>
              <w:t>2023年6月19日，《关于印发&lt;梁子湖区“首席服务员”制度实施方案&gt;的通知》（梁放管服办文〔2023〕4号）</w:t>
            </w:r>
          </w:p>
        </w:tc>
      </w:tr>
      <w:tr w14:paraId="1EA5F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418" w:type="pct"/>
            <w:vMerge w:val="continue"/>
            <w:tcBorders>
              <w:tl2br w:val="nil"/>
              <w:tr2bl w:val="nil"/>
            </w:tcBorders>
            <w:tcMar>
              <w:top w:w="57" w:type="dxa"/>
              <w:left w:w="57" w:type="dxa"/>
              <w:bottom w:w="57" w:type="dxa"/>
              <w:right w:w="57" w:type="dxa"/>
            </w:tcMar>
            <w:vAlign w:val="center"/>
          </w:tcPr>
          <w:p w14:paraId="73B31372">
            <w:pPr>
              <w:pStyle w:val="23"/>
              <w:jc w:val="center"/>
            </w:pPr>
          </w:p>
        </w:tc>
        <w:tc>
          <w:tcPr>
            <w:tcW w:w="266" w:type="pct"/>
            <w:tcBorders>
              <w:tl2br w:val="nil"/>
              <w:tr2bl w:val="nil"/>
            </w:tcBorders>
            <w:tcMar>
              <w:top w:w="57" w:type="dxa"/>
              <w:left w:w="57" w:type="dxa"/>
              <w:bottom w:w="57" w:type="dxa"/>
              <w:right w:w="57" w:type="dxa"/>
            </w:tcMar>
            <w:vAlign w:val="center"/>
          </w:tcPr>
          <w:p w14:paraId="37FDF38D">
            <w:pPr>
              <w:pStyle w:val="23"/>
              <w:jc w:val="center"/>
            </w:pPr>
            <w:r>
              <w:rPr>
                <w:rFonts w:hint="eastAsia"/>
              </w:rPr>
              <w:t>8</w:t>
            </w:r>
          </w:p>
        </w:tc>
        <w:tc>
          <w:tcPr>
            <w:tcW w:w="318" w:type="pct"/>
            <w:vMerge w:val="continue"/>
            <w:tcBorders>
              <w:tl2br w:val="nil"/>
              <w:tr2bl w:val="nil"/>
            </w:tcBorders>
            <w:tcMar>
              <w:top w:w="57" w:type="dxa"/>
              <w:left w:w="57" w:type="dxa"/>
              <w:bottom w:w="57" w:type="dxa"/>
              <w:right w:w="57" w:type="dxa"/>
            </w:tcMar>
            <w:vAlign w:val="center"/>
          </w:tcPr>
          <w:p w14:paraId="24753ADF">
            <w:pPr>
              <w:pStyle w:val="23"/>
              <w:jc w:val="center"/>
            </w:pPr>
          </w:p>
        </w:tc>
        <w:tc>
          <w:tcPr>
            <w:tcW w:w="2640" w:type="pct"/>
            <w:tcBorders>
              <w:tl2br w:val="nil"/>
              <w:tr2bl w:val="nil"/>
            </w:tcBorders>
            <w:tcMar>
              <w:top w:w="57" w:type="dxa"/>
              <w:left w:w="57" w:type="dxa"/>
              <w:bottom w:w="57" w:type="dxa"/>
              <w:right w:w="57" w:type="dxa"/>
            </w:tcMar>
            <w:vAlign w:val="center"/>
          </w:tcPr>
          <w:p w14:paraId="40603DE6">
            <w:pPr>
              <w:pStyle w:val="23"/>
            </w:pPr>
            <w:r>
              <w:rPr>
                <w:rFonts w:hint="eastAsia"/>
              </w:rPr>
              <w:t>推动区、镇（园区)、村（社区）三级政务服务一体化、规范化建设，着力构建三级联动、全程代理、帮办代办的政务服务体系，结合“巧巧工作室”基层治理特色，在全区打造“商梁办·贴心办”政务服务品牌。</w:t>
            </w:r>
          </w:p>
        </w:tc>
        <w:tc>
          <w:tcPr>
            <w:tcW w:w="1356" w:type="pct"/>
            <w:tcBorders>
              <w:tl2br w:val="nil"/>
              <w:tr2bl w:val="nil"/>
            </w:tcBorders>
            <w:tcMar>
              <w:top w:w="57" w:type="dxa"/>
              <w:left w:w="57" w:type="dxa"/>
              <w:bottom w:w="57" w:type="dxa"/>
              <w:right w:w="57" w:type="dxa"/>
            </w:tcMar>
            <w:vAlign w:val="center"/>
          </w:tcPr>
          <w:p w14:paraId="473385EF">
            <w:pPr>
              <w:pStyle w:val="23"/>
            </w:pPr>
            <w:r>
              <w:rPr>
                <w:rFonts w:hint="eastAsia"/>
              </w:rPr>
              <w:t>2023年6月29日，《关于印发&lt;加强构建区镇村三级政务服务“帮办代办”体系工作方案&gt;的通知》（梁放管服办文〔2023〕5号）</w:t>
            </w:r>
          </w:p>
        </w:tc>
      </w:tr>
      <w:tr w14:paraId="1ADC6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418" w:type="pct"/>
            <w:vMerge w:val="continue"/>
            <w:tcBorders>
              <w:tl2br w:val="nil"/>
              <w:tr2bl w:val="nil"/>
            </w:tcBorders>
            <w:tcMar>
              <w:top w:w="57" w:type="dxa"/>
              <w:left w:w="57" w:type="dxa"/>
              <w:bottom w:w="57" w:type="dxa"/>
              <w:right w:w="57" w:type="dxa"/>
            </w:tcMar>
            <w:vAlign w:val="center"/>
          </w:tcPr>
          <w:p w14:paraId="5F52EA56">
            <w:pPr>
              <w:pStyle w:val="23"/>
              <w:jc w:val="center"/>
            </w:pPr>
          </w:p>
        </w:tc>
        <w:tc>
          <w:tcPr>
            <w:tcW w:w="266" w:type="pct"/>
            <w:tcBorders>
              <w:tl2br w:val="nil"/>
              <w:tr2bl w:val="nil"/>
            </w:tcBorders>
            <w:tcMar>
              <w:top w:w="57" w:type="dxa"/>
              <w:left w:w="57" w:type="dxa"/>
              <w:bottom w:w="57" w:type="dxa"/>
              <w:right w:w="57" w:type="dxa"/>
            </w:tcMar>
            <w:vAlign w:val="center"/>
          </w:tcPr>
          <w:p w14:paraId="0AF4C6CD">
            <w:pPr>
              <w:pStyle w:val="23"/>
              <w:jc w:val="center"/>
            </w:pPr>
            <w:r>
              <w:rPr>
                <w:rFonts w:hint="eastAsia"/>
              </w:rPr>
              <w:t>9</w:t>
            </w:r>
          </w:p>
        </w:tc>
        <w:tc>
          <w:tcPr>
            <w:tcW w:w="318" w:type="pct"/>
            <w:vMerge w:val="restart"/>
            <w:tcBorders>
              <w:tl2br w:val="nil"/>
              <w:tr2bl w:val="nil"/>
            </w:tcBorders>
            <w:tcMar>
              <w:top w:w="57" w:type="dxa"/>
              <w:left w:w="57" w:type="dxa"/>
              <w:bottom w:w="57" w:type="dxa"/>
              <w:right w:w="57" w:type="dxa"/>
            </w:tcMar>
            <w:vAlign w:val="center"/>
          </w:tcPr>
          <w:p w14:paraId="6B7B6CFA">
            <w:pPr>
              <w:pStyle w:val="23"/>
              <w:jc w:val="center"/>
            </w:pPr>
            <w:r>
              <w:rPr>
                <w:rFonts w:hint="eastAsia"/>
              </w:rPr>
              <w:t>金融扶持类</w:t>
            </w:r>
          </w:p>
        </w:tc>
        <w:tc>
          <w:tcPr>
            <w:tcW w:w="2640" w:type="pct"/>
            <w:tcBorders>
              <w:tl2br w:val="nil"/>
              <w:tr2bl w:val="nil"/>
            </w:tcBorders>
            <w:tcMar>
              <w:top w:w="57" w:type="dxa"/>
              <w:left w:w="57" w:type="dxa"/>
              <w:bottom w:w="57" w:type="dxa"/>
              <w:right w:w="57" w:type="dxa"/>
            </w:tcMar>
            <w:vAlign w:val="center"/>
          </w:tcPr>
          <w:p w14:paraId="7910B019">
            <w:pPr>
              <w:pStyle w:val="23"/>
            </w:pPr>
            <w:r>
              <w:rPr>
                <w:rFonts w:hint="eastAsia"/>
              </w:rPr>
              <w:t>符合我区主导产业发展规划及战略性新兴产业，可申请区级产业引导基金。</w:t>
            </w:r>
          </w:p>
        </w:tc>
        <w:tc>
          <w:tcPr>
            <w:tcW w:w="1356" w:type="pct"/>
            <w:tcBorders>
              <w:tl2br w:val="nil"/>
              <w:tr2bl w:val="nil"/>
            </w:tcBorders>
            <w:tcMar>
              <w:top w:w="57" w:type="dxa"/>
              <w:left w:w="57" w:type="dxa"/>
              <w:bottom w:w="57" w:type="dxa"/>
              <w:right w:w="57" w:type="dxa"/>
            </w:tcMar>
            <w:vAlign w:val="center"/>
          </w:tcPr>
          <w:p w14:paraId="1040A3E6">
            <w:pPr>
              <w:pStyle w:val="23"/>
            </w:pPr>
            <w:r>
              <w:rPr>
                <w:rFonts w:hint="eastAsia"/>
              </w:rPr>
              <w:t>2023年3月9日，《梁子湖区人民政府关于进一步加快创新发展的三十条措施》（梁政发〔2023〕2号）</w:t>
            </w:r>
          </w:p>
        </w:tc>
      </w:tr>
      <w:tr w14:paraId="649C2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418" w:type="pct"/>
            <w:vMerge w:val="continue"/>
            <w:tcBorders>
              <w:tl2br w:val="nil"/>
              <w:tr2bl w:val="nil"/>
            </w:tcBorders>
            <w:tcMar>
              <w:top w:w="57" w:type="dxa"/>
              <w:left w:w="57" w:type="dxa"/>
              <w:bottom w:w="57" w:type="dxa"/>
              <w:right w:w="57" w:type="dxa"/>
            </w:tcMar>
            <w:vAlign w:val="center"/>
          </w:tcPr>
          <w:p w14:paraId="14B212AF">
            <w:pPr>
              <w:pStyle w:val="23"/>
              <w:jc w:val="center"/>
            </w:pPr>
          </w:p>
        </w:tc>
        <w:tc>
          <w:tcPr>
            <w:tcW w:w="266" w:type="pct"/>
            <w:tcBorders>
              <w:tl2br w:val="nil"/>
              <w:tr2bl w:val="nil"/>
            </w:tcBorders>
            <w:tcMar>
              <w:top w:w="57" w:type="dxa"/>
              <w:left w:w="57" w:type="dxa"/>
              <w:bottom w:w="57" w:type="dxa"/>
              <w:right w:w="57" w:type="dxa"/>
            </w:tcMar>
            <w:vAlign w:val="center"/>
          </w:tcPr>
          <w:p w14:paraId="0E837B19">
            <w:pPr>
              <w:pStyle w:val="23"/>
              <w:jc w:val="center"/>
            </w:pPr>
            <w:r>
              <w:rPr>
                <w:rFonts w:hint="eastAsia"/>
              </w:rPr>
              <w:t>10</w:t>
            </w:r>
          </w:p>
        </w:tc>
        <w:tc>
          <w:tcPr>
            <w:tcW w:w="318" w:type="pct"/>
            <w:vMerge w:val="continue"/>
            <w:tcBorders>
              <w:tl2br w:val="nil"/>
              <w:tr2bl w:val="nil"/>
            </w:tcBorders>
            <w:tcMar>
              <w:top w:w="57" w:type="dxa"/>
              <w:left w:w="57" w:type="dxa"/>
              <w:bottom w:w="57" w:type="dxa"/>
              <w:right w:w="57" w:type="dxa"/>
            </w:tcMar>
            <w:vAlign w:val="center"/>
          </w:tcPr>
          <w:p w14:paraId="65163869">
            <w:pPr>
              <w:pStyle w:val="23"/>
              <w:jc w:val="center"/>
            </w:pPr>
          </w:p>
        </w:tc>
        <w:tc>
          <w:tcPr>
            <w:tcW w:w="2640" w:type="pct"/>
            <w:tcBorders>
              <w:tl2br w:val="nil"/>
              <w:tr2bl w:val="nil"/>
            </w:tcBorders>
            <w:tcMar>
              <w:top w:w="57" w:type="dxa"/>
              <w:left w:w="57" w:type="dxa"/>
              <w:bottom w:w="57" w:type="dxa"/>
              <w:right w:w="57" w:type="dxa"/>
            </w:tcMar>
            <w:vAlign w:val="center"/>
          </w:tcPr>
          <w:p w14:paraId="207EF52E">
            <w:pPr>
              <w:pStyle w:val="23"/>
            </w:pPr>
            <w:r>
              <w:rPr>
                <w:rFonts w:hint="eastAsia"/>
              </w:rPr>
              <w:t>对2023年5月1日至2024年5月31日之间成功办理“政采贷”业务的中小微企业，财政全额贴息。</w:t>
            </w:r>
          </w:p>
        </w:tc>
        <w:tc>
          <w:tcPr>
            <w:tcW w:w="1356" w:type="pct"/>
            <w:tcBorders>
              <w:tl2br w:val="nil"/>
              <w:tr2bl w:val="nil"/>
            </w:tcBorders>
            <w:tcMar>
              <w:top w:w="57" w:type="dxa"/>
              <w:left w:w="57" w:type="dxa"/>
              <w:bottom w:w="57" w:type="dxa"/>
              <w:right w:w="57" w:type="dxa"/>
            </w:tcMar>
            <w:vAlign w:val="center"/>
          </w:tcPr>
          <w:p w14:paraId="4190A1CE">
            <w:pPr>
              <w:pStyle w:val="23"/>
            </w:pPr>
            <w:r>
              <w:rPr>
                <w:rFonts w:hint="eastAsia"/>
              </w:rPr>
              <w:t>2023年4月28日，《关于进一步加大政府采购合同融资财政支持力度的通知》（梁财发〔2023〕37号）</w:t>
            </w:r>
          </w:p>
        </w:tc>
      </w:tr>
      <w:tr w14:paraId="5A1D3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418" w:type="pct"/>
            <w:vMerge w:val="continue"/>
            <w:tcBorders>
              <w:tl2br w:val="nil"/>
              <w:tr2bl w:val="nil"/>
            </w:tcBorders>
            <w:tcMar>
              <w:top w:w="57" w:type="dxa"/>
              <w:left w:w="57" w:type="dxa"/>
              <w:bottom w:w="57" w:type="dxa"/>
              <w:right w:w="57" w:type="dxa"/>
            </w:tcMar>
            <w:vAlign w:val="center"/>
          </w:tcPr>
          <w:p w14:paraId="55E6D4FD">
            <w:pPr>
              <w:pStyle w:val="23"/>
              <w:jc w:val="center"/>
            </w:pPr>
          </w:p>
        </w:tc>
        <w:tc>
          <w:tcPr>
            <w:tcW w:w="266" w:type="pct"/>
            <w:tcBorders>
              <w:tl2br w:val="nil"/>
              <w:tr2bl w:val="nil"/>
            </w:tcBorders>
            <w:tcMar>
              <w:top w:w="57" w:type="dxa"/>
              <w:left w:w="57" w:type="dxa"/>
              <w:bottom w:w="57" w:type="dxa"/>
              <w:right w:w="57" w:type="dxa"/>
            </w:tcMar>
            <w:vAlign w:val="center"/>
          </w:tcPr>
          <w:p w14:paraId="1385C0DC">
            <w:pPr>
              <w:pStyle w:val="23"/>
              <w:jc w:val="center"/>
            </w:pPr>
            <w:r>
              <w:rPr>
                <w:rFonts w:hint="eastAsia"/>
              </w:rPr>
              <w:t>11</w:t>
            </w:r>
          </w:p>
        </w:tc>
        <w:tc>
          <w:tcPr>
            <w:tcW w:w="318" w:type="pct"/>
            <w:vMerge w:val="restart"/>
            <w:tcBorders>
              <w:tl2br w:val="nil"/>
              <w:tr2bl w:val="nil"/>
            </w:tcBorders>
            <w:tcMar>
              <w:top w:w="57" w:type="dxa"/>
              <w:left w:w="57" w:type="dxa"/>
              <w:bottom w:w="57" w:type="dxa"/>
              <w:right w:w="57" w:type="dxa"/>
            </w:tcMar>
            <w:vAlign w:val="center"/>
          </w:tcPr>
          <w:p w14:paraId="0D446E53">
            <w:pPr>
              <w:pStyle w:val="23"/>
              <w:jc w:val="center"/>
            </w:pPr>
            <w:r>
              <w:rPr>
                <w:rFonts w:hint="eastAsia"/>
              </w:rPr>
              <w:t>资金奖补类</w:t>
            </w:r>
          </w:p>
        </w:tc>
        <w:tc>
          <w:tcPr>
            <w:tcW w:w="2640" w:type="pct"/>
            <w:tcBorders>
              <w:tl2br w:val="nil"/>
              <w:tr2bl w:val="nil"/>
            </w:tcBorders>
            <w:tcMar>
              <w:top w:w="57" w:type="dxa"/>
              <w:left w:w="57" w:type="dxa"/>
              <w:bottom w:w="57" w:type="dxa"/>
              <w:right w:w="57" w:type="dxa"/>
            </w:tcMar>
            <w:vAlign w:val="center"/>
          </w:tcPr>
          <w:p w14:paraId="154914B0">
            <w:pPr>
              <w:pStyle w:val="23"/>
            </w:pPr>
            <w:r>
              <w:rPr>
                <w:rFonts w:hint="eastAsia"/>
              </w:rPr>
              <w:t>对获批的国家实验室、国家重大科技基础设施、国家重点实验室、国家技术创新中心、国家临床医学研究中心、国家工程研究中心、国家制造业创新中心、国家产业创新中心，给予1100万元（含区级100万元）奖励。对获批的国家科技资源共享服务平台、国家野外科学观测研究站、国家企业技术中心给予不低于220万元（含区级20万元）的支持。对新获批（备案）的省级重点实验室、技术创新中心、临床医学研究中心、综合型技术创新平台、产业技术研究院、产业创新联合体、工程研究中心、制造业创新中心、产业创新中心给予55万元奖励（含区级5万元）。对新获批（备案）的省级专业型研究所（公司）、企校联合创新研究中心、企业技术中心给予22万元奖励（含区级2万元）。</w:t>
            </w:r>
          </w:p>
        </w:tc>
        <w:tc>
          <w:tcPr>
            <w:tcW w:w="1356" w:type="pct"/>
            <w:vMerge w:val="restart"/>
            <w:tcBorders>
              <w:tl2br w:val="nil"/>
              <w:tr2bl w:val="nil"/>
            </w:tcBorders>
            <w:tcMar>
              <w:top w:w="57" w:type="dxa"/>
              <w:left w:w="57" w:type="dxa"/>
              <w:bottom w:w="57" w:type="dxa"/>
              <w:right w:w="57" w:type="dxa"/>
            </w:tcMar>
            <w:vAlign w:val="center"/>
          </w:tcPr>
          <w:p w14:paraId="2FAB4FB2">
            <w:pPr>
              <w:pStyle w:val="23"/>
            </w:pPr>
            <w:r>
              <w:rPr>
                <w:rFonts w:hint="eastAsia"/>
              </w:rPr>
              <w:t>2023年3月9日，《梁子湖区人民政府关于进一步加快创新发展的三十条措施》（梁政发〔2023〕2号）</w:t>
            </w:r>
          </w:p>
        </w:tc>
      </w:tr>
      <w:tr w14:paraId="1EA97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418" w:type="pct"/>
            <w:vMerge w:val="continue"/>
            <w:tcBorders>
              <w:tl2br w:val="nil"/>
              <w:tr2bl w:val="nil"/>
            </w:tcBorders>
            <w:tcMar>
              <w:top w:w="57" w:type="dxa"/>
              <w:left w:w="57" w:type="dxa"/>
              <w:bottom w:w="57" w:type="dxa"/>
              <w:right w:w="57" w:type="dxa"/>
            </w:tcMar>
            <w:vAlign w:val="center"/>
          </w:tcPr>
          <w:p w14:paraId="2EA6D65D">
            <w:pPr>
              <w:pStyle w:val="23"/>
              <w:jc w:val="center"/>
            </w:pPr>
          </w:p>
        </w:tc>
        <w:tc>
          <w:tcPr>
            <w:tcW w:w="266" w:type="pct"/>
            <w:tcBorders>
              <w:tl2br w:val="nil"/>
              <w:tr2bl w:val="nil"/>
            </w:tcBorders>
            <w:tcMar>
              <w:top w:w="57" w:type="dxa"/>
              <w:left w:w="57" w:type="dxa"/>
              <w:bottom w:w="57" w:type="dxa"/>
              <w:right w:w="57" w:type="dxa"/>
            </w:tcMar>
            <w:vAlign w:val="center"/>
          </w:tcPr>
          <w:p w14:paraId="517A7BC9">
            <w:pPr>
              <w:pStyle w:val="23"/>
              <w:jc w:val="center"/>
            </w:pPr>
            <w:r>
              <w:rPr>
                <w:rFonts w:hint="eastAsia"/>
              </w:rPr>
              <w:t>12</w:t>
            </w:r>
          </w:p>
        </w:tc>
        <w:tc>
          <w:tcPr>
            <w:tcW w:w="318" w:type="pct"/>
            <w:vMerge w:val="continue"/>
            <w:tcBorders>
              <w:tl2br w:val="nil"/>
              <w:tr2bl w:val="nil"/>
            </w:tcBorders>
            <w:tcMar>
              <w:top w:w="57" w:type="dxa"/>
              <w:left w:w="57" w:type="dxa"/>
              <w:bottom w:w="57" w:type="dxa"/>
              <w:right w:w="57" w:type="dxa"/>
            </w:tcMar>
            <w:vAlign w:val="center"/>
          </w:tcPr>
          <w:p w14:paraId="62EBAB3B">
            <w:pPr>
              <w:pStyle w:val="23"/>
              <w:jc w:val="center"/>
            </w:pPr>
          </w:p>
        </w:tc>
        <w:tc>
          <w:tcPr>
            <w:tcW w:w="2640" w:type="pct"/>
            <w:tcBorders>
              <w:tl2br w:val="nil"/>
              <w:tr2bl w:val="nil"/>
            </w:tcBorders>
            <w:tcMar>
              <w:top w:w="57" w:type="dxa"/>
              <w:left w:w="57" w:type="dxa"/>
              <w:bottom w:w="57" w:type="dxa"/>
              <w:right w:w="57" w:type="dxa"/>
            </w:tcMar>
            <w:vAlign w:val="center"/>
          </w:tcPr>
          <w:p w14:paraId="0614CEC7">
            <w:pPr>
              <w:pStyle w:val="23"/>
            </w:pPr>
            <w:r>
              <w:rPr>
                <w:rFonts w:hint="eastAsia"/>
              </w:rPr>
              <w:t>对新认定（含重新认定）的高新技术企业或在高新技术企业认定有效期内的新落户企业一次性奖励30万元（含区级10万元）。对首次通过认定的技术先进型服务企业给予奖励12万元（含区级2万元）；对成功纳入“全国科技型中小企业信息库”的科技型中小企业给予奖励1.2万元（含区级0.2万元），其中已被认定为国家高新技术企业的不重复奖励。</w:t>
            </w:r>
          </w:p>
        </w:tc>
        <w:tc>
          <w:tcPr>
            <w:tcW w:w="1356" w:type="pct"/>
            <w:vMerge w:val="continue"/>
            <w:tcBorders>
              <w:tl2br w:val="nil"/>
              <w:tr2bl w:val="nil"/>
            </w:tcBorders>
            <w:tcMar>
              <w:top w:w="57" w:type="dxa"/>
              <w:left w:w="57" w:type="dxa"/>
              <w:bottom w:w="57" w:type="dxa"/>
              <w:right w:w="57" w:type="dxa"/>
            </w:tcMar>
            <w:vAlign w:val="center"/>
          </w:tcPr>
          <w:p w14:paraId="674D61B0">
            <w:pPr>
              <w:pStyle w:val="23"/>
            </w:pPr>
          </w:p>
        </w:tc>
      </w:tr>
      <w:tr w14:paraId="4BF3B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418" w:type="pct"/>
            <w:vMerge w:val="continue"/>
            <w:tcBorders>
              <w:tl2br w:val="nil"/>
              <w:tr2bl w:val="nil"/>
            </w:tcBorders>
            <w:tcMar>
              <w:top w:w="57" w:type="dxa"/>
              <w:left w:w="57" w:type="dxa"/>
              <w:bottom w:w="57" w:type="dxa"/>
              <w:right w:w="57" w:type="dxa"/>
            </w:tcMar>
            <w:vAlign w:val="center"/>
          </w:tcPr>
          <w:p w14:paraId="6707B8E9">
            <w:pPr>
              <w:pStyle w:val="23"/>
              <w:jc w:val="center"/>
            </w:pPr>
          </w:p>
        </w:tc>
        <w:tc>
          <w:tcPr>
            <w:tcW w:w="266" w:type="pct"/>
            <w:tcBorders>
              <w:tl2br w:val="nil"/>
              <w:tr2bl w:val="nil"/>
            </w:tcBorders>
            <w:tcMar>
              <w:top w:w="57" w:type="dxa"/>
              <w:left w:w="57" w:type="dxa"/>
              <w:bottom w:w="57" w:type="dxa"/>
              <w:right w:w="57" w:type="dxa"/>
            </w:tcMar>
            <w:vAlign w:val="center"/>
          </w:tcPr>
          <w:p w14:paraId="2E4DAE78">
            <w:pPr>
              <w:pStyle w:val="23"/>
              <w:jc w:val="center"/>
            </w:pPr>
            <w:r>
              <w:rPr>
                <w:rFonts w:hint="eastAsia"/>
              </w:rPr>
              <w:t>13</w:t>
            </w:r>
          </w:p>
        </w:tc>
        <w:tc>
          <w:tcPr>
            <w:tcW w:w="318" w:type="pct"/>
            <w:vMerge w:val="continue"/>
            <w:tcBorders>
              <w:tl2br w:val="nil"/>
              <w:tr2bl w:val="nil"/>
            </w:tcBorders>
            <w:tcMar>
              <w:top w:w="57" w:type="dxa"/>
              <w:left w:w="57" w:type="dxa"/>
              <w:bottom w:w="57" w:type="dxa"/>
              <w:right w:w="57" w:type="dxa"/>
            </w:tcMar>
            <w:vAlign w:val="center"/>
          </w:tcPr>
          <w:p w14:paraId="752AF3AD">
            <w:pPr>
              <w:pStyle w:val="23"/>
              <w:jc w:val="center"/>
            </w:pPr>
          </w:p>
        </w:tc>
        <w:tc>
          <w:tcPr>
            <w:tcW w:w="2640" w:type="pct"/>
            <w:tcBorders>
              <w:tl2br w:val="nil"/>
              <w:tr2bl w:val="nil"/>
            </w:tcBorders>
            <w:tcMar>
              <w:top w:w="57" w:type="dxa"/>
              <w:left w:w="57" w:type="dxa"/>
              <w:bottom w:w="57" w:type="dxa"/>
              <w:right w:w="57" w:type="dxa"/>
            </w:tcMar>
            <w:vAlign w:val="center"/>
          </w:tcPr>
          <w:p w14:paraId="0BD33BFF">
            <w:pPr>
              <w:pStyle w:val="23"/>
            </w:pPr>
            <w:r>
              <w:rPr>
                <w:rFonts w:hint="eastAsia"/>
              </w:rPr>
              <w:t>对入选省高新技术企业“十百千万”行动的企业给予配套奖励，对入选10家科技领军企业、100家龙头企业、1000家重点企业，分别给予一次性奖励110万元（含区级10万元）、55万元（含区级5万元）、22万元（含区级2万元）。</w:t>
            </w:r>
          </w:p>
        </w:tc>
        <w:tc>
          <w:tcPr>
            <w:tcW w:w="1356" w:type="pct"/>
            <w:vMerge w:val="continue"/>
            <w:tcBorders>
              <w:tl2br w:val="nil"/>
              <w:tr2bl w:val="nil"/>
            </w:tcBorders>
            <w:tcMar>
              <w:top w:w="57" w:type="dxa"/>
              <w:left w:w="57" w:type="dxa"/>
              <w:bottom w:w="57" w:type="dxa"/>
              <w:right w:w="57" w:type="dxa"/>
            </w:tcMar>
            <w:vAlign w:val="center"/>
          </w:tcPr>
          <w:p w14:paraId="41B15AC3">
            <w:pPr>
              <w:pStyle w:val="23"/>
            </w:pPr>
          </w:p>
        </w:tc>
      </w:tr>
      <w:tr w14:paraId="1ED54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4" w:hRule="atLeast"/>
        </w:trPr>
        <w:tc>
          <w:tcPr>
            <w:tcW w:w="418" w:type="pct"/>
            <w:vMerge w:val="continue"/>
            <w:tcBorders>
              <w:tl2br w:val="nil"/>
              <w:tr2bl w:val="nil"/>
            </w:tcBorders>
            <w:tcMar>
              <w:top w:w="57" w:type="dxa"/>
              <w:left w:w="57" w:type="dxa"/>
              <w:bottom w:w="57" w:type="dxa"/>
              <w:right w:w="57" w:type="dxa"/>
            </w:tcMar>
            <w:vAlign w:val="center"/>
          </w:tcPr>
          <w:p w14:paraId="608E073C">
            <w:pPr>
              <w:pStyle w:val="23"/>
              <w:jc w:val="center"/>
            </w:pPr>
          </w:p>
        </w:tc>
        <w:tc>
          <w:tcPr>
            <w:tcW w:w="266" w:type="pct"/>
            <w:tcBorders>
              <w:tl2br w:val="nil"/>
              <w:tr2bl w:val="nil"/>
            </w:tcBorders>
            <w:tcMar>
              <w:top w:w="57" w:type="dxa"/>
              <w:left w:w="57" w:type="dxa"/>
              <w:bottom w:w="57" w:type="dxa"/>
              <w:right w:w="57" w:type="dxa"/>
            </w:tcMar>
            <w:vAlign w:val="center"/>
          </w:tcPr>
          <w:p w14:paraId="43B885A1">
            <w:pPr>
              <w:pStyle w:val="23"/>
              <w:jc w:val="center"/>
            </w:pPr>
            <w:r>
              <w:rPr>
                <w:rFonts w:hint="eastAsia"/>
              </w:rPr>
              <w:t>14</w:t>
            </w:r>
          </w:p>
        </w:tc>
        <w:tc>
          <w:tcPr>
            <w:tcW w:w="318" w:type="pct"/>
            <w:vMerge w:val="continue"/>
            <w:tcBorders>
              <w:tl2br w:val="nil"/>
              <w:tr2bl w:val="nil"/>
            </w:tcBorders>
            <w:tcMar>
              <w:top w:w="57" w:type="dxa"/>
              <w:left w:w="57" w:type="dxa"/>
              <w:bottom w:w="57" w:type="dxa"/>
              <w:right w:w="57" w:type="dxa"/>
            </w:tcMar>
            <w:vAlign w:val="center"/>
          </w:tcPr>
          <w:p w14:paraId="18EB3C7F">
            <w:pPr>
              <w:pStyle w:val="23"/>
              <w:jc w:val="center"/>
            </w:pPr>
          </w:p>
        </w:tc>
        <w:tc>
          <w:tcPr>
            <w:tcW w:w="2640" w:type="pct"/>
            <w:tcBorders>
              <w:tl2br w:val="nil"/>
              <w:tr2bl w:val="nil"/>
            </w:tcBorders>
            <w:tcMar>
              <w:top w:w="57" w:type="dxa"/>
              <w:left w:w="57" w:type="dxa"/>
              <w:bottom w:w="57" w:type="dxa"/>
              <w:right w:w="57" w:type="dxa"/>
            </w:tcMar>
            <w:vAlign w:val="center"/>
          </w:tcPr>
          <w:p w14:paraId="137C80CC">
            <w:pPr>
              <w:pStyle w:val="23"/>
            </w:pPr>
            <w:r>
              <w:rPr>
                <w:rFonts w:hint="eastAsia"/>
              </w:rPr>
              <w:t>对在本区新落户的外资企业，当年实际到资500万美元以上或等值外币的（含本数，以外管FDI为依据），按照外资实际到资的4%—6%（含区级1%）给予一次性奖励，最高不超过1100万元（含区级100万元）人民币。</w:t>
            </w:r>
          </w:p>
        </w:tc>
        <w:tc>
          <w:tcPr>
            <w:tcW w:w="1356" w:type="pct"/>
            <w:vMerge w:val="continue"/>
            <w:tcBorders>
              <w:tl2br w:val="nil"/>
              <w:tr2bl w:val="nil"/>
            </w:tcBorders>
            <w:tcMar>
              <w:top w:w="57" w:type="dxa"/>
              <w:left w:w="57" w:type="dxa"/>
              <w:bottom w:w="57" w:type="dxa"/>
              <w:right w:w="57" w:type="dxa"/>
            </w:tcMar>
            <w:vAlign w:val="center"/>
          </w:tcPr>
          <w:p w14:paraId="2A65CF7A">
            <w:pPr>
              <w:pStyle w:val="23"/>
            </w:pPr>
          </w:p>
        </w:tc>
      </w:tr>
      <w:tr w14:paraId="4157D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418" w:type="pct"/>
            <w:vMerge w:val="continue"/>
            <w:tcBorders>
              <w:tl2br w:val="nil"/>
              <w:tr2bl w:val="nil"/>
            </w:tcBorders>
            <w:tcMar>
              <w:top w:w="57" w:type="dxa"/>
              <w:left w:w="57" w:type="dxa"/>
              <w:bottom w:w="57" w:type="dxa"/>
              <w:right w:w="57" w:type="dxa"/>
            </w:tcMar>
            <w:vAlign w:val="center"/>
          </w:tcPr>
          <w:p w14:paraId="77D50736">
            <w:pPr>
              <w:pStyle w:val="23"/>
              <w:jc w:val="center"/>
            </w:pPr>
          </w:p>
        </w:tc>
        <w:tc>
          <w:tcPr>
            <w:tcW w:w="266" w:type="pct"/>
            <w:tcBorders>
              <w:tl2br w:val="nil"/>
              <w:tr2bl w:val="nil"/>
            </w:tcBorders>
            <w:tcMar>
              <w:top w:w="57" w:type="dxa"/>
              <w:left w:w="57" w:type="dxa"/>
              <w:bottom w:w="57" w:type="dxa"/>
              <w:right w:w="57" w:type="dxa"/>
            </w:tcMar>
            <w:vAlign w:val="center"/>
          </w:tcPr>
          <w:p w14:paraId="4282A24C">
            <w:pPr>
              <w:pStyle w:val="23"/>
              <w:jc w:val="center"/>
            </w:pPr>
            <w:r>
              <w:rPr>
                <w:rFonts w:hint="eastAsia"/>
              </w:rPr>
              <w:t>15</w:t>
            </w:r>
          </w:p>
        </w:tc>
        <w:tc>
          <w:tcPr>
            <w:tcW w:w="318" w:type="pct"/>
            <w:vMerge w:val="continue"/>
            <w:tcBorders>
              <w:tl2br w:val="nil"/>
              <w:tr2bl w:val="nil"/>
            </w:tcBorders>
            <w:tcMar>
              <w:top w:w="57" w:type="dxa"/>
              <w:left w:w="57" w:type="dxa"/>
              <w:bottom w:w="57" w:type="dxa"/>
              <w:right w:w="57" w:type="dxa"/>
            </w:tcMar>
            <w:vAlign w:val="center"/>
          </w:tcPr>
          <w:p w14:paraId="289904DE">
            <w:pPr>
              <w:pStyle w:val="23"/>
              <w:jc w:val="center"/>
            </w:pPr>
          </w:p>
        </w:tc>
        <w:tc>
          <w:tcPr>
            <w:tcW w:w="2640" w:type="pct"/>
            <w:tcBorders>
              <w:tl2br w:val="nil"/>
              <w:tr2bl w:val="nil"/>
            </w:tcBorders>
            <w:tcMar>
              <w:top w:w="57" w:type="dxa"/>
              <w:left w:w="57" w:type="dxa"/>
              <w:bottom w:w="57" w:type="dxa"/>
              <w:right w:w="57" w:type="dxa"/>
            </w:tcMar>
            <w:vAlign w:val="center"/>
          </w:tcPr>
          <w:p w14:paraId="115C8886">
            <w:pPr>
              <w:pStyle w:val="23"/>
            </w:pPr>
            <w:r>
              <w:rPr>
                <w:rFonts w:hint="eastAsia"/>
              </w:rPr>
              <w:t>鼓励企业在我区设立总部机构，总部企业租用、购置、新建办公用房的，按同地段租金平均价格的55%（其中区级5%）标准给予补助；在5年内对综合型总部企业单项奖励累计不超过220万元（其中区级20万元），对功能型总部企业单项奖励累计不超过110万元（其中区级10万元）。对世界500强设立综合型总部企业的一次性补助330万元（其中区级30万元），设立功能型总部企业的一次性补助220万元（其中区级20万元）。</w:t>
            </w:r>
          </w:p>
        </w:tc>
        <w:tc>
          <w:tcPr>
            <w:tcW w:w="1356" w:type="pct"/>
            <w:vMerge w:val="continue"/>
            <w:tcBorders>
              <w:tl2br w:val="nil"/>
              <w:tr2bl w:val="nil"/>
            </w:tcBorders>
            <w:tcMar>
              <w:top w:w="57" w:type="dxa"/>
              <w:left w:w="57" w:type="dxa"/>
              <w:bottom w:w="57" w:type="dxa"/>
              <w:right w:w="57" w:type="dxa"/>
            </w:tcMar>
            <w:vAlign w:val="center"/>
          </w:tcPr>
          <w:p w14:paraId="25EE4849">
            <w:pPr>
              <w:pStyle w:val="23"/>
            </w:pPr>
          </w:p>
        </w:tc>
      </w:tr>
      <w:tr w14:paraId="5D0DF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418" w:type="pct"/>
            <w:vMerge w:val="continue"/>
            <w:tcBorders>
              <w:tl2br w:val="nil"/>
              <w:tr2bl w:val="nil"/>
            </w:tcBorders>
            <w:tcMar>
              <w:top w:w="57" w:type="dxa"/>
              <w:left w:w="57" w:type="dxa"/>
              <w:bottom w:w="57" w:type="dxa"/>
              <w:right w:w="57" w:type="dxa"/>
            </w:tcMar>
            <w:vAlign w:val="center"/>
          </w:tcPr>
          <w:p w14:paraId="61CF1512">
            <w:pPr>
              <w:pStyle w:val="23"/>
              <w:jc w:val="center"/>
            </w:pPr>
          </w:p>
        </w:tc>
        <w:tc>
          <w:tcPr>
            <w:tcW w:w="266" w:type="pct"/>
            <w:tcBorders>
              <w:tl2br w:val="nil"/>
              <w:tr2bl w:val="nil"/>
            </w:tcBorders>
            <w:tcMar>
              <w:top w:w="57" w:type="dxa"/>
              <w:left w:w="57" w:type="dxa"/>
              <w:bottom w:w="57" w:type="dxa"/>
              <w:right w:w="57" w:type="dxa"/>
            </w:tcMar>
            <w:vAlign w:val="center"/>
          </w:tcPr>
          <w:p w14:paraId="60684DAC">
            <w:pPr>
              <w:pStyle w:val="23"/>
              <w:jc w:val="center"/>
            </w:pPr>
            <w:r>
              <w:rPr>
                <w:rFonts w:hint="eastAsia"/>
              </w:rPr>
              <w:t>16</w:t>
            </w:r>
          </w:p>
        </w:tc>
        <w:tc>
          <w:tcPr>
            <w:tcW w:w="318" w:type="pct"/>
            <w:vMerge w:val="continue"/>
            <w:tcBorders>
              <w:tl2br w:val="nil"/>
              <w:tr2bl w:val="nil"/>
            </w:tcBorders>
            <w:tcMar>
              <w:top w:w="57" w:type="dxa"/>
              <w:left w:w="57" w:type="dxa"/>
              <w:bottom w:w="57" w:type="dxa"/>
              <w:right w:w="57" w:type="dxa"/>
            </w:tcMar>
            <w:vAlign w:val="center"/>
          </w:tcPr>
          <w:p w14:paraId="1C789C2C">
            <w:pPr>
              <w:pStyle w:val="23"/>
              <w:jc w:val="center"/>
            </w:pPr>
          </w:p>
        </w:tc>
        <w:tc>
          <w:tcPr>
            <w:tcW w:w="2640" w:type="pct"/>
            <w:tcBorders>
              <w:tl2br w:val="nil"/>
              <w:tr2bl w:val="nil"/>
            </w:tcBorders>
            <w:tcMar>
              <w:top w:w="57" w:type="dxa"/>
              <w:left w:w="57" w:type="dxa"/>
              <w:bottom w:w="57" w:type="dxa"/>
              <w:right w:w="57" w:type="dxa"/>
            </w:tcMar>
            <w:vAlign w:val="center"/>
          </w:tcPr>
          <w:p w14:paraId="5A0C11E9">
            <w:pPr>
              <w:pStyle w:val="23"/>
            </w:pPr>
            <w:r>
              <w:rPr>
                <w:rFonts w:hint="eastAsia"/>
              </w:rPr>
              <w:t>对新认定的国家级、省级、市级科技企业孵化器、众创空间分别给予55万元（含区级5万元）、22万元（含区级2万元）、11万元奖励（含区级1万元）。对市级科技企业孵化器、众创空间每2年考核一次，考核优秀的给予22万元奖励（含区级2万元）。对从外地转入的上述平台参照新建平台予以支持。</w:t>
            </w:r>
          </w:p>
        </w:tc>
        <w:tc>
          <w:tcPr>
            <w:tcW w:w="1356" w:type="pct"/>
            <w:vMerge w:val="continue"/>
            <w:tcBorders>
              <w:tl2br w:val="nil"/>
              <w:tr2bl w:val="nil"/>
            </w:tcBorders>
            <w:tcMar>
              <w:top w:w="57" w:type="dxa"/>
              <w:left w:w="57" w:type="dxa"/>
              <w:bottom w:w="57" w:type="dxa"/>
              <w:right w:w="57" w:type="dxa"/>
            </w:tcMar>
            <w:vAlign w:val="center"/>
          </w:tcPr>
          <w:p w14:paraId="1C17EDE4">
            <w:pPr>
              <w:pStyle w:val="23"/>
            </w:pPr>
          </w:p>
        </w:tc>
      </w:tr>
      <w:tr w14:paraId="127BD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418" w:type="pct"/>
            <w:vMerge w:val="continue"/>
            <w:tcBorders>
              <w:tl2br w:val="nil"/>
              <w:tr2bl w:val="nil"/>
            </w:tcBorders>
            <w:tcMar>
              <w:top w:w="57" w:type="dxa"/>
              <w:left w:w="57" w:type="dxa"/>
              <w:bottom w:w="57" w:type="dxa"/>
              <w:right w:w="57" w:type="dxa"/>
            </w:tcMar>
            <w:vAlign w:val="center"/>
          </w:tcPr>
          <w:p w14:paraId="7C39D87A">
            <w:pPr>
              <w:pStyle w:val="23"/>
              <w:jc w:val="center"/>
            </w:pPr>
          </w:p>
        </w:tc>
        <w:tc>
          <w:tcPr>
            <w:tcW w:w="266" w:type="pct"/>
            <w:tcBorders>
              <w:tl2br w:val="nil"/>
              <w:tr2bl w:val="nil"/>
            </w:tcBorders>
            <w:tcMar>
              <w:top w:w="57" w:type="dxa"/>
              <w:left w:w="57" w:type="dxa"/>
              <w:bottom w:w="57" w:type="dxa"/>
              <w:right w:w="57" w:type="dxa"/>
            </w:tcMar>
            <w:vAlign w:val="center"/>
          </w:tcPr>
          <w:p w14:paraId="5232C94A">
            <w:pPr>
              <w:pStyle w:val="23"/>
              <w:jc w:val="center"/>
            </w:pPr>
            <w:r>
              <w:rPr>
                <w:rFonts w:hint="eastAsia"/>
              </w:rPr>
              <w:t>17</w:t>
            </w:r>
          </w:p>
        </w:tc>
        <w:tc>
          <w:tcPr>
            <w:tcW w:w="318" w:type="pct"/>
            <w:vMerge w:val="continue"/>
            <w:tcBorders>
              <w:tl2br w:val="nil"/>
              <w:tr2bl w:val="nil"/>
            </w:tcBorders>
            <w:tcMar>
              <w:top w:w="57" w:type="dxa"/>
              <w:left w:w="57" w:type="dxa"/>
              <w:bottom w:w="57" w:type="dxa"/>
              <w:right w:w="57" w:type="dxa"/>
            </w:tcMar>
            <w:vAlign w:val="center"/>
          </w:tcPr>
          <w:p w14:paraId="0160F739">
            <w:pPr>
              <w:pStyle w:val="23"/>
              <w:jc w:val="center"/>
            </w:pPr>
          </w:p>
        </w:tc>
        <w:tc>
          <w:tcPr>
            <w:tcW w:w="2640" w:type="pct"/>
            <w:tcBorders>
              <w:tl2br w:val="nil"/>
              <w:tr2bl w:val="nil"/>
            </w:tcBorders>
            <w:tcMar>
              <w:top w:w="57" w:type="dxa"/>
              <w:left w:w="57" w:type="dxa"/>
              <w:bottom w:w="57" w:type="dxa"/>
              <w:right w:w="57" w:type="dxa"/>
            </w:tcMar>
            <w:vAlign w:val="center"/>
          </w:tcPr>
          <w:p w14:paraId="7FF9094A">
            <w:pPr>
              <w:pStyle w:val="23"/>
            </w:pPr>
            <w:r>
              <w:rPr>
                <w:rFonts w:hint="eastAsia"/>
              </w:rPr>
              <w:t>对新认定的省级科技成果转化中试研究基地给予22万元奖励（含区级2万元），将企业建设中试基地纳入企业技术改造项目支持范围。</w:t>
            </w:r>
          </w:p>
        </w:tc>
        <w:tc>
          <w:tcPr>
            <w:tcW w:w="1356" w:type="pct"/>
            <w:vMerge w:val="continue"/>
            <w:tcBorders>
              <w:tl2br w:val="nil"/>
              <w:tr2bl w:val="nil"/>
            </w:tcBorders>
            <w:tcMar>
              <w:top w:w="57" w:type="dxa"/>
              <w:left w:w="57" w:type="dxa"/>
              <w:bottom w:w="57" w:type="dxa"/>
              <w:right w:w="57" w:type="dxa"/>
            </w:tcMar>
            <w:vAlign w:val="center"/>
          </w:tcPr>
          <w:p w14:paraId="0FE655F2">
            <w:pPr>
              <w:pStyle w:val="23"/>
            </w:pPr>
          </w:p>
        </w:tc>
      </w:tr>
      <w:tr w14:paraId="49CB7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418" w:type="pct"/>
            <w:vMerge w:val="continue"/>
            <w:tcBorders>
              <w:tl2br w:val="nil"/>
              <w:tr2bl w:val="nil"/>
            </w:tcBorders>
            <w:tcMar>
              <w:top w:w="57" w:type="dxa"/>
              <w:left w:w="57" w:type="dxa"/>
              <w:bottom w:w="57" w:type="dxa"/>
              <w:right w:w="57" w:type="dxa"/>
            </w:tcMar>
            <w:vAlign w:val="center"/>
          </w:tcPr>
          <w:p w14:paraId="3548B911">
            <w:pPr>
              <w:pStyle w:val="23"/>
              <w:jc w:val="center"/>
            </w:pPr>
          </w:p>
        </w:tc>
        <w:tc>
          <w:tcPr>
            <w:tcW w:w="266" w:type="pct"/>
            <w:tcBorders>
              <w:tl2br w:val="nil"/>
              <w:tr2bl w:val="nil"/>
            </w:tcBorders>
            <w:tcMar>
              <w:top w:w="57" w:type="dxa"/>
              <w:left w:w="57" w:type="dxa"/>
              <w:bottom w:w="57" w:type="dxa"/>
              <w:right w:w="57" w:type="dxa"/>
            </w:tcMar>
            <w:vAlign w:val="center"/>
          </w:tcPr>
          <w:p w14:paraId="41F0A475">
            <w:pPr>
              <w:pStyle w:val="23"/>
              <w:jc w:val="center"/>
            </w:pPr>
            <w:r>
              <w:rPr>
                <w:rFonts w:hint="eastAsia"/>
              </w:rPr>
              <w:t>18</w:t>
            </w:r>
          </w:p>
        </w:tc>
        <w:tc>
          <w:tcPr>
            <w:tcW w:w="318" w:type="pct"/>
            <w:vMerge w:val="continue"/>
            <w:tcBorders>
              <w:tl2br w:val="nil"/>
              <w:tr2bl w:val="nil"/>
            </w:tcBorders>
            <w:tcMar>
              <w:top w:w="57" w:type="dxa"/>
              <w:left w:w="57" w:type="dxa"/>
              <w:bottom w:w="57" w:type="dxa"/>
              <w:right w:w="57" w:type="dxa"/>
            </w:tcMar>
            <w:vAlign w:val="center"/>
          </w:tcPr>
          <w:p w14:paraId="47E1E9D4">
            <w:pPr>
              <w:pStyle w:val="23"/>
              <w:jc w:val="center"/>
            </w:pPr>
          </w:p>
        </w:tc>
        <w:tc>
          <w:tcPr>
            <w:tcW w:w="2640" w:type="pct"/>
            <w:tcBorders>
              <w:tl2br w:val="nil"/>
              <w:tr2bl w:val="nil"/>
            </w:tcBorders>
            <w:tcMar>
              <w:top w:w="57" w:type="dxa"/>
              <w:left w:w="57" w:type="dxa"/>
              <w:bottom w:w="57" w:type="dxa"/>
              <w:right w:w="57" w:type="dxa"/>
            </w:tcMar>
            <w:vAlign w:val="center"/>
          </w:tcPr>
          <w:p w14:paraId="40D4553D">
            <w:pPr>
              <w:pStyle w:val="23"/>
            </w:pPr>
            <w:r>
              <w:rPr>
                <w:rFonts w:hint="eastAsia"/>
              </w:rPr>
              <w:t>每登记1项省级科技成果奖励1.2万元（含区级0.2万元），对每个单位奖励最高不超过10万元。</w:t>
            </w:r>
          </w:p>
        </w:tc>
        <w:tc>
          <w:tcPr>
            <w:tcW w:w="1356" w:type="pct"/>
            <w:vMerge w:val="continue"/>
            <w:tcBorders>
              <w:tl2br w:val="nil"/>
              <w:tr2bl w:val="nil"/>
            </w:tcBorders>
            <w:tcMar>
              <w:top w:w="57" w:type="dxa"/>
              <w:left w:w="57" w:type="dxa"/>
              <w:bottom w:w="57" w:type="dxa"/>
              <w:right w:w="57" w:type="dxa"/>
            </w:tcMar>
            <w:vAlign w:val="center"/>
          </w:tcPr>
          <w:p w14:paraId="2CD6DC3A">
            <w:pPr>
              <w:pStyle w:val="23"/>
            </w:pPr>
          </w:p>
        </w:tc>
      </w:tr>
      <w:tr w14:paraId="7D1D7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418" w:type="pct"/>
            <w:vMerge w:val="continue"/>
            <w:tcBorders>
              <w:tl2br w:val="nil"/>
              <w:tr2bl w:val="nil"/>
            </w:tcBorders>
            <w:tcMar>
              <w:top w:w="57" w:type="dxa"/>
              <w:left w:w="57" w:type="dxa"/>
              <w:bottom w:w="57" w:type="dxa"/>
              <w:right w:w="57" w:type="dxa"/>
            </w:tcMar>
            <w:vAlign w:val="center"/>
          </w:tcPr>
          <w:p w14:paraId="1DFF55EC">
            <w:pPr>
              <w:pStyle w:val="23"/>
              <w:jc w:val="center"/>
            </w:pPr>
          </w:p>
        </w:tc>
        <w:tc>
          <w:tcPr>
            <w:tcW w:w="266" w:type="pct"/>
            <w:tcBorders>
              <w:tl2br w:val="nil"/>
              <w:tr2bl w:val="nil"/>
            </w:tcBorders>
            <w:tcMar>
              <w:top w:w="57" w:type="dxa"/>
              <w:left w:w="57" w:type="dxa"/>
              <w:bottom w:w="57" w:type="dxa"/>
              <w:right w:w="57" w:type="dxa"/>
            </w:tcMar>
            <w:vAlign w:val="center"/>
          </w:tcPr>
          <w:p w14:paraId="678FFF18">
            <w:pPr>
              <w:pStyle w:val="23"/>
              <w:jc w:val="center"/>
            </w:pPr>
            <w:r>
              <w:rPr>
                <w:rFonts w:hint="eastAsia"/>
              </w:rPr>
              <w:t>19</w:t>
            </w:r>
          </w:p>
        </w:tc>
        <w:tc>
          <w:tcPr>
            <w:tcW w:w="318" w:type="pct"/>
            <w:vMerge w:val="continue"/>
            <w:tcBorders>
              <w:tl2br w:val="nil"/>
              <w:tr2bl w:val="nil"/>
            </w:tcBorders>
            <w:tcMar>
              <w:top w:w="57" w:type="dxa"/>
              <w:left w:w="57" w:type="dxa"/>
              <w:bottom w:w="57" w:type="dxa"/>
              <w:right w:w="57" w:type="dxa"/>
            </w:tcMar>
            <w:vAlign w:val="center"/>
          </w:tcPr>
          <w:p w14:paraId="1A3A3D0C">
            <w:pPr>
              <w:pStyle w:val="23"/>
              <w:jc w:val="center"/>
            </w:pPr>
          </w:p>
        </w:tc>
        <w:tc>
          <w:tcPr>
            <w:tcW w:w="2640" w:type="pct"/>
            <w:tcBorders>
              <w:tl2br w:val="nil"/>
              <w:tr2bl w:val="nil"/>
            </w:tcBorders>
            <w:tcMar>
              <w:top w:w="57" w:type="dxa"/>
              <w:left w:w="57" w:type="dxa"/>
              <w:bottom w:w="57" w:type="dxa"/>
              <w:right w:w="57" w:type="dxa"/>
            </w:tcMar>
            <w:vAlign w:val="center"/>
          </w:tcPr>
          <w:p w14:paraId="4744BC77">
            <w:pPr>
              <w:pStyle w:val="23"/>
            </w:pPr>
            <w:r>
              <w:rPr>
                <w:rFonts w:hint="eastAsia"/>
              </w:rPr>
              <w:t>对技术合同认定登记额在1亿元以上的登记机构，按技术合同认定登记总额的0.01%给予补贴，最高不超过20万元（含区级10万元）。</w:t>
            </w:r>
          </w:p>
        </w:tc>
        <w:tc>
          <w:tcPr>
            <w:tcW w:w="1356" w:type="pct"/>
            <w:vMerge w:val="continue"/>
            <w:tcBorders>
              <w:tl2br w:val="nil"/>
              <w:tr2bl w:val="nil"/>
            </w:tcBorders>
            <w:tcMar>
              <w:top w:w="57" w:type="dxa"/>
              <w:left w:w="57" w:type="dxa"/>
              <w:bottom w:w="57" w:type="dxa"/>
              <w:right w:w="57" w:type="dxa"/>
            </w:tcMar>
            <w:vAlign w:val="center"/>
          </w:tcPr>
          <w:p w14:paraId="32FF0988">
            <w:pPr>
              <w:pStyle w:val="23"/>
            </w:pPr>
          </w:p>
        </w:tc>
      </w:tr>
      <w:tr w14:paraId="4ABA7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418" w:type="pct"/>
            <w:vMerge w:val="continue"/>
            <w:tcBorders>
              <w:tl2br w:val="nil"/>
              <w:tr2bl w:val="nil"/>
            </w:tcBorders>
            <w:tcMar>
              <w:top w:w="57" w:type="dxa"/>
              <w:left w:w="57" w:type="dxa"/>
              <w:bottom w:w="57" w:type="dxa"/>
              <w:right w:w="57" w:type="dxa"/>
            </w:tcMar>
            <w:vAlign w:val="center"/>
          </w:tcPr>
          <w:p w14:paraId="6EE7CCE7">
            <w:pPr>
              <w:pStyle w:val="23"/>
              <w:jc w:val="center"/>
            </w:pPr>
          </w:p>
        </w:tc>
        <w:tc>
          <w:tcPr>
            <w:tcW w:w="266" w:type="pct"/>
            <w:tcBorders>
              <w:tl2br w:val="nil"/>
              <w:tr2bl w:val="nil"/>
            </w:tcBorders>
            <w:tcMar>
              <w:top w:w="57" w:type="dxa"/>
              <w:left w:w="57" w:type="dxa"/>
              <w:bottom w:w="57" w:type="dxa"/>
              <w:right w:w="57" w:type="dxa"/>
            </w:tcMar>
            <w:vAlign w:val="center"/>
          </w:tcPr>
          <w:p w14:paraId="4DACAA3C">
            <w:pPr>
              <w:pStyle w:val="23"/>
              <w:jc w:val="center"/>
            </w:pPr>
            <w:r>
              <w:rPr>
                <w:rFonts w:hint="eastAsia"/>
              </w:rPr>
              <w:t>20</w:t>
            </w:r>
          </w:p>
        </w:tc>
        <w:tc>
          <w:tcPr>
            <w:tcW w:w="318" w:type="pct"/>
            <w:vMerge w:val="continue"/>
            <w:tcBorders>
              <w:tl2br w:val="nil"/>
              <w:tr2bl w:val="nil"/>
            </w:tcBorders>
            <w:tcMar>
              <w:top w:w="57" w:type="dxa"/>
              <w:left w:w="57" w:type="dxa"/>
              <w:bottom w:w="57" w:type="dxa"/>
              <w:right w:w="57" w:type="dxa"/>
            </w:tcMar>
            <w:vAlign w:val="center"/>
          </w:tcPr>
          <w:p w14:paraId="740BA46C">
            <w:pPr>
              <w:pStyle w:val="23"/>
              <w:jc w:val="center"/>
            </w:pPr>
          </w:p>
        </w:tc>
        <w:tc>
          <w:tcPr>
            <w:tcW w:w="2640" w:type="pct"/>
            <w:tcBorders>
              <w:tl2br w:val="nil"/>
              <w:tr2bl w:val="nil"/>
            </w:tcBorders>
            <w:tcMar>
              <w:top w:w="57" w:type="dxa"/>
              <w:left w:w="57" w:type="dxa"/>
              <w:bottom w:w="57" w:type="dxa"/>
              <w:right w:w="57" w:type="dxa"/>
            </w:tcMar>
            <w:vAlign w:val="center"/>
          </w:tcPr>
          <w:p w14:paraId="7DAFC143">
            <w:pPr>
              <w:pStyle w:val="23"/>
            </w:pPr>
            <w:r>
              <w:rPr>
                <w:rFonts w:hint="eastAsia"/>
              </w:rPr>
              <w:t>对独立或牵头获得国家科学技术奖励的单位或个人给予配套奖励。对当年度获得国家最高科学技术奖的个人，给予1100万元（含区级100万元）配套奖励。对当年度获得国家自然科学奖、国家技术发明奖、国家科学技术进步奖的单位或团队，按特等奖、一等奖、二等奖分别给予165万元（含区级15万元）、55万元（含区级5万元）、33万元（含区级3万元）配套奖励。</w:t>
            </w:r>
          </w:p>
        </w:tc>
        <w:tc>
          <w:tcPr>
            <w:tcW w:w="1356" w:type="pct"/>
            <w:vMerge w:val="continue"/>
            <w:tcBorders>
              <w:tl2br w:val="nil"/>
              <w:tr2bl w:val="nil"/>
            </w:tcBorders>
            <w:tcMar>
              <w:top w:w="57" w:type="dxa"/>
              <w:left w:w="57" w:type="dxa"/>
              <w:bottom w:w="57" w:type="dxa"/>
              <w:right w:w="57" w:type="dxa"/>
            </w:tcMar>
            <w:vAlign w:val="center"/>
          </w:tcPr>
          <w:p w14:paraId="5A961542">
            <w:pPr>
              <w:pStyle w:val="23"/>
            </w:pPr>
          </w:p>
        </w:tc>
      </w:tr>
      <w:tr w14:paraId="1A658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418" w:type="pct"/>
            <w:vMerge w:val="continue"/>
            <w:tcBorders>
              <w:tl2br w:val="nil"/>
              <w:tr2bl w:val="nil"/>
            </w:tcBorders>
            <w:tcMar>
              <w:top w:w="57" w:type="dxa"/>
              <w:left w:w="57" w:type="dxa"/>
              <w:bottom w:w="57" w:type="dxa"/>
              <w:right w:w="57" w:type="dxa"/>
            </w:tcMar>
            <w:vAlign w:val="center"/>
          </w:tcPr>
          <w:p w14:paraId="6D862A8F">
            <w:pPr>
              <w:pStyle w:val="23"/>
              <w:jc w:val="center"/>
            </w:pPr>
          </w:p>
        </w:tc>
        <w:tc>
          <w:tcPr>
            <w:tcW w:w="266" w:type="pct"/>
            <w:tcBorders>
              <w:tl2br w:val="nil"/>
              <w:tr2bl w:val="nil"/>
            </w:tcBorders>
            <w:tcMar>
              <w:top w:w="57" w:type="dxa"/>
              <w:left w:w="57" w:type="dxa"/>
              <w:bottom w:w="57" w:type="dxa"/>
              <w:right w:w="57" w:type="dxa"/>
            </w:tcMar>
            <w:vAlign w:val="center"/>
          </w:tcPr>
          <w:p w14:paraId="4F1B91BB">
            <w:pPr>
              <w:pStyle w:val="23"/>
              <w:jc w:val="center"/>
            </w:pPr>
            <w:r>
              <w:rPr>
                <w:rFonts w:hint="eastAsia"/>
              </w:rPr>
              <w:t>21</w:t>
            </w:r>
          </w:p>
        </w:tc>
        <w:tc>
          <w:tcPr>
            <w:tcW w:w="318" w:type="pct"/>
            <w:vMerge w:val="continue"/>
            <w:tcBorders>
              <w:tl2br w:val="nil"/>
              <w:tr2bl w:val="nil"/>
            </w:tcBorders>
            <w:tcMar>
              <w:top w:w="57" w:type="dxa"/>
              <w:left w:w="57" w:type="dxa"/>
              <w:bottom w:w="57" w:type="dxa"/>
              <w:right w:w="57" w:type="dxa"/>
            </w:tcMar>
            <w:vAlign w:val="center"/>
          </w:tcPr>
          <w:p w14:paraId="6FB28E6B">
            <w:pPr>
              <w:pStyle w:val="23"/>
              <w:jc w:val="center"/>
            </w:pPr>
          </w:p>
        </w:tc>
        <w:tc>
          <w:tcPr>
            <w:tcW w:w="2640" w:type="pct"/>
            <w:tcBorders>
              <w:tl2br w:val="nil"/>
              <w:tr2bl w:val="nil"/>
            </w:tcBorders>
            <w:tcMar>
              <w:top w:w="57" w:type="dxa"/>
              <w:left w:w="57" w:type="dxa"/>
              <w:bottom w:w="57" w:type="dxa"/>
              <w:right w:w="57" w:type="dxa"/>
            </w:tcMar>
            <w:vAlign w:val="center"/>
          </w:tcPr>
          <w:p w14:paraId="300E96C2">
            <w:pPr>
              <w:pStyle w:val="23"/>
            </w:pPr>
            <w:r>
              <w:rPr>
                <w:rFonts w:hint="eastAsia"/>
              </w:rPr>
              <w:t>对独立或牵头获得省级科学技术奖励的单位或个人给予配套奖励。对当年度获得湖北省科学技术突出贡献奖的个人，给予220万元（含区级20万元）配套奖励。对当年度获得湖北省自然科学奖、湖北省技术发明奖、湖北省科学技术进步奖、湖北省科学技术成果推广奖的单位或团队，按特等奖、一等奖、二等奖、三等奖分别给予110万元（含区级10万元）、33万元（含区级3万元）、22万元（含区级2万元）、11万元（含区级1万元）配套奖励。对获得湖北省科技型中小企业创新奖的企业奖励22万元（含区级2万元）。</w:t>
            </w:r>
          </w:p>
        </w:tc>
        <w:tc>
          <w:tcPr>
            <w:tcW w:w="1356" w:type="pct"/>
            <w:vMerge w:val="continue"/>
            <w:tcBorders>
              <w:tl2br w:val="nil"/>
              <w:tr2bl w:val="nil"/>
            </w:tcBorders>
            <w:tcMar>
              <w:top w:w="57" w:type="dxa"/>
              <w:left w:w="57" w:type="dxa"/>
              <w:bottom w:w="57" w:type="dxa"/>
              <w:right w:w="57" w:type="dxa"/>
            </w:tcMar>
            <w:vAlign w:val="center"/>
          </w:tcPr>
          <w:p w14:paraId="3ABA5BEE">
            <w:pPr>
              <w:pStyle w:val="23"/>
            </w:pPr>
          </w:p>
        </w:tc>
      </w:tr>
      <w:tr w14:paraId="07C83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418" w:type="pct"/>
            <w:vMerge w:val="continue"/>
            <w:tcBorders>
              <w:tl2br w:val="nil"/>
              <w:tr2bl w:val="nil"/>
            </w:tcBorders>
            <w:tcMar>
              <w:top w:w="57" w:type="dxa"/>
              <w:left w:w="57" w:type="dxa"/>
              <w:bottom w:w="57" w:type="dxa"/>
              <w:right w:w="57" w:type="dxa"/>
            </w:tcMar>
            <w:vAlign w:val="center"/>
          </w:tcPr>
          <w:p w14:paraId="454F6877">
            <w:pPr>
              <w:pStyle w:val="23"/>
              <w:jc w:val="center"/>
            </w:pPr>
          </w:p>
        </w:tc>
        <w:tc>
          <w:tcPr>
            <w:tcW w:w="266" w:type="pct"/>
            <w:tcBorders>
              <w:tl2br w:val="nil"/>
              <w:tr2bl w:val="nil"/>
            </w:tcBorders>
            <w:tcMar>
              <w:top w:w="57" w:type="dxa"/>
              <w:left w:w="57" w:type="dxa"/>
              <w:bottom w:w="57" w:type="dxa"/>
              <w:right w:w="57" w:type="dxa"/>
            </w:tcMar>
            <w:vAlign w:val="center"/>
          </w:tcPr>
          <w:p w14:paraId="12677041">
            <w:pPr>
              <w:pStyle w:val="23"/>
              <w:jc w:val="center"/>
            </w:pPr>
            <w:r>
              <w:rPr>
                <w:rFonts w:hint="eastAsia"/>
              </w:rPr>
              <w:t>22</w:t>
            </w:r>
          </w:p>
        </w:tc>
        <w:tc>
          <w:tcPr>
            <w:tcW w:w="318" w:type="pct"/>
            <w:vMerge w:val="continue"/>
            <w:tcBorders>
              <w:tl2br w:val="nil"/>
              <w:tr2bl w:val="nil"/>
            </w:tcBorders>
            <w:tcMar>
              <w:top w:w="57" w:type="dxa"/>
              <w:left w:w="57" w:type="dxa"/>
              <w:bottom w:w="57" w:type="dxa"/>
              <w:right w:w="57" w:type="dxa"/>
            </w:tcMar>
            <w:vAlign w:val="center"/>
          </w:tcPr>
          <w:p w14:paraId="254A2AFB">
            <w:pPr>
              <w:pStyle w:val="23"/>
              <w:jc w:val="center"/>
            </w:pPr>
          </w:p>
        </w:tc>
        <w:tc>
          <w:tcPr>
            <w:tcW w:w="2640" w:type="pct"/>
            <w:tcBorders>
              <w:tl2br w:val="nil"/>
              <w:tr2bl w:val="nil"/>
            </w:tcBorders>
            <w:tcMar>
              <w:top w:w="57" w:type="dxa"/>
              <w:left w:w="57" w:type="dxa"/>
              <w:bottom w:w="57" w:type="dxa"/>
              <w:right w:w="57" w:type="dxa"/>
            </w:tcMar>
            <w:vAlign w:val="center"/>
          </w:tcPr>
          <w:p w14:paraId="295FAFF5">
            <w:pPr>
              <w:pStyle w:val="23"/>
            </w:pPr>
            <w:r>
              <w:rPr>
                <w:rFonts w:hint="eastAsia"/>
              </w:rPr>
              <w:t>对新入选的国家级、省级农业科技园区分别给予110万元（含区级10万元）、55万元奖励（含区级5万元）。</w:t>
            </w:r>
          </w:p>
        </w:tc>
        <w:tc>
          <w:tcPr>
            <w:tcW w:w="1356" w:type="pct"/>
            <w:vMerge w:val="continue"/>
            <w:tcBorders>
              <w:tl2br w:val="nil"/>
              <w:tr2bl w:val="nil"/>
            </w:tcBorders>
            <w:tcMar>
              <w:top w:w="57" w:type="dxa"/>
              <w:left w:w="57" w:type="dxa"/>
              <w:bottom w:w="57" w:type="dxa"/>
              <w:right w:w="57" w:type="dxa"/>
            </w:tcMar>
            <w:vAlign w:val="center"/>
          </w:tcPr>
          <w:p w14:paraId="56EE1C80">
            <w:pPr>
              <w:pStyle w:val="23"/>
            </w:pPr>
          </w:p>
        </w:tc>
      </w:tr>
      <w:tr w14:paraId="2ECEF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418" w:type="pct"/>
            <w:vMerge w:val="continue"/>
            <w:tcBorders>
              <w:tl2br w:val="nil"/>
              <w:tr2bl w:val="nil"/>
            </w:tcBorders>
            <w:tcMar>
              <w:top w:w="57" w:type="dxa"/>
              <w:left w:w="57" w:type="dxa"/>
              <w:bottom w:w="57" w:type="dxa"/>
              <w:right w:w="57" w:type="dxa"/>
            </w:tcMar>
            <w:vAlign w:val="center"/>
          </w:tcPr>
          <w:p w14:paraId="2678A02F">
            <w:pPr>
              <w:pStyle w:val="23"/>
              <w:jc w:val="center"/>
            </w:pPr>
          </w:p>
        </w:tc>
        <w:tc>
          <w:tcPr>
            <w:tcW w:w="266" w:type="pct"/>
            <w:tcBorders>
              <w:tl2br w:val="nil"/>
              <w:tr2bl w:val="nil"/>
            </w:tcBorders>
            <w:tcMar>
              <w:top w:w="57" w:type="dxa"/>
              <w:left w:w="57" w:type="dxa"/>
              <w:bottom w:w="57" w:type="dxa"/>
              <w:right w:w="57" w:type="dxa"/>
            </w:tcMar>
            <w:vAlign w:val="center"/>
          </w:tcPr>
          <w:p w14:paraId="7CA5FAF2">
            <w:pPr>
              <w:pStyle w:val="23"/>
              <w:jc w:val="center"/>
            </w:pPr>
            <w:r>
              <w:rPr>
                <w:rFonts w:hint="eastAsia"/>
              </w:rPr>
              <w:t>23</w:t>
            </w:r>
          </w:p>
        </w:tc>
        <w:tc>
          <w:tcPr>
            <w:tcW w:w="318" w:type="pct"/>
            <w:vMerge w:val="continue"/>
            <w:tcBorders>
              <w:tl2br w:val="nil"/>
              <w:tr2bl w:val="nil"/>
            </w:tcBorders>
            <w:tcMar>
              <w:top w:w="57" w:type="dxa"/>
              <w:left w:w="57" w:type="dxa"/>
              <w:bottom w:w="57" w:type="dxa"/>
              <w:right w:w="57" w:type="dxa"/>
            </w:tcMar>
            <w:vAlign w:val="center"/>
          </w:tcPr>
          <w:p w14:paraId="069907E2">
            <w:pPr>
              <w:pStyle w:val="23"/>
              <w:jc w:val="center"/>
            </w:pPr>
          </w:p>
        </w:tc>
        <w:tc>
          <w:tcPr>
            <w:tcW w:w="2640" w:type="pct"/>
            <w:tcBorders>
              <w:tl2br w:val="nil"/>
              <w:tr2bl w:val="nil"/>
            </w:tcBorders>
            <w:tcMar>
              <w:top w:w="57" w:type="dxa"/>
              <w:left w:w="57" w:type="dxa"/>
              <w:bottom w:w="57" w:type="dxa"/>
              <w:right w:w="57" w:type="dxa"/>
            </w:tcMar>
            <w:vAlign w:val="center"/>
          </w:tcPr>
          <w:p w14:paraId="37D02738">
            <w:pPr>
              <w:pStyle w:val="23"/>
            </w:pPr>
            <w:r>
              <w:rPr>
                <w:rFonts w:hint="eastAsia"/>
              </w:rPr>
              <w:t>对新认定的国家级、省级、市级星创天地分别给予55万元（含区级5万元）、22万元（含区级2万元）、5.5万元（含区级0.5万元）补助。</w:t>
            </w:r>
          </w:p>
        </w:tc>
        <w:tc>
          <w:tcPr>
            <w:tcW w:w="1356" w:type="pct"/>
            <w:vMerge w:val="continue"/>
            <w:tcBorders>
              <w:tl2br w:val="nil"/>
              <w:tr2bl w:val="nil"/>
            </w:tcBorders>
            <w:tcMar>
              <w:top w:w="57" w:type="dxa"/>
              <w:left w:w="57" w:type="dxa"/>
              <w:bottom w:w="57" w:type="dxa"/>
              <w:right w:w="57" w:type="dxa"/>
            </w:tcMar>
            <w:vAlign w:val="center"/>
          </w:tcPr>
          <w:p w14:paraId="477D5913">
            <w:pPr>
              <w:pStyle w:val="23"/>
            </w:pPr>
          </w:p>
        </w:tc>
      </w:tr>
      <w:tr w14:paraId="7F051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0" w:hRule="atLeast"/>
        </w:trPr>
        <w:tc>
          <w:tcPr>
            <w:tcW w:w="418" w:type="pct"/>
            <w:vMerge w:val="continue"/>
            <w:tcBorders>
              <w:tl2br w:val="nil"/>
              <w:tr2bl w:val="nil"/>
            </w:tcBorders>
            <w:tcMar>
              <w:top w:w="57" w:type="dxa"/>
              <w:left w:w="57" w:type="dxa"/>
              <w:bottom w:w="57" w:type="dxa"/>
              <w:right w:w="57" w:type="dxa"/>
            </w:tcMar>
            <w:vAlign w:val="center"/>
          </w:tcPr>
          <w:p w14:paraId="55E1E748">
            <w:pPr>
              <w:pStyle w:val="23"/>
              <w:jc w:val="center"/>
            </w:pPr>
          </w:p>
        </w:tc>
        <w:tc>
          <w:tcPr>
            <w:tcW w:w="266" w:type="pct"/>
            <w:tcBorders>
              <w:tl2br w:val="nil"/>
              <w:tr2bl w:val="nil"/>
            </w:tcBorders>
            <w:tcMar>
              <w:top w:w="57" w:type="dxa"/>
              <w:left w:w="57" w:type="dxa"/>
              <w:bottom w:w="57" w:type="dxa"/>
              <w:right w:w="57" w:type="dxa"/>
            </w:tcMar>
            <w:vAlign w:val="center"/>
          </w:tcPr>
          <w:p w14:paraId="5672A5EC">
            <w:pPr>
              <w:pStyle w:val="23"/>
              <w:jc w:val="center"/>
            </w:pPr>
            <w:r>
              <w:rPr>
                <w:rFonts w:hint="eastAsia"/>
              </w:rPr>
              <w:t>24</w:t>
            </w:r>
          </w:p>
        </w:tc>
        <w:tc>
          <w:tcPr>
            <w:tcW w:w="318" w:type="pct"/>
            <w:vMerge w:val="continue"/>
            <w:tcBorders>
              <w:tl2br w:val="nil"/>
              <w:tr2bl w:val="nil"/>
            </w:tcBorders>
            <w:tcMar>
              <w:top w:w="57" w:type="dxa"/>
              <w:left w:w="57" w:type="dxa"/>
              <w:bottom w:w="57" w:type="dxa"/>
              <w:right w:w="57" w:type="dxa"/>
            </w:tcMar>
            <w:vAlign w:val="center"/>
          </w:tcPr>
          <w:p w14:paraId="075436BD">
            <w:pPr>
              <w:pStyle w:val="23"/>
              <w:jc w:val="center"/>
            </w:pPr>
          </w:p>
        </w:tc>
        <w:tc>
          <w:tcPr>
            <w:tcW w:w="2640" w:type="pct"/>
            <w:tcBorders>
              <w:tl2br w:val="nil"/>
              <w:tr2bl w:val="nil"/>
            </w:tcBorders>
            <w:tcMar>
              <w:top w:w="57" w:type="dxa"/>
              <w:left w:w="57" w:type="dxa"/>
              <w:bottom w:w="57" w:type="dxa"/>
              <w:right w:w="57" w:type="dxa"/>
            </w:tcMar>
            <w:vAlign w:val="center"/>
          </w:tcPr>
          <w:p w14:paraId="44C4A8A2">
            <w:pPr>
              <w:pStyle w:val="23"/>
            </w:pPr>
            <w:r>
              <w:rPr>
                <w:rFonts w:hint="eastAsia"/>
              </w:rPr>
              <w:t>对新认定的省级乡村振兴科技创新示范基地给予22万元（含区级2万元）补助。</w:t>
            </w:r>
          </w:p>
        </w:tc>
        <w:tc>
          <w:tcPr>
            <w:tcW w:w="1356" w:type="pct"/>
            <w:vMerge w:val="continue"/>
            <w:tcBorders>
              <w:tl2br w:val="nil"/>
              <w:tr2bl w:val="nil"/>
            </w:tcBorders>
            <w:tcMar>
              <w:top w:w="57" w:type="dxa"/>
              <w:left w:w="57" w:type="dxa"/>
              <w:bottom w:w="57" w:type="dxa"/>
              <w:right w:w="57" w:type="dxa"/>
            </w:tcMar>
            <w:vAlign w:val="center"/>
          </w:tcPr>
          <w:p w14:paraId="47861CA1">
            <w:pPr>
              <w:pStyle w:val="23"/>
            </w:pPr>
          </w:p>
        </w:tc>
      </w:tr>
      <w:tr w14:paraId="0339A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0" w:hRule="atLeast"/>
        </w:trPr>
        <w:tc>
          <w:tcPr>
            <w:tcW w:w="418" w:type="pct"/>
            <w:vMerge w:val="continue"/>
            <w:tcBorders>
              <w:tl2br w:val="nil"/>
              <w:tr2bl w:val="nil"/>
            </w:tcBorders>
            <w:tcMar>
              <w:top w:w="57" w:type="dxa"/>
              <w:left w:w="57" w:type="dxa"/>
              <w:bottom w:w="57" w:type="dxa"/>
              <w:right w:w="57" w:type="dxa"/>
            </w:tcMar>
            <w:vAlign w:val="center"/>
          </w:tcPr>
          <w:p w14:paraId="00FB9474">
            <w:pPr>
              <w:pStyle w:val="23"/>
              <w:jc w:val="center"/>
            </w:pPr>
          </w:p>
        </w:tc>
        <w:tc>
          <w:tcPr>
            <w:tcW w:w="266" w:type="pct"/>
            <w:tcBorders>
              <w:tl2br w:val="nil"/>
              <w:tr2bl w:val="nil"/>
            </w:tcBorders>
            <w:tcMar>
              <w:top w:w="57" w:type="dxa"/>
              <w:left w:w="57" w:type="dxa"/>
              <w:bottom w:w="57" w:type="dxa"/>
              <w:right w:w="57" w:type="dxa"/>
            </w:tcMar>
            <w:vAlign w:val="center"/>
          </w:tcPr>
          <w:p w14:paraId="4E7ADE69">
            <w:pPr>
              <w:pStyle w:val="23"/>
              <w:jc w:val="center"/>
            </w:pPr>
            <w:r>
              <w:rPr>
                <w:rFonts w:hint="eastAsia"/>
              </w:rPr>
              <w:t>25</w:t>
            </w:r>
          </w:p>
        </w:tc>
        <w:tc>
          <w:tcPr>
            <w:tcW w:w="318" w:type="pct"/>
            <w:vMerge w:val="continue"/>
            <w:tcBorders>
              <w:tl2br w:val="nil"/>
              <w:tr2bl w:val="nil"/>
            </w:tcBorders>
            <w:tcMar>
              <w:top w:w="57" w:type="dxa"/>
              <w:left w:w="57" w:type="dxa"/>
              <w:bottom w:w="57" w:type="dxa"/>
              <w:right w:w="57" w:type="dxa"/>
            </w:tcMar>
            <w:vAlign w:val="center"/>
          </w:tcPr>
          <w:p w14:paraId="5AB34BCB">
            <w:pPr>
              <w:pStyle w:val="23"/>
              <w:jc w:val="center"/>
            </w:pPr>
          </w:p>
        </w:tc>
        <w:tc>
          <w:tcPr>
            <w:tcW w:w="2640" w:type="pct"/>
            <w:tcBorders>
              <w:tl2br w:val="nil"/>
              <w:tr2bl w:val="nil"/>
            </w:tcBorders>
            <w:tcMar>
              <w:top w:w="57" w:type="dxa"/>
              <w:left w:w="57" w:type="dxa"/>
              <w:bottom w:w="57" w:type="dxa"/>
              <w:right w:w="57" w:type="dxa"/>
            </w:tcMar>
            <w:vAlign w:val="center"/>
          </w:tcPr>
          <w:p w14:paraId="2B6F9466">
            <w:pPr>
              <w:pStyle w:val="23"/>
            </w:pPr>
            <w:r>
              <w:rPr>
                <w:rFonts w:hint="eastAsia"/>
              </w:rPr>
              <w:t>凡具有世界领先、国内一流高科技水平，经过了中试阶段，具有广阔市场前景、即将投产落户梧桐湖园区的科技创新、文化创意企业，除按相关规定享受省市区优惠政策外，在完成投资协议中约定的义务前提下，可免三年厂房租金，享受300元/㎡的厂房装修补贴优惠政策。对已经投产且合同期满的企业，开展尽职调查，若完成投资强度、亩产税收指标，继续按年度、进度提供厂房租赁补贴及相关配套政策。</w:t>
            </w:r>
          </w:p>
        </w:tc>
        <w:tc>
          <w:tcPr>
            <w:tcW w:w="1356" w:type="pct"/>
            <w:vMerge w:val="continue"/>
            <w:tcBorders>
              <w:tl2br w:val="nil"/>
              <w:tr2bl w:val="nil"/>
            </w:tcBorders>
            <w:tcMar>
              <w:top w:w="57" w:type="dxa"/>
              <w:left w:w="57" w:type="dxa"/>
              <w:bottom w:w="57" w:type="dxa"/>
              <w:right w:w="57" w:type="dxa"/>
            </w:tcMar>
            <w:vAlign w:val="center"/>
          </w:tcPr>
          <w:p w14:paraId="729CC4E0">
            <w:pPr>
              <w:pStyle w:val="23"/>
            </w:pPr>
          </w:p>
        </w:tc>
      </w:tr>
      <w:tr w14:paraId="22474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0" w:hRule="atLeast"/>
        </w:trPr>
        <w:tc>
          <w:tcPr>
            <w:tcW w:w="418" w:type="pct"/>
            <w:vMerge w:val="continue"/>
            <w:tcBorders>
              <w:tl2br w:val="nil"/>
              <w:tr2bl w:val="nil"/>
            </w:tcBorders>
            <w:tcMar>
              <w:top w:w="57" w:type="dxa"/>
              <w:left w:w="57" w:type="dxa"/>
              <w:bottom w:w="57" w:type="dxa"/>
              <w:right w:w="57" w:type="dxa"/>
            </w:tcMar>
            <w:vAlign w:val="center"/>
          </w:tcPr>
          <w:p w14:paraId="56781D50">
            <w:pPr>
              <w:pStyle w:val="23"/>
              <w:jc w:val="center"/>
            </w:pPr>
          </w:p>
        </w:tc>
        <w:tc>
          <w:tcPr>
            <w:tcW w:w="266" w:type="pct"/>
            <w:tcBorders>
              <w:tl2br w:val="nil"/>
              <w:tr2bl w:val="nil"/>
            </w:tcBorders>
            <w:tcMar>
              <w:top w:w="57" w:type="dxa"/>
              <w:left w:w="57" w:type="dxa"/>
              <w:bottom w:w="57" w:type="dxa"/>
              <w:right w:w="57" w:type="dxa"/>
            </w:tcMar>
            <w:vAlign w:val="center"/>
          </w:tcPr>
          <w:p w14:paraId="59096A05">
            <w:pPr>
              <w:pStyle w:val="23"/>
              <w:jc w:val="center"/>
            </w:pPr>
            <w:r>
              <w:rPr>
                <w:rFonts w:hint="eastAsia"/>
              </w:rPr>
              <w:t>26</w:t>
            </w:r>
          </w:p>
        </w:tc>
        <w:tc>
          <w:tcPr>
            <w:tcW w:w="318" w:type="pct"/>
            <w:vMerge w:val="continue"/>
            <w:tcBorders>
              <w:tl2br w:val="nil"/>
              <w:tr2bl w:val="nil"/>
            </w:tcBorders>
            <w:tcMar>
              <w:top w:w="57" w:type="dxa"/>
              <w:left w:w="57" w:type="dxa"/>
              <w:bottom w:w="57" w:type="dxa"/>
              <w:right w:w="57" w:type="dxa"/>
            </w:tcMar>
            <w:vAlign w:val="center"/>
          </w:tcPr>
          <w:p w14:paraId="59351822">
            <w:pPr>
              <w:pStyle w:val="23"/>
              <w:jc w:val="center"/>
            </w:pPr>
          </w:p>
        </w:tc>
        <w:tc>
          <w:tcPr>
            <w:tcW w:w="2640" w:type="pct"/>
            <w:tcBorders>
              <w:tl2br w:val="nil"/>
              <w:tr2bl w:val="nil"/>
            </w:tcBorders>
            <w:tcMar>
              <w:top w:w="57" w:type="dxa"/>
              <w:left w:w="57" w:type="dxa"/>
              <w:bottom w:w="57" w:type="dxa"/>
              <w:right w:w="57" w:type="dxa"/>
            </w:tcMar>
            <w:vAlign w:val="center"/>
          </w:tcPr>
          <w:p w14:paraId="64EBB3C8">
            <w:pPr>
              <w:pStyle w:val="23"/>
            </w:pPr>
            <w:r>
              <w:rPr>
                <w:rFonts w:hint="eastAsia"/>
              </w:rPr>
              <w:t>给予各类亿元项目“双入库”企业区级一次性2万元奖励。对新进规的工业企业一次性奖励30万元（含区级10万元）；复进规工业企业一次性奖励15万元（含区级5万元）；对月度新开业和年度“小进规”、“小进限”服务业企业一次性奖励10万元（含区级5万元）；新开业企业次年营业收入（销售额、营业额）贡献率进入全市行业前10名的企业，追加奖励4万元（含区级1万元）；对两年内营业收入、销售额首次超过1亿元的新入库服务业企业，一次性奖励11万元（含区级1万元）；超过10亿元的一次性奖励55万元（含区级5万元）；对“小进限”批零住餐个体单位当年奖励3万元（含区级2万元），在库稳定运行2年后追加奖励2万元（含区级1万元）。对营业收入在5000万元以上且实现集中收银并纳入服务业统计库的商业综合体，当年一次性奖励22万元（含区级2万元）。产业活动单位、个体工商户转型为独立法人单位并纳入统计库的，三年内分别按税务申报表营业收入总额的9％（含区级1%）给予补贴。</w:t>
            </w:r>
          </w:p>
        </w:tc>
        <w:tc>
          <w:tcPr>
            <w:tcW w:w="1356" w:type="pct"/>
            <w:vMerge w:val="continue"/>
            <w:tcBorders>
              <w:tl2br w:val="nil"/>
              <w:tr2bl w:val="nil"/>
            </w:tcBorders>
            <w:tcMar>
              <w:top w:w="57" w:type="dxa"/>
              <w:left w:w="57" w:type="dxa"/>
              <w:bottom w:w="57" w:type="dxa"/>
              <w:right w:w="57" w:type="dxa"/>
            </w:tcMar>
            <w:vAlign w:val="center"/>
          </w:tcPr>
          <w:p w14:paraId="415CDAEB">
            <w:pPr>
              <w:pStyle w:val="23"/>
            </w:pPr>
          </w:p>
        </w:tc>
      </w:tr>
      <w:tr w14:paraId="06560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0" w:hRule="atLeast"/>
        </w:trPr>
        <w:tc>
          <w:tcPr>
            <w:tcW w:w="418" w:type="pct"/>
            <w:vMerge w:val="continue"/>
            <w:tcBorders>
              <w:tl2br w:val="nil"/>
              <w:tr2bl w:val="nil"/>
            </w:tcBorders>
            <w:tcMar>
              <w:top w:w="57" w:type="dxa"/>
              <w:left w:w="57" w:type="dxa"/>
              <w:bottom w:w="57" w:type="dxa"/>
              <w:right w:w="57" w:type="dxa"/>
            </w:tcMar>
            <w:vAlign w:val="center"/>
          </w:tcPr>
          <w:p w14:paraId="2448F083">
            <w:pPr>
              <w:pStyle w:val="23"/>
              <w:jc w:val="center"/>
            </w:pPr>
          </w:p>
        </w:tc>
        <w:tc>
          <w:tcPr>
            <w:tcW w:w="266" w:type="pct"/>
            <w:tcBorders>
              <w:tl2br w:val="nil"/>
              <w:tr2bl w:val="nil"/>
            </w:tcBorders>
            <w:tcMar>
              <w:top w:w="57" w:type="dxa"/>
              <w:left w:w="57" w:type="dxa"/>
              <w:bottom w:w="57" w:type="dxa"/>
              <w:right w:w="57" w:type="dxa"/>
            </w:tcMar>
            <w:vAlign w:val="center"/>
          </w:tcPr>
          <w:p w14:paraId="1D3FA6F0">
            <w:pPr>
              <w:pStyle w:val="23"/>
              <w:jc w:val="center"/>
            </w:pPr>
            <w:r>
              <w:rPr>
                <w:rFonts w:hint="eastAsia"/>
              </w:rPr>
              <w:t>27</w:t>
            </w:r>
          </w:p>
        </w:tc>
        <w:tc>
          <w:tcPr>
            <w:tcW w:w="318" w:type="pct"/>
            <w:vMerge w:val="continue"/>
            <w:tcBorders>
              <w:tl2br w:val="nil"/>
              <w:tr2bl w:val="nil"/>
            </w:tcBorders>
            <w:tcMar>
              <w:top w:w="57" w:type="dxa"/>
              <w:left w:w="57" w:type="dxa"/>
              <w:bottom w:w="57" w:type="dxa"/>
              <w:right w:w="57" w:type="dxa"/>
            </w:tcMar>
            <w:vAlign w:val="center"/>
          </w:tcPr>
          <w:p w14:paraId="2DF3F465">
            <w:pPr>
              <w:pStyle w:val="23"/>
              <w:jc w:val="center"/>
            </w:pPr>
          </w:p>
        </w:tc>
        <w:tc>
          <w:tcPr>
            <w:tcW w:w="2640" w:type="pct"/>
            <w:tcBorders>
              <w:tl2br w:val="nil"/>
              <w:tr2bl w:val="nil"/>
            </w:tcBorders>
            <w:tcMar>
              <w:top w:w="57" w:type="dxa"/>
              <w:left w:w="57" w:type="dxa"/>
              <w:bottom w:w="57" w:type="dxa"/>
              <w:right w:w="57" w:type="dxa"/>
            </w:tcMar>
            <w:vAlign w:val="center"/>
          </w:tcPr>
          <w:p w14:paraId="02F38ACE">
            <w:pPr>
              <w:pStyle w:val="23"/>
            </w:pPr>
            <w:r>
              <w:rPr>
                <w:rFonts w:hint="eastAsia"/>
              </w:rPr>
              <w:t>对当年新增区级地方贡献额在1000万元及以上的实体企业（房地产业除外），按区级地方贡献额的80%给予奖励。</w:t>
            </w:r>
          </w:p>
        </w:tc>
        <w:tc>
          <w:tcPr>
            <w:tcW w:w="1356" w:type="pct"/>
            <w:vMerge w:val="continue"/>
            <w:tcBorders>
              <w:tl2br w:val="nil"/>
              <w:tr2bl w:val="nil"/>
            </w:tcBorders>
            <w:tcMar>
              <w:top w:w="57" w:type="dxa"/>
              <w:left w:w="57" w:type="dxa"/>
              <w:bottom w:w="57" w:type="dxa"/>
              <w:right w:w="57" w:type="dxa"/>
            </w:tcMar>
            <w:vAlign w:val="center"/>
          </w:tcPr>
          <w:p w14:paraId="5420B895">
            <w:pPr>
              <w:pStyle w:val="23"/>
            </w:pPr>
          </w:p>
        </w:tc>
      </w:tr>
      <w:tr w14:paraId="59636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0" w:hRule="atLeast"/>
        </w:trPr>
        <w:tc>
          <w:tcPr>
            <w:tcW w:w="418" w:type="pct"/>
            <w:vMerge w:val="continue"/>
            <w:tcBorders>
              <w:tl2br w:val="nil"/>
              <w:tr2bl w:val="nil"/>
            </w:tcBorders>
            <w:tcMar>
              <w:top w:w="57" w:type="dxa"/>
              <w:left w:w="57" w:type="dxa"/>
              <w:bottom w:w="57" w:type="dxa"/>
              <w:right w:w="57" w:type="dxa"/>
            </w:tcMar>
            <w:vAlign w:val="center"/>
          </w:tcPr>
          <w:p w14:paraId="2DFEDA75">
            <w:pPr>
              <w:pStyle w:val="23"/>
              <w:jc w:val="center"/>
            </w:pPr>
          </w:p>
        </w:tc>
        <w:tc>
          <w:tcPr>
            <w:tcW w:w="266" w:type="pct"/>
            <w:tcBorders>
              <w:tl2br w:val="nil"/>
              <w:tr2bl w:val="nil"/>
            </w:tcBorders>
            <w:tcMar>
              <w:top w:w="57" w:type="dxa"/>
              <w:left w:w="57" w:type="dxa"/>
              <w:bottom w:w="57" w:type="dxa"/>
              <w:right w:w="57" w:type="dxa"/>
            </w:tcMar>
            <w:vAlign w:val="center"/>
          </w:tcPr>
          <w:p w14:paraId="250F9505">
            <w:pPr>
              <w:pStyle w:val="23"/>
              <w:jc w:val="center"/>
            </w:pPr>
            <w:r>
              <w:rPr>
                <w:rFonts w:hint="eastAsia"/>
              </w:rPr>
              <w:t>28</w:t>
            </w:r>
          </w:p>
        </w:tc>
        <w:tc>
          <w:tcPr>
            <w:tcW w:w="318" w:type="pct"/>
            <w:vMerge w:val="continue"/>
            <w:tcBorders>
              <w:tl2br w:val="nil"/>
              <w:tr2bl w:val="nil"/>
            </w:tcBorders>
            <w:tcMar>
              <w:top w:w="57" w:type="dxa"/>
              <w:left w:w="57" w:type="dxa"/>
              <w:bottom w:w="57" w:type="dxa"/>
              <w:right w:w="57" w:type="dxa"/>
            </w:tcMar>
            <w:vAlign w:val="center"/>
          </w:tcPr>
          <w:p w14:paraId="61D4A47A">
            <w:pPr>
              <w:pStyle w:val="23"/>
              <w:jc w:val="center"/>
            </w:pPr>
          </w:p>
        </w:tc>
        <w:tc>
          <w:tcPr>
            <w:tcW w:w="2640" w:type="pct"/>
            <w:tcBorders>
              <w:tl2br w:val="nil"/>
              <w:tr2bl w:val="nil"/>
            </w:tcBorders>
            <w:tcMar>
              <w:top w:w="57" w:type="dxa"/>
              <w:left w:w="57" w:type="dxa"/>
              <w:bottom w:w="57" w:type="dxa"/>
              <w:right w:w="57" w:type="dxa"/>
            </w:tcMar>
            <w:vAlign w:val="center"/>
          </w:tcPr>
          <w:p w14:paraId="35B6B6FC">
            <w:pPr>
              <w:pStyle w:val="23"/>
            </w:pPr>
            <w:r>
              <w:rPr>
                <w:rFonts w:hint="eastAsia"/>
              </w:rPr>
              <w:t>对上云标杆企业、工业APP典型应用案例的企业、工业互联网试点示范企业、“两化”融合贯标评定的企业、制造业“双创”试点示范企业、制造业与互联网融合试点示范企业、人工智能与实体经济深度融合创新的试点示范企业、“5G+工业互联网”试验工厂等按照国家级、省级分别给予11万元（含区级1万元）、5.5万元奖励（含区级0.5万元）。</w:t>
            </w:r>
          </w:p>
        </w:tc>
        <w:tc>
          <w:tcPr>
            <w:tcW w:w="1356" w:type="pct"/>
            <w:vMerge w:val="continue"/>
            <w:tcBorders>
              <w:tl2br w:val="nil"/>
              <w:tr2bl w:val="nil"/>
            </w:tcBorders>
            <w:tcMar>
              <w:top w:w="57" w:type="dxa"/>
              <w:left w:w="57" w:type="dxa"/>
              <w:bottom w:w="57" w:type="dxa"/>
              <w:right w:w="57" w:type="dxa"/>
            </w:tcMar>
            <w:vAlign w:val="center"/>
          </w:tcPr>
          <w:p w14:paraId="3D96B325">
            <w:pPr>
              <w:pStyle w:val="23"/>
            </w:pPr>
          </w:p>
        </w:tc>
      </w:tr>
      <w:tr w14:paraId="252B3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0" w:hRule="atLeast"/>
        </w:trPr>
        <w:tc>
          <w:tcPr>
            <w:tcW w:w="418" w:type="pct"/>
            <w:vMerge w:val="continue"/>
            <w:tcBorders>
              <w:tl2br w:val="nil"/>
              <w:tr2bl w:val="nil"/>
            </w:tcBorders>
            <w:tcMar>
              <w:top w:w="57" w:type="dxa"/>
              <w:left w:w="57" w:type="dxa"/>
              <w:bottom w:w="57" w:type="dxa"/>
              <w:right w:w="57" w:type="dxa"/>
            </w:tcMar>
            <w:vAlign w:val="center"/>
          </w:tcPr>
          <w:p w14:paraId="552144A1">
            <w:pPr>
              <w:pStyle w:val="23"/>
              <w:jc w:val="center"/>
            </w:pPr>
          </w:p>
        </w:tc>
        <w:tc>
          <w:tcPr>
            <w:tcW w:w="266" w:type="pct"/>
            <w:tcBorders>
              <w:tl2br w:val="nil"/>
              <w:tr2bl w:val="nil"/>
            </w:tcBorders>
            <w:tcMar>
              <w:top w:w="57" w:type="dxa"/>
              <w:left w:w="57" w:type="dxa"/>
              <w:bottom w:w="57" w:type="dxa"/>
              <w:right w:w="57" w:type="dxa"/>
            </w:tcMar>
            <w:vAlign w:val="center"/>
          </w:tcPr>
          <w:p w14:paraId="7852C63A">
            <w:pPr>
              <w:pStyle w:val="23"/>
              <w:jc w:val="center"/>
            </w:pPr>
            <w:r>
              <w:rPr>
                <w:rFonts w:hint="eastAsia"/>
              </w:rPr>
              <w:t>29</w:t>
            </w:r>
          </w:p>
        </w:tc>
        <w:tc>
          <w:tcPr>
            <w:tcW w:w="318" w:type="pct"/>
            <w:vMerge w:val="continue"/>
            <w:tcBorders>
              <w:tl2br w:val="nil"/>
              <w:tr2bl w:val="nil"/>
            </w:tcBorders>
            <w:tcMar>
              <w:top w:w="57" w:type="dxa"/>
              <w:left w:w="57" w:type="dxa"/>
              <w:bottom w:w="57" w:type="dxa"/>
              <w:right w:w="57" w:type="dxa"/>
            </w:tcMar>
            <w:vAlign w:val="center"/>
          </w:tcPr>
          <w:p w14:paraId="1A8B94EF">
            <w:pPr>
              <w:pStyle w:val="23"/>
              <w:jc w:val="center"/>
            </w:pPr>
          </w:p>
        </w:tc>
        <w:tc>
          <w:tcPr>
            <w:tcW w:w="2640" w:type="pct"/>
            <w:tcBorders>
              <w:tl2br w:val="nil"/>
              <w:tr2bl w:val="nil"/>
            </w:tcBorders>
            <w:tcMar>
              <w:top w:w="57" w:type="dxa"/>
              <w:left w:w="57" w:type="dxa"/>
              <w:bottom w:w="57" w:type="dxa"/>
              <w:right w:w="57" w:type="dxa"/>
            </w:tcMar>
            <w:vAlign w:val="center"/>
          </w:tcPr>
          <w:p w14:paraId="77DD6405">
            <w:pPr>
              <w:pStyle w:val="23"/>
            </w:pPr>
            <w:r>
              <w:rPr>
                <w:rFonts w:hint="eastAsia"/>
              </w:rPr>
              <w:t>对在沪深交易所、北交所首发上市企业，最高奖励2200万元（含区级200万元奖励）；对在美国纽交所、纳斯达克交易所、香港联交所等境外主要交易所上市企业，以及迁入投资经营的异地境内外上市公司，或区内企业按规定异地“买壳”“借壳”上市后，将注册地及纳税地迁入我区且守法经营的，奖励1650万元（含区级150万元）。如企业在A股、境外均实现上市的，可同时享受A股上市奖励和境外上市奖励。</w:t>
            </w:r>
          </w:p>
        </w:tc>
        <w:tc>
          <w:tcPr>
            <w:tcW w:w="1356" w:type="pct"/>
            <w:vMerge w:val="continue"/>
            <w:tcBorders>
              <w:tl2br w:val="nil"/>
              <w:tr2bl w:val="nil"/>
            </w:tcBorders>
            <w:tcMar>
              <w:top w:w="57" w:type="dxa"/>
              <w:left w:w="57" w:type="dxa"/>
              <w:bottom w:w="57" w:type="dxa"/>
              <w:right w:w="57" w:type="dxa"/>
            </w:tcMar>
            <w:vAlign w:val="center"/>
          </w:tcPr>
          <w:p w14:paraId="035313CC">
            <w:pPr>
              <w:pStyle w:val="23"/>
            </w:pPr>
          </w:p>
        </w:tc>
      </w:tr>
      <w:tr w14:paraId="25DAD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54" w:hRule="atLeast"/>
        </w:trPr>
        <w:tc>
          <w:tcPr>
            <w:tcW w:w="418" w:type="pct"/>
            <w:vMerge w:val="continue"/>
            <w:tcBorders>
              <w:tl2br w:val="nil"/>
              <w:tr2bl w:val="nil"/>
            </w:tcBorders>
            <w:tcMar>
              <w:top w:w="57" w:type="dxa"/>
              <w:left w:w="57" w:type="dxa"/>
              <w:bottom w:w="57" w:type="dxa"/>
              <w:right w:w="57" w:type="dxa"/>
            </w:tcMar>
            <w:vAlign w:val="center"/>
          </w:tcPr>
          <w:p w14:paraId="05BEB822">
            <w:pPr>
              <w:pStyle w:val="23"/>
              <w:jc w:val="center"/>
            </w:pPr>
          </w:p>
        </w:tc>
        <w:tc>
          <w:tcPr>
            <w:tcW w:w="266" w:type="pct"/>
            <w:tcBorders>
              <w:tl2br w:val="nil"/>
              <w:tr2bl w:val="nil"/>
            </w:tcBorders>
            <w:tcMar>
              <w:top w:w="57" w:type="dxa"/>
              <w:left w:w="57" w:type="dxa"/>
              <w:bottom w:w="57" w:type="dxa"/>
              <w:right w:w="57" w:type="dxa"/>
            </w:tcMar>
            <w:vAlign w:val="center"/>
          </w:tcPr>
          <w:p w14:paraId="00AAAE19">
            <w:pPr>
              <w:pStyle w:val="23"/>
              <w:jc w:val="center"/>
            </w:pPr>
            <w:r>
              <w:rPr>
                <w:rFonts w:hint="eastAsia"/>
              </w:rPr>
              <w:t>30</w:t>
            </w:r>
          </w:p>
        </w:tc>
        <w:tc>
          <w:tcPr>
            <w:tcW w:w="318" w:type="pct"/>
            <w:vMerge w:val="continue"/>
            <w:tcBorders>
              <w:tl2br w:val="nil"/>
              <w:tr2bl w:val="nil"/>
            </w:tcBorders>
            <w:tcMar>
              <w:top w:w="57" w:type="dxa"/>
              <w:left w:w="57" w:type="dxa"/>
              <w:bottom w:w="57" w:type="dxa"/>
              <w:right w:w="57" w:type="dxa"/>
            </w:tcMar>
            <w:vAlign w:val="center"/>
          </w:tcPr>
          <w:p w14:paraId="2EE59BF9">
            <w:pPr>
              <w:pStyle w:val="23"/>
              <w:jc w:val="center"/>
            </w:pPr>
          </w:p>
        </w:tc>
        <w:tc>
          <w:tcPr>
            <w:tcW w:w="2640" w:type="pct"/>
            <w:tcBorders>
              <w:tl2br w:val="nil"/>
              <w:tr2bl w:val="nil"/>
            </w:tcBorders>
            <w:tcMar>
              <w:top w:w="57" w:type="dxa"/>
              <w:left w:w="57" w:type="dxa"/>
              <w:bottom w:w="57" w:type="dxa"/>
              <w:right w:w="57" w:type="dxa"/>
            </w:tcMar>
            <w:vAlign w:val="center"/>
          </w:tcPr>
          <w:p w14:paraId="399D5D5A">
            <w:pPr>
              <w:pStyle w:val="23"/>
            </w:pPr>
            <w:r>
              <w:rPr>
                <w:rFonts w:hint="eastAsia"/>
              </w:rPr>
              <w:t>自企业首个年销售收入过亿元且年增幅达10%以上的年度起2年内，其高级管理人员（包括董事长、副董事长、总经理、副总经理、监事长、总经济师、总会计师、研发部门负责人等，每家企业不超过10名），按其工资、薪金所得实缴个人所得税区级财力贡献的50%给予奖励。聘请区级招商大使，按照当年实际经济贡献率1%给予奖励，单个项目不超过10万。</w:t>
            </w:r>
          </w:p>
        </w:tc>
        <w:tc>
          <w:tcPr>
            <w:tcW w:w="1356" w:type="pct"/>
            <w:vMerge w:val="continue"/>
            <w:tcBorders>
              <w:tl2br w:val="nil"/>
              <w:tr2bl w:val="nil"/>
            </w:tcBorders>
            <w:tcMar>
              <w:top w:w="57" w:type="dxa"/>
              <w:left w:w="57" w:type="dxa"/>
              <w:bottom w:w="57" w:type="dxa"/>
              <w:right w:w="57" w:type="dxa"/>
            </w:tcMar>
            <w:vAlign w:val="center"/>
          </w:tcPr>
          <w:p w14:paraId="65130605">
            <w:pPr>
              <w:pStyle w:val="23"/>
            </w:pPr>
          </w:p>
        </w:tc>
      </w:tr>
      <w:tr w14:paraId="67EDE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154" w:hRule="atLeast"/>
        </w:trPr>
        <w:tc>
          <w:tcPr>
            <w:tcW w:w="418" w:type="pct"/>
            <w:vMerge w:val="continue"/>
            <w:tcBorders>
              <w:tl2br w:val="nil"/>
              <w:tr2bl w:val="nil"/>
            </w:tcBorders>
            <w:tcMar>
              <w:top w:w="57" w:type="dxa"/>
              <w:left w:w="57" w:type="dxa"/>
              <w:bottom w:w="57" w:type="dxa"/>
              <w:right w:w="57" w:type="dxa"/>
            </w:tcMar>
            <w:vAlign w:val="center"/>
          </w:tcPr>
          <w:p w14:paraId="57B10C9B">
            <w:pPr>
              <w:pStyle w:val="23"/>
              <w:jc w:val="center"/>
            </w:pPr>
          </w:p>
        </w:tc>
        <w:tc>
          <w:tcPr>
            <w:tcW w:w="266" w:type="pct"/>
            <w:tcBorders>
              <w:tl2br w:val="nil"/>
              <w:tr2bl w:val="nil"/>
            </w:tcBorders>
            <w:tcMar>
              <w:top w:w="57" w:type="dxa"/>
              <w:left w:w="57" w:type="dxa"/>
              <w:bottom w:w="57" w:type="dxa"/>
              <w:right w:w="57" w:type="dxa"/>
            </w:tcMar>
            <w:vAlign w:val="center"/>
          </w:tcPr>
          <w:p w14:paraId="3E3D692E">
            <w:pPr>
              <w:pStyle w:val="23"/>
              <w:jc w:val="center"/>
            </w:pPr>
            <w:r>
              <w:rPr>
                <w:rFonts w:hint="eastAsia"/>
              </w:rPr>
              <w:t>31</w:t>
            </w:r>
          </w:p>
        </w:tc>
        <w:tc>
          <w:tcPr>
            <w:tcW w:w="318" w:type="pct"/>
            <w:vMerge w:val="continue"/>
            <w:tcBorders>
              <w:tl2br w:val="nil"/>
              <w:tr2bl w:val="nil"/>
            </w:tcBorders>
            <w:tcMar>
              <w:top w:w="57" w:type="dxa"/>
              <w:left w:w="57" w:type="dxa"/>
              <w:bottom w:w="57" w:type="dxa"/>
              <w:right w:w="57" w:type="dxa"/>
            </w:tcMar>
            <w:vAlign w:val="center"/>
          </w:tcPr>
          <w:p w14:paraId="54F8DF81">
            <w:pPr>
              <w:pStyle w:val="23"/>
              <w:jc w:val="center"/>
            </w:pPr>
          </w:p>
        </w:tc>
        <w:tc>
          <w:tcPr>
            <w:tcW w:w="2640" w:type="pct"/>
            <w:tcBorders>
              <w:tl2br w:val="nil"/>
              <w:tr2bl w:val="nil"/>
            </w:tcBorders>
            <w:tcMar>
              <w:top w:w="57" w:type="dxa"/>
              <w:left w:w="57" w:type="dxa"/>
              <w:bottom w:w="57" w:type="dxa"/>
              <w:right w:w="57" w:type="dxa"/>
            </w:tcMar>
            <w:vAlign w:val="center"/>
          </w:tcPr>
          <w:p w14:paraId="6AA330E0">
            <w:pPr>
              <w:pStyle w:val="23"/>
            </w:pPr>
            <w:r>
              <w:rPr>
                <w:rFonts w:hint="eastAsia"/>
              </w:rPr>
              <w:t>对首次认定国家级、省级</w:t>
            </w:r>
            <w:r>
              <w:rPr>
                <w:rFonts w:hint="eastAsia"/>
                <w:lang w:eastAsia="zh-CN"/>
              </w:rPr>
              <w:t>瞪羚企业</w:t>
            </w:r>
            <w:bookmarkStart w:id="0" w:name="_GoBack"/>
            <w:bookmarkEnd w:id="0"/>
            <w:r>
              <w:rPr>
                <w:rFonts w:hint="eastAsia"/>
              </w:rPr>
              <w:t>、“独角兽”企业、“隐形冠军示范企业”、“科技小巨人企业”、“隐形冠军培育企业”区级分别给予一次性奖励5万元、2万元。对获得国家、省级专精特新“小巨人”企业，分别给予一次性奖补55万元（含区级5万元）、22万元（含区级2万元）。对获得国家制造业单项冠军及国家智能制造、服务型制造、绿色工厂等试点示范的企业，给予一次性奖补110万元（含区级10万元）。</w:t>
            </w:r>
          </w:p>
        </w:tc>
        <w:tc>
          <w:tcPr>
            <w:tcW w:w="1356" w:type="pct"/>
            <w:vMerge w:val="continue"/>
            <w:tcBorders>
              <w:tl2br w:val="nil"/>
              <w:tr2bl w:val="nil"/>
            </w:tcBorders>
            <w:tcMar>
              <w:top w:w="57" w:type="dxa"/>
              <w:left w:w="57" w:type="dxa"/>
              <w:bottom w:w="57" w:type="dxa"/>
              <w:right w:w="57" w:type="dxa"/>
            </w:tcMar>
            <w:vAlign w:val="center"/>
          </w:tcPr>
          <w:p w14:paraId="1196F97D">
            <w:pPr>
              <w:pStyle w:val="23"/>
            </w:pPr>
          </w:p>
        </w:tc>
      </w:tr>
      <w:tr w14:paraId="3A5AE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54" w:hRule="atLeast"/>
        </w:trPr>
        <w:tc>
          <w:tcPr>
            <w:tcW w:w="418" w:type="pct"/>
            <w:vMerge w:val="continue"/>
            <w:tcBorders>
              <w:tl2br w:val="nil"/>
              <w:tr2bl w:val="nil"/>
            </w:tcBorders>
            <w:tcMar>
              <w:top w:w="57" w:type="dxa"/>
              <w:left w:w="57" w:type="dxa"/>
              <w:bottom w:w="57" w:type="dxa"/>
              <w:right w:w="57" w:type="dxa"/>
            </w:tcMar>
            <w:vAlign w:val="center"/>
          </w:tcPr>
          <w:p w14:paraId="2D4661E3">
            <w:pPr>
              <w:pStyle w:val="23"/>
              <w:jc w:val="center"/>
            </w:pPr>
          </w:p>
        </w:tc>
        <w:tc>
          <w:tcPr>
            <w:tcW w:w="266" w:type="pct"/>
            <w:tcBorders>
              <w:tl2br w:val="nil"/>
              <w:tr2bl w:val="nil"/>
            </w:tcBorders>
            <w:tcMar>
              <w:top w:w="57" w:type="dxa"/>
              <w:left w:w="57" w:type="dxa"/>
              <w:bottom w:w="57" w:type="dxa"/>
              <w:right w:w="57" w:type="dxa"/>
            </w:tcMar>
            <w:vAlign w:val="center"/>
          </w:tcPr>
          <w:p w14:paraId="00260D99">
            <w:pPr>
              <w:pStyle w:val="23"/>
              <w:jc w:val="center"/>
            </w:pPr>
            <w:r>
              <w:rPr>
                <w:rFonts w:hint="eastAsia"/>
              </w:rPr>
              <w:t>32</w:t>
            </w:r>
          </w:p>
        </w:tc>
        <w:tc>
          <w:tcPr>
            <w:tcW w:w="318" w:type="pct"/>
            <w:vMerge w:val="continue"/>
            <w:tcBorders>
              <w:tl2br w:val="nil"/>
              <w:tr2bl w:val="nil"/>
            </w:tcBorders>
            <w:tcMar>
              <w:top w:w="57" w:type="dxa"/>
              <w:left w:w="57" w:type="dxa"/>
              <w:bottom w:w="57" w:type="dxa"/>
              <w:right w:w="57" w:type="dxa"/>
            </w:tcMar>
            <w:vAlign w:val="center"/>
          </w:tcPr>
          <w:p w14:paraId="4EE448AC">
            <w:pPr>
              <w:pStyle w:val="23"/>
              <w:jc w:val="center"/>
            </w:pPr>
          </w:p>
        </w:tc>
        <w:tc>
          <w:tcPr>
            <w:tcW w:w="2640" w:type="pct"/>
            <w:tcBorders>
              <w:tl2br w:val="nil"/>
              <w:tr2bl w:val="nil"/>
            </w:tcBorders>
            <w:tcMar>
              <w:top w:w="57" w:type="dxa"/>
              <w:left w:w="57" w:type="dxa"/>
              <w:bottom w:w="57" w:type="dxa"/>
              <w:right w:w="57" w:type="dxa"/>
            </w:tcMar>
            <w:vAlign w:val="center"/>
          </w:tcPr>
          <w:p w14:paraId="26C4E121">
            <w:pPr>
              <w:pStyle w:val="23"/>
            </w:pPr>
            <w:r>
              <w:rPr>
                <w:rFonts w:hint="eastAsia"/>
              </w:rPr>
              <w:t>对首次获得中国驰名商标或中国名牌产品称号、国家地理标志注册商标或国家农产品地理标志保护产品的农业经营主体，分别一次性给予奖励22万元（含区级2万元）、16万元（含区级1万元）；对首次获得国家、省、市老字号的农业经营主体，分别给予一次性33万元（含区级3万元）、22万元（含区级2万元）、11万元（含区级1万元）的奖励（不重复奖励）。对获得国家绿色食品、有机农产品认证或复查换证的农业经营主体，按照每个品种给予奖励1万元（含区级0.5万元）、2万元（含区级1万元）。对首次获得国家、省级品牌培育创新大赛金奖的企业区级分别奖励5万元、3万元，银奖的企业分别奖励3万元、2万元。</w:t>
            </w:r>
          </w:p>
        </w:tc>
        <w:tc>
          <w:tcPr>
            <w:tcW w:w="1356" w:type="pct"/>
            <w:vMerge w:val="continue"/>
            <w:tcBorders>
              <w:tl2br w:val="nil"/>
              <w:tr2bl w:val="nil"/>
            </w:tcBorders>
            <w:tcMar>
              <w:top w:w="57" w:type="dxa"/>
              <w:left w:w="57" w:type="dxa"/>
              <w:bottom w:w="57" w:type="dxa"/>
              <w:right w:w="57" w:type="dxa"/>
            </w:tcMar>
            <w:vAlign w:val="center"/>
          </w:tcPr>
          <w:p w14:paraId="69FD6D67">
            <w:pPr>
              <w:pStyle w:val="23"/>
            </w:pPr>
          </w:p>
        </w:tc>
      </w:tr>
      <w:tr w14:paraId="44D30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54" w:hRule="atLeast"/>
        </w:trPr>
        <w:tc>
          <w:tcPr>
            <w:tcW w:w="418" w:type="pct"/>
            <w:vMerge w:val="continue"/>
            <w:tcBorders>
              <w:tl2br w:val="nil"/>
              <w:tr2bl w:val="nil"/>
            </w:tcBorders>
            <w:tcMar>
              <w:top w:w="57" w:type="dxa"/>
              <w:left w:w="57" w:type="dxa"/>
              <w:bottom w:w="57" w:type="dxa"/>
              <w:right w:w="57" w:type="dxa"/>
            </w:tcMar>
            <w:vAlign w:val="center"/>
          </w:tcPr>
          <w:p w14:paraId="4D6A1B58">
            <w:pPr>
              <w:pStyle w:val="23"/>
              <w:jc w:val="center"/>
            </w:pPr>
          </w:p>
        </w:tc>
        <w:tc>
          <w:tcPr>
            <w:tcW w:w="266" w:type="pct"/>
            <w:tcBorders>
              <w:tl2br w:val="nil"/>
              <w:tr2bl w:val="nil"/>
            </w:tcBorders>
            <w:tcMar>
              <w:top w:w="57" w:type="dxa"/>
              <w:left w:w="57" w:type="dxa"/>
              <w:bottom w:w="57" w:type="dxa"/>
              <w:right w:w="57" w:type="dxa"/>
            </w:tcMar>
            <w:vAlign w:val="center"/>
          </w:tcPr>
          <w:p w14:paraId="7AA7DD86">
            <w:pPr>
              <w:pStyle w:val="23"/>
              <w:jc w:val="center"/>
            </w:pPr>
            <w:r>
              <w:rPr>
                <w:rFonts w:hint="eastAsia"/>
              </w:rPr>
              <w:t>33</w:t>
            </w:r>
          </w:p>
        </w:tc>
        <w:tc>
          <w:tcPr>
            <w:tcW w:w="318" w:type="pct"/>
            <w:vMerge w:val="continue"/>
            <w:tcBorders>
              <w:tl2br w:val="nil"/>
              <w:tr2bl w:val="nil"/>
            </w:tcBorders>
            <w:tcMar>
              <w:top w:w="57" w:type="dxa"/>
              <w:left w:w="57" w:type="dxa"/>
              <w:bottom w:w="57" w:type="dxa"/>
              <w:right w:w="57" w:type="dxa"/>
            </w:tcMar>
            <w:vAlign w:val="center"/>
          </w:tcPr>
          <w:p w14:paraId="14EA66BA">
            <w:pPr>
              <w:pStyle w:val="23"/>
              <w:jc w:val="center"/>
            </w:pPr>
          </w:p>
        </w:tc>
        <w:tc>
          <w:tcPr>
            <w:tcW w:w="2640" w:type="pct"/>
            <w:tcBorders>
              <w:tl2br w:val="nil"/>
              <w:tr2bl w:val="nil"/>
            </w:tcBorders>
            <w:tcMar>
              <w:top w:w="57" w:type="dxa"/>
              <w:left w:w="57" w:type="dxa"/>
              <w:bottom w:w="57" w:type="dxa"/>
              <w:right w:w="57" w:type="dxa"/>
            </w:tcMar>
            <w:vAlign w:val="center"/>
          </w:tcPr>
          <w:p w14:paraId="7F73A996">
            <w:pPr>
              <w:pStyle w:val="23"/>
            </w:pPr>
            <w:r>
              <w:rPr>
                <w:rFonts w:hint="eastAsia"/>
              </w:rPr>
              <w:t>对获得中国质量奖、长江质量奖和金种子企业、鄂州市市长质量奖的企业，除享受市级以上奖励政策外，区级分别给予10万元、5万元、3万元奖励。对新认定为驰名商标的企业（行政认定），给予10万元奖励；对同一企业获得同一级别认定的，给予一次奖励，不重复奖励；由市级升为省级、由省级升为国家级的，补差计奖；延续认定的，不予奖励。</w:t>
            </w:r>
          </w:p>
        </w:tc>
        <w:tc>
          <w:tcPr>
            <w:tcW w:w="1356" w:type="pct"/>
            <w:vMerge w:val="continue"/>
            <w:tcBorders>
              <w:tl2br w:val="nil"/>
              <w:tr2bl w:val="nil"/>
            </w:tcBorders>
            <w:tcMar>
              <w:top w:w="57" w:type="dxa"/>
              <w:left w:w="57" w:type="dxa"/>
              <w:bottom w:w="57" w:type="dxa"/>
              <w:right w:w="57" w:type="dxa"/>
            </w:tcMar>
            <w:vAlign w:val="center"/>
          </w:tcPr>
          <w:p w14:paraId="133DCC4B">
            <w:pPr>
              <w:pStyle w:val="23"/>
            </w:pPr>
          </w:p>
        </w:tc>
      </w:tr>
      <w:tr w14:paraId="61C23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11" w:hRule="atLeast"/>
        </w:trPr>
        <w:tc>
          <w:tcPr>
            <w:tcW w:w="418" w:type="pct"/>
            <w:vMerge w:val="continue"/>
            <w:tcBorders>
              <w:tl2br w:val="nil"/>
              <w:tr2bl w:val="nil"/>
            </w:tcBorders>
            <w:tcMar>
              <w:top w:w="57" w:type="dxa"/>
              <w:left w:w="57" w:type="dxa"/>
              <w:bottom w:w="57" w:type="dxa"/>
              <w:right w:w="57" w:type="dxa"/>
            </w:tcMar>
            <w:vAlign w:val="center"/>
          </w:tcPr>
          <w:p w14:paraId="6E2077F3">
            <w:pPr>
              <w:pStyle w:val="23"/>
              <w:jc w:val="center"/>
            </w:pPr>
          </w:p>
        </w:tc>
        <w:tc>
          <w:tcPr>
            <w:tcW w:w="266" w:type="pct"/>
            <w:tcBorders>
              <w:tl2br w:val="nil"/>
              <w:tr2bl w:val="nil"/>
            </w:tcBorders>
            <w:tcMar>
              <w:top w:w="57" w:type="dxa"/>
              <w:left w:w="57" w:type="dxa"/>
              <w:bottom w:w="57" w:type="dxa"/>
              <w:right w:w="57" w:type="dxa"/>
            </w:tcMar>
            <w:vAlign w:val="center"/>
          </w:tcPr>
          <w:p w14:paraId="6EA6858F">
            <w:pPr>
              <w:pStyle w:val="23"/>
              <w:jc w:val="center"/>
            </w:pPr>
            <w:r>
              <w:rPr>
                <w:rFonts w:hint="eastAsia"/>
              </w:rPr>
              <w:t>34</w:t>
            </w:r>
          </w:p>
        </w:tc>
        <w:tc>
          <w:tcPr>
            <w:tcW w:w="318" w:type="pct"/>
            <w:vMerge w:val="continue"/>
            <w:tcBorders>
              <w:tl2br w:val="nil"/>
              <w:tr2bl w:val="nil"/>
            </w:tcBorders>
            <w:tcMar>
              <w:top w:w="57" w:type="dxa"/>
              <w:left w:w="57" w:type="dxa"/>
              <w:bottom w:w="57" w:type="dxa"/>
              <w:right w:w="57" w:type="dxa"/>
            </w:tcMar>
            <w:vAlign w:val="center"/>
          </w:tcPr>
          <w:p w14:paraId="055EA887">
            <w:pPr>
              <w:pStyle w:val="23"/>
              <w:jc w:val="center"/>
            </w:pPr>
          </w:p>
        </w:tc>
        <w:tc>
          <w:tcPr>
            <w:tcW w:w="2640" w:type="pct"/>
            <w:tcBorders>
              <w:tl2br w:val="nil"/>
              <w:tr2bl w:val="nil"/>
            </w:tcBorders>
            <w:tcMar>
              <w:top w:w="57" w:type="dxa"/>
              <w:left w:w="57" w:type="dxa"/>
              <w:bottom w:w="57" w:type="dxa"/>
              <w:right w:w="57" w:type="dxa"/>
            </w:tcMar>
            <w:vAlign w:val="center"/>
          </w:tcPr>
          <w:p w14:paraId="1B73F3F9">
            <w:pPr>
              <w:pStyle w:val="23"/>
            </w:pPr>
            <w:r>
              <w:rPr>
                <w:rFonts w:hint="eastAsia"/>
              </w:rPr>
              <w:t>对主导制（修）订强制性国家标准、推荐性国家标准、行业标准（湖北省地方标准）的企业，除享受市级以上奖励政策外，区级分别按照20万元、10万元、5万元标准给予奖励。参与制（修）订的企业，排名前3名的按照主导制（修）订同类标准奖励额度的50%给予奖励，其他参与企业按照主导制（修）订同类标准奖励额度的20%给予奖励；单个企业每年参与制（修）订各级标准的奖励总额不超过30万元，参与强制性国家标准制（修）订的不受此限。</w:t>
            </w:r>
          </w:p>
        </w:tc>
        <w:tc>
          <w:tcPr>
            <w:tcW w:w="1356" w:type="pct"/>
            <w:vMerge w:val="continue"/>
            <w:tcBorders>
              <w:tl2br w:val="nil"/>
              <w:tr2bl w:val="nil"/>
            </w:tcBorders>
            <w:tcMar>
              <w:top w:w="57" w:type="dxa"/>
              <w:left w:w="57" w:type="dxa"/>
              <w:bottom w:w="57" w:type="dxa"/>
              <w:right w:w="57" w:type="dxa"/>
            </w:tcMar>
            <w:vAlign w:val="center"/>
          </w:tcPr>
          <w:p w14:paraId="4A636263">
            <w:pPr>
              <w:pStyle w:val="23"/>
            </w:pPr>
          </w:p>
        </w:tc>
      </w:tr>
      <w:tr w14:paraId="202BD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44" w:hRule="atLeast"/>
        </w:trPr>
        <w:tc>
          <w:tcPr>
            <w:tcW w:w="418" w:type="pct"/>
            <w:vMerge w:val="continue"/>
            <w:tcBorders>
              <w:tl2br w:val="nil"/>
              <w:tr2bl w:val="nil"/>
            </w:tcBorders>
            <w:tcMar>
              <w:top w:w="57" w:type="dxa"/>
              <w:left w:w="57" w:type="dxa"/>
              <w:bottom w:w="57" w:type="dxa"/>
              <w:right w:w="57" w:type="dxa"/>
            </w:tcMar>
            <w:vAlign w:val="center"/>
          </w:tcPr>
          <w:p w14:paraId="73854D4D">
            <w:pPr>
              <w:pStyle w:val="23"/>
              <w:jc w:val="center"/>
            </w:pPr>
          </w:p>
        </w:tc>
        <w:tc>
          <w:tcPr>
            <w:tcW w:w="266" w:type="pct"/>
            <w:tcBorders>
              <w:tl2br w:val="nil"/>
              <w:tr2bl w:val="nil"/>
            </w:tcBorders>
            <w:tcMar>
              <w:top w:w="57" w:type="dxa"/>
              <w:left w:w="57" w:type="dxa"/>
              <w:bottom w:w="57" w:type="dxa"/>
              <w:right w:w="57" w:type="dxa"/>
            </w:tcMar>
            <w:vAlign w:val="center"/>
          </w:tcPr>
          <w:p w14:paraId="5BF379BC">
            <w:pPr>
              <w:pStyle w:val="23"/>
              <w:jc w:val="center"/>
            </w:pPr>
            <w:r>
              <w:rPr>
                <w:rFonts w:hint="eastAsia"/>
              </w:rPr>
              <w:t>35</w:t>
            </w:r>
          </w:p>
        </w:tc>
        <w:tc>
          <w:tcPr>
            <w:tcW w:w="318" w:type="pct"/>
            <w:vMerge w:val="continue"/>
            <w:tcBorders>
              <w:tl2br w:val="nil"/>
              <w:tr2bl w:val="nil"/>
            </w:tcBorders>
            <w:tcMar>
              <w:top w:w="57" w:type="dxa"/>
              <w:left w:w="57" w:type="dxa"/>
              <w:bottom w:w="57" w:type="dxa"/>
              <w:right w:w="57" w:type="dxa"/>
            </w:tcMar>
            <w:vAlign w:val="center"/>
          </w:tcPr>
          <w:p w14:paraId="2691F764">
            <w:pPr>
              <w:pStyle w:val="23"/>
              <w:jc w:val="center"/>
            </w:pPr>
          </w:p>
        </w:tc>
        <w:tc>
          <w:tcPr>
            <w:tcW w:w="2640" w:type="pct"/>
            <w:tcBorders>
              <w:tl2br w:val="nil"/>
              <w:tr2bl w:val="nil"/>
            </w:tcBorders>
            <w:tcMar>
              <w:top w:w="57" w:type="dxa"/>
              <w:left w:w="57" w:type="dxa"/>
              <w:bottom w:w="57" w:type="dxa"/>
              <w:right w:w="57" w:type="dxa"/>
            </w:tcMar>
            <w:vAlign w:val="center"/>
          </w:tcPr>
          <w:p w14:paraId="48CC85DA">
            <w:pPr>
              <w:pStyle w:val="23"/>
            </w:pPr>
            <w:r>
              <w:rPr>
                <w:rFonts w:hint="eastAsia"/>
              </w:rPr>
              <w:t>对获得国内发明专利的企业或个人，按照每件1万元给予奖助；对获得国家专利金奖、银奖、优秀发明人奖的分别给予10万元、5万元、3万元奖励，对获得省级专利金奖、银奖、优秀发明人奖的分别给予5万元、3万元、1万元奖励。对新认定的知识产权管理体系认证的企业一次性奖励5万元。</w:t>
            </w:r>
          </w:p>
        </w:tc>
        <w:tc>
          <w:tcPr>
            <w:tcW w:w="1356" w:type="pct"/>
            <w:vMerge w:val="continue"/>
            <w:tcBorders>
              <w:tl2br w:val="nil"/>
              <w:tr2bl w:val="nil"/>
            </w:tcBorders>
            <w:tcMar>
              <w:top w:w="57" w:type="dxa"/>
              <w:left w:w="57" w:type="dxa"/>
              <w:bottom w:w="57" w:type="dxa"/>
              <w:right w:w="57" w:type="dxa"/>
            </w:tcMar>
            <w:vAlign w:val="center"/>
          </w:tcPr>
          <w:p w14:paraId="6937E3D2">
            <w:pPr>
              <w:pStyle w:val="23"/>
            </w:pPr>
          </w:p>
        </w:tc>
      </w:tr>
      <w:tr w14:paraId="1F55C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44" w:hRule="atLeast"/>
        </w:trPr>
        <w:tc>
          <w:tcPr>
            <w:tcW w:w="418" w:type="pct"/>
            <w:vMerge w:val="continue"/>
            <w:tcBorders>
              <w:tl2br w:val="nil"/>
              <w:tr2bl w:val="nil"/>
            </w:tcBorders>
            <w:tcMar>
              <w:top w:w="57" w:type="dxa"/>
              <w:left w:w="57" w:type="dxa"/>
              <w:bottom w:w="57" w:type="dxa"/>
              <w:right w:w="57" w:type="dxa"/>
            </w:tcMar>
            <w:vAlign w:val="center"/>
          </w:tcPr>
          <w:p w14:paraId="4C035AD2">
            <w:pPr>
              <w:pStyle w:val="23"/>
              <w:jc w:val="center"/>
            </w:pPr>
          </w:p>
        </w:tc>
        <w:tc>
          <w:tcPr>
            <w:tcW w:w="266" w:type="pct"/>
            <w:tcBorders>
              <w:tl2br w:val="nil"/>
              <w:tr2bl w:val="nil"/>
            </w:tcBorders>
            <w:tcMar>
              <w:top w:w="57" w:type="dxa"/>
              <w:left w:w="57" w:type="dxa"/>
              <w:bottom w:w="57" w:type="dxa"/>
              <w:right w:w="57" w:type="dxa"/>
            </w:tcMar>
            <w:vAlign w:val="center"/>
          </w:tcPr>
          <w:p w14:paraId="37C01716">
            <w:pPr>
              <w:pStyle w:val="23"/>
              <w:jc w:val="center"/>
            </w:pPr>
            <w:r>
              <w:rPr>
                <w:rFonts w:hint="eastAsia"/>
              </w:rPr>
              <w:t>36</w:t>
            </w:r>
          </w:p>
        </w:tc>
        <w:tc>
          <w:tcPr>
            <w:tcW w:w="318" w:type="pct"/>
            <w:vMerge w:val="continue"/>
            <w:tcBorders>
              <w:tl2br w:val="nil"/>
              <w:tr2bl w:val="nil"/>
            </w:tcBorders>
            <w:tcMar>
              <w:top w:w="57" w:type="dxa"/>
              <w:left w:w="57" w:type="dxa"/>
              <w:bottom w:w="57" w:type="dxa"/>
              <w:right w:w="57" w:type="dxa"/>
            </w:tcMar>
            <w:vAlign w:val="center"/>
          </w:tcPr>
          <w:p w14:paraId="5F4276F0">
            <w:pPr>
              <w:pStyle w:val="23"/>
              <w:jc w:val="center"/>
            </w:pPr>
          </w:p>
        </w:tc>
        <w:tc>
          <w:tcPr>
            <w:tcW w:w="2640" w:type="pct"/>
            <w:tcBorders>
              <w:tl2br w:val="nil"/>
              <w:tr2bl w:val="nil"/>
            </w:tcBorders>
            <w:tcMar>
              <w:top w:w="57" w:type="dxa"/>
              <w:left w:w="57" w:type="dxa"/>
              <w:bottom w:w="57" w:type="dxa"/>
              <w:right w:w="57" w:type="dxa"/>
            </w:tcMar>
            <w:vAlign w:val="center"/>
          </w:tcPr>
          <w:p w14:paraId="13D9CE20">
            <w:pPr>
              <w:pStyle w:val="23"/>
            </w:pPr>
            <w:r>
              <w:rPr>
                <w:rFonts w:hint="eastAsia"/>
              </w:rPr>
              <w:t>新引进“标准地”供地类工业项目，按照新建项目规划验收后核定的固定资产投资强度亩均投资不低于200万元、投产后亩均税收不低于15万元等指标，满足取得土地出让条件和“标准地”使用要求的给予产业扶持。对符合市级主导产业发展规划且集约用地的工业项目优先保障用地需求，以最高年限出让的，土地出让价格可按本地基准地价的70%执行。对招商引资重大项目，积极推进长期租赁、先租后让、租让结合等方式供应土地，根据产业周期弹性确定土地使用期限。允许企业在1年内分期缴纳土地出让价款，首期缴纳比例不得低于50%。</w:t>
            </w:r>
          </w:p>
        </w:tc>
        <w:tc>
          <w:tcPr>
            <w:tcW w:w="1356" w:type="pct"/>
            <w:vMerge w:val="continue"/>
            <w:tcBorders>
              <w:tl2br w:val="nil"/>
              <w:tr2bl w:val="nil"/>
            </w:tcBorders>
            <w:tcMar>
              <w:top w:w="57" w:type="dxa"/>
              <w:left w:w="57" w:type="dxa"/>
              <w:bottom w:w="57" w:type="dxa"/>
              <w:right w:w="57" w:type="dxa"/>
            </w:tcMar>
            <w:vAlign w:val="center"/>
          </w:tcPr>
          <w:p w14:paraId="25C55B8C">
            <w:pPr>
              <w:pStyle w:val="23"/>
            </w:pPr>
          </w:p>
        </w:tc>
      </w:tr>
      <w:tr w14:paraId="46A74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44" w:hRule="atLeast"/>
        </w:trPr>
        <w:tc>
          <w:tcPr>
            <w:tcW w:w="418" w:type="pct"/>
            <w:vMerge w:val="continue"/>
            <w:tcBorders>
              <w:tl2br w:val="nil"/>
              <w:tr2bl w:val="nil"/>
            </w:tcBorders>
            <w:tcMar>
              <w:top w:w="57" w:type="dxa"/>
              <w:left w:w="57" w:type="dxa"/>
              <w:bottom w:w="57" w:type="dxa"/>
              <w:right w:w="57" w:type="dxa"/>
            </w:tcMar>
            <w:vAlign w:val="center"/>
          </w:tcPr>
          <w:p w14:paraId="39A622E3">
            <w:pPr>
              <w:pStyle w:val="23"/>
              <w:jc w:val="center"/>
            </w:pPr>
          </w:p>
        </w:tc>
        <w:tc>
          <w:tcPr>
            <w:tcW w:w="266" w:type="pct"/>
            <w:tcBorders>
              <w:tl2br w:val="nil"/>
              <w:tr2bl w:val="nil"/>
            </w:tcBorders>
            <w:tcMar>
              <w:top w:w="57" w:type="dxa"/>
              <w:left w:w="57" w:type="dxa"/>
              <w:bottom w:w="57" w:type="dxa"/>
              <w:right w:w="57" w:type="dxa"/>
            </w:tcMar>
            <w:vAlign w:val="center"/>
          </w:tcPr>
          <w:p w14:paraId="3595268C">
            <w:pPr>
              <w:pStyle w:val="23"/>
              <w:jc w:val="center"/>
            </w:pPr>
            <w:r>
              <w:rPr>
                <w:rFonts w:hint="eastAsia"/>
              </w:rPr>
              <w:t>37</w:t>
            </w:r>
          </w:p>
        </w:tc>
        <w:tc>
          <w:tcPr>
            <w:tcW w:w="318" w:type="pct"/>
            <w:vMerge w:val="continue"/>
            <w:tcBorders>
              <w:tl2br w:val="nil"/>
              <w:tr2bl w:val="nil"/>
            </w:tcBorders>
            <w:tcMar>
              <w:top w:w="57" w:type="dxa"/>
              <w:left w:w="57" w:type="dxa"/>
              <w:bottom w:w="57" w:type="dxa"/>
              <w:right w:w="57" w:type="dxa"/>
            </w:tcMar>
            <w:vAlign w:val="center"/>
          </w:tcPr>
          <w:p w14:paraId="35F498A9">
            <w:pPr>
              <w:pStyle w:val="23"/>
              <w:jc w:val="center"/>
            </w:pPr>
          </w:p>
        </w:tc>
        <w:tc>
          <w:tcPr>
            <w:tcW w:w="2640" w:type="pct"/>
            <w:tcBorders>
              <w:tl2br w:val="nil"/>
              <w:tr2bl w:val="nil"/>
            </w:tcBorders>
            <w:tcMar>
              <w:top w:w="57" w:type="dxa"/>
              <w:left w:w="57" w:type="dxa"/>
              <w:bottom w:w="57" w:type="dxa"/>
              <w:right w:w="57" w:type="dxa"/>
            </w:tcMar>
            <w:vAlign w:val="center"/>
          </w:tcPr>
          <w:p w14:paraId="03915008">
            <w:pPr>
              <w:pStyle w:val="23"/>
            </w:pPr>
            <w:r>
              <w:rPr>
                <w:rFonts w:hint="eastAsia"/>
              </w:rPr>
              <w:t>对于成功创建2A级景区的单位一次性奖励10万元，成功创建3A级景区的单位一次性奖励30万元，成功创建4A级景区的单位一次性奖励50万元，成功创建5A级景区的单位一次性奖励100万元。进档升级的给予两档之间的差额奖励。对新评定的三星级、四星级、五星级农家乐分别一次性奖励3万元、5万元、8万元。进档升级的给予两档之间的差额奖励。对新评定为三星级、四星级、五星级的旅游饭店分别奖励10万元、30万元、50万元。进档升级的给予两档之间的差额奖励。</w:t>
            </w:r>
          </w:p>
        </w:tc>
        <w:tc>
          <w:tcPr>
            <w:tcW w:w="1356" w:type="pct"/>
            <w:vMerge w:val="restart"/>
            <w:tcBorders>
              <w:tl2br w:val="nil"/>
              <w:tr2bl w:val="nil"/>
            </w:tcBorders>
            <w:tcMar>
              <w:top w:w="57" w:type="dxa"/>
              <w:left w:w="57" w:type="dxa"/>
              <w:bottom w:w="57" w:type="dxa"/>
              <w:right w:w="57" w:type="dxa"/>
            </w:tcMar>
            <w:vAlign w:val="center"/>
          </w:tcPr>
          <w:p w14:paraId="78B80511">
            <w:pPr>
              <w:pStyle w:val="23"/>
            </w:pPr>
            <w:r>
              <w:rPr>
                <w:rFonts w:hint="eastAsia"/>
              </w:rPr>
              <w:t>2023年4月7日，《梁子湖区人民政府关于促进全域旅游产业发展的意见（试行）》（梁政发〔2023〕6号）</w:t>
            </w:r>
          </w:p>
        </w:tc>
      </w:tr>
      <w:tr w14:paraId="71DC8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44" w:hRule="atLeast"/>
        </w:trPr>
        <w:tc>
          <w:tcPr>
            <w:tcW w:w="418" w:type="pct"/>
            <w:vMerge w:val="continue"/>
            <w:tcBorders>
              <w:tl2br w:val="nil"/>
              <w:tr2bl w:val="nil"/>
            </w:tcBorders>
            <w:tcMar>
              <w:top w:w="57" w:type="dxa"/>
              <w:left w:w="57" w:type="dxa"/>
              <w:bottom w:w="57" w:type="dxa"/>
              <w:right w:w="57" w:type="dxa"/>
            </w:tcMar>
            <w:vAlign w:val="center"/>
          </w:tcPr>
          <w:p w14:paraId="1A326C8B">
            <w:pPr>
              <w:pStyle w:val="23"/>
              <w:jc w:val="center"/>
            </w:pPr>
          </w:p>
        </w:tc>
        <w:tc>
          <w:tcPr>
            <w:tcW w:w="266" w:type="pct"/>
            <w:tcBorders>
              <w:tl2br w:val="nil"/>
              <w:tr2bl w:val="nil"/>
            </w:tcBorders>
            <w:tcMar>
              <w:top w:w="57" w:type="dxa"/>
              <w:left w:w="57" w:type="dxa"/>
              <w:bottom w:w="57" w:type="dxa"/>
              <w:right w:w="57" w:type="dxa"/>
            </w:tcMar>
            <w:vAlign w:val="center"/>
          </w:tcPr>
          <w:p w14:paraId="1B7AC300">
            <w:pPr>
              <w:pStyle w:val="23"/>
              <w:jc w:val="center"/>
            </w:pPr>
            <w:r>
              <w:rPr>
                <w:rFonts w:hint="eastAsia"/>
              </w:rPr>
              <w:t>38</w:t>
            </w:r>
          </w:p>
        </w:tc>
        <w:tc>
          <w:tcPr>
            <w:tcW w:w="318" w:type="pct"/>
            <w:vMerge w:val="continue"/>
            <w:tcBorders>
              <w:tl2br w:val="nil"/>
              <w:tr2bl w:val="nil"/>
            </w:tcBorders>
            <w:tcMar>
              <w:top w:w="57" w:type="dxa"/>
              <w:left w:w="57" w:type="dxa"/>
              <w:bottom w:w="57" w:type="dxa"/>
              <w:right w:w="57" w:type="dxa"/>
            </w:tcMar>
            <w:vAlign w:val="center"/>
          </w:tcPr>
          <w:p w14:paraId="4F979ACF">
            <w:pPr>
              <w:pStyle w:val="23"/>
              <w:jc w:val="center"/>
            </w:pPr>
          </w:p>
        </w:tc>
        <w:tc>
          <w:tcPr>
            <w:tcW w:w="2640" w:type="pct"/>
            <w:tcBorders>
              <w:tl2br w:val="nil"/>
              <w:tr2bl w:val="nil"/>
            </w:tcBorders>
            <w:tcMar>
              <w:top w:w="57" w:type="dxa"/>
              <w:left w:w="57" w:type="dxa"/>
              <w:bottom w:w="57" w:type="dxa"/>
              <w:right w:w="57" w:type="dxa"/>
            </w:tcMar>
            <w:vAlign w:val="center"/>
          </w:tcPr>
          <w:p w14:paraId="061ADFCE">
            <w:pPr>
              <w:pStyle w:val="23"/>
            </w:pPr>
            <w:r>
              <w:rPr>
                <w:rFonts w:hint="eastAsia"/>
              </w:rPr>
              <w:t>根据文化和旅游部发布的《旅游民宿基本要求与评价》，对我区境内审批通过的新评定的丙级、乙级、甲级旅游民宿分别一次性奖励20万元、30万元、50万元。进档升级的给予两档之间的差额奖励。</w:t>
            </w:r>
          </w:p>
        </w:tc>
        <w:tc>
          <w:tcPr>
            <w:tcW w:w="1356" w:type="pct"/>
            <w:vMerge w:val="continue"/>
            <w:tcBorders>
              <w:tl2br w:val="nil"/>
              <w:tr2bl w:val="nil"/>
            </w:tcBorders>
            <w:tcMar>
              <w:top w:w="57" w:type="dxa"/>
              <w:left w:w="57" w:type="dxa"/>
              <w:bottom w:w="57" w:type="dxa"/>
              <w:right w:w="57" w:type="dxa"/>
            </w:tcMar>
            <w:vAlign w:val="center"/>
          </w:tcPr>
          <w:p w14:paraId="500884D4">
            <w:pPr>
              <w:pStyle w:val="23"/>
            </w:pPr>
          </w:p>
        </w:tc>
      </w:tr>
      <w:tr w14:paraId="0DE05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44" w:hRule="atLeast"/>
        </w:trPr>
        <w:tc>
          <w:tcPr>
            <w:tcW w:w="418" w:type="pct"/>
            <w:vMerge w:val="continue"/>
            <w:tcBorders>
              <w:tl2br w:val="nil"/>
              <w:tr2bl w:val="nil"/>
            </w:tcBorders>
            <w:tcMar>
              <w:top w:w="57" w:type="dxa"/>
              <w:left w:w="57" w:type="dxa"/>
              <w:bottom w:w="57" w:type="dxa"/>
              <w:right w:w="57" w:type="dxa"/>
            </w:tcMar>
            <w:vAlign w:val="center"/>
          </w:tcPr>
          <w:p w14:paraId="34FAD8BE">
            <w:pPr>
              <w:pStyle w:val="23"/>
              <w:jc w:val="center"/>
            </w:pPr>
          </w:p>
        </w:tc>
        <w:tc>
          <w:tcPr>
            <w:tcW w:w="266" w:type="pct"/>
            <w:tcBorders>
              <w:tl2br w:val="nil"/>
              <w:tr2bl w:val="nil"/>
            </w:tcBorders>
            <w:tcMar>
              <w:top w:w="57" w:type="dxa"/>
              <w:left w:w="57" w:type="dxa"/>
              <w:bottom w:w="57" w:type="dxa"/>
              <w:right w:w="57" w:type="dxa"/>
            </w:tcMar>
            <w:vAlign w:val="center"/>
          </w:tcPr>
          <w:p w14:paraId="1659B9A2">
            <w:pPr>
              <w:pStyle w:val="23"/>
              <w:jc w:val="center"/>
            </w:pPr>
            <w:r>
              <w:rPr>
                <w:rFonts w:hint="eastAsia"/>
              </w:rPr>
              <w:t>39</w:t>
            </w:r>
          </w:p>
        </w:tc>
        <w:tc>
          <w:tcPr>
            <w:tcW w:w="318" w:type="pct"/>
            <w:vMerge w:val="continue"/>
            <w:tcBorders>
              <w:tl2br w:val="nil"/>
              <w:tr2bl w:val="nil"/>
            </w:tcBorders>
            <w:tcMar>
              <w:top w:w="57" w:type="dxa"/>
              <w:left w:w="57" w:type="dxa"/>
              <w:bottom w:w="57" w:type="dxa"/>
              <w:right w:w="57" w:type="dxa"/>
            </w:tcMar>
            <w:vAlign w:val="center"/>
          </w:tcPr>
          <w:p w14:paraId="0B332FB5">
            <w:pPr>
              <w:pStyle w:val="23"/>
              <w:jc w:val="center"/>
            </w:pPr>
          </w:p>
        </w:tc>
        <w:tc>
          <w:tcPr>
            <w:tcW w:w="2640" w:type="pct"/>
            <w:tcBorders>
              <w:tl2br w:val="nil"/>
              <w:tr2bl w:val="nil"/>
            </w:tcBorders>
            <w:tcMar>
              <w:top w:w="57" w:type="dxa"/>
              <w:left w:w="57" w:type="dxa"/>
              <w:bottom w:w="57" w:type="dxa"/>
              <w:right w:w="57" w:type="dxa"/>
            </w:tcMar>
            <w:vAlign w:val="center"/>
          </w:tcPr>
          <w:p w14:paraId="45B9DA8A">
            <w:pPr>
              <w:pStyle w:val="23"/>
            </w:pPr>
            <w:r>
              <w:rPr>
                <w:rFonts w:hint="eastAsia"/>
              </w:rPr>
              <w:t>对旅游商品研发、生产、经营有突出贡献的企业，年营业额达到100万元以上的，给予3万元一次性奖励。对梁子湖区境内注册企业所生产的产品荣获“国家级特色旅游商品”、“省级特色旅游商品”称号的企业分别奖励10万元、5万元。</w:t>
            </w:r>
          </w:p>
        </w:tc>
        <w:tc>
          <w:tcPr>
            <w:tcW w:w="1356" w:type="pct"/>
            <w:vMerge w:val="continue"/>
            <w:tcBorders>
              <w:tl2br w:val="nil"/>
              <w:tr2bl w:val="nil"/>
            </w:tcBorders>
            <w:tcMar>
              <w:top w:w="57" w:type="dxa"/>
              <w:left w:w="57" w:type="dxa"/>
              <w:bottom w:w="57" w:type="dxa"/>
              <w:right w:w="57" w:type="dxa"/>
            </w:tcMar>
            <w:vAlign w:val="center"/>
          </w:tcPr>
          <w:p w14:paraId="0601CB49">
            <w:pPr>
              <w:pStyle w:val="23"/>
            </w:pPr>
          </w:p>
        </w:tc>
      </w:tr>
      <w:tr w14:paraId="7C699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44" w:hRule="atLeast"/>
        </w:trPr>
        <w:tc>
          <w:tcPr>
            <w:tcW w:w="418" w:type="pct"/>
            <w:vMerge w:val="continue"/>
            <w:tcBorders>
              <w:tl2br w:val="nil"/>
              <w:tr2bl w:val="nil"/>
            </w:tcBorders>
            <w:tcMar>
              <w:top w:w="57" w:type="dxa"/>
              <w:left w:w="57" w:type="dxa"/>
              <w:bottom w:w="57" w:type="dxa"/>
              <w:right w:w="57" w:type="dxa"/>
            </w:tcMar>
            <w:vAlign w:val="center"/>
          </w:tcPr>
          <w:p w14:paraId="72CCF31E">
            <w:pPr>
              <w:pStyle w:val="23"/>
              <w:jc w:val="center"/>
            </w:pPr>
          </w:p>
        </w:tc>
        <w:tc>
          <w:tcPr>
            <w:tcW w:w="266" w:type="pct"/>
            <w:tcBorders>
              <w:tl2br w:val="nil"/>
              <w:tr2bl w:val="nil"/>
            </w:tcBorders>
            <w:tcMar>
              <w:top w:w="57" w:type="dxa"/>
              <w:left w:w="57" w:type="dxa"/>
              <w:bottom w:w="57" w:type="dxa"/>
              <w:right w:w="57" w:type="dxa"/>
            </w:tcMar>
            <w:vAlign w:val="center"/>
          </w:tcPr>
          <w:p w14:paraId="3B97C44E">
            <w:pPr>
              <w:pStyle w:val="23"/>
              <w:jc w:val="center"/>
            </w:pPr>
            <w:r>
              <w:rPr>
                <w:rFonts w:hint="eastAsia"/>
              </w:rPr>
              <w:t>40</w:t>
            </w:r>
          </w:p>
        </w:tc>
        <w:tc>
          <w:tcPr>
            <w:tcW w:w="318" w:type="pct"/>
            <w:vMerge w:val="continue"/>
            <w:tcBorders>
              <w:tl2br w:val="nil"/>
              <w:tr2bl w:val="nil"/>
            </w:tcBorders>
            <w:tcMar>
              <w:top w:w="57" w:type="dxa"/>
              <w:left w:w="57" w:type="dxa"/>
              <w:bottom w:w="57" w:type="dxa"/>
              <w:right w:w="57" w:type="dxa"/>
            </w:tcMar>
            <w:vAlign w:val="center"/>
          </w:tcPr>
          <w:p w14:paraId="4852A84C">
            <w:pPr>
              <w:pStyle w:val="23"/>
              <w:jc w:val="center"/>
            </w:pPr>
          </w:p>
        </w:tc>
        <w:tc>
          <w:tcPr>
            <w:tcW w:w="2640" w:type="pct"/>
            <w:tcBorders>
              <w:tl2br w:val="nil"/>
              <w:tr2bl w:val="nil"/>
            </w:tcBorders>
            <w:tcMar>
              <w:top w:w="57" w:type="dxa"/>
              <w:left w:w="57" w:type="dxa"/>
              <w:bottom w:w="57" w:type="dxa"/>
              <w:right w:w="57" w:type="dxa"/>
            </w:tcMar>
            <w:vAlign w:val="center"/>
          </w:tcPr>
          <w:p w14:paraId="260F3BC9">
            <w:pPr>
              <w:pStyle w:val="23"/>
            </w:pPr>
            <w:r>
              <w:rPr>
                <w:rFonts w:hint="eastAsia"/>
              </w:rPr>
              <w:t>对经营面积100平方米以上、经营旅游商品、文创产品和“梁湖良品”等各类旅游产品品种50种以上，经营满1年且年营业额达100万元以上的，给予一次性奖励5万元。对被省文化和旅游部门授牌推荐的“旅游购物点”一次性追加1万元奖励。</w:t>
            </w:r>
          </w:p>
        </w:tc>
        <w:tc>
          <w:tcPr>
            <w:tcW w:w="1356" w:type="pct"/>
            <w:vMerge w:val="continue"/>
            <w:tcBorders>
              <w:tl2br w:val="nil"/>
              <w:tr2bl w:val="nil"/>
            </w:tcBorders>
            <w:tcMar>
              <w:top w:w="57" w:type="dxa"/>
              <w:left w:w="57" w:type="dxa"/>
              <w:bottom w:w="57" w:type="dxa"/>
              <w:right w:w="57" w:type="dxa"/>
            </w:tcMar>
            <w:vAlign w:val="center"/>
          </w:tcPr>
          <w:p w14:paraId="31754F22">
            <w:pPr>
              <w:pStyle w:val="23"/>
            </w:pPr>
          </w:p>
        </w:tc>
      </w:tr>
      <w:tr w14:paraId="1556D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418" w:type="pct"/>
            <w:vMerge w:val="continue"/>
            <w:tcBorders>
              <w:tl2br w:val="nil"/>
              <w:tr2bl w:val="nil"/>
            </w:tcBorders>
            <w:tcMar>
              <w:top w:w="57" w:type="dxa"/>
              <w:left w:w="57" w:type="dxa"/>
              <w:bottom w:w="57" w:type="dxa"/>
              <w:right w:w="57" w:type="dxa"/>
            </w:tcMar>
            <w:vAlign w:val="center"/>
          </w:tcPr>
          <w:p w14:paraId="7B1004B0">
            <w:pPr>
              <w:pStyle w:val="23"/>
              <w:jc w:val="center"/>
            </w:pPr>
          </w:p>
        </w:tc>
        <w:tc>
          <w:tcPr>
            <w:tcW w:w="266" w:type="pct"/>
            <w:tcBorders>
              <w:tl2br w:val="nil"/>
              <w:tr2bl w:val="nil"/>
            </w:tcBorders>
            <w:tcMar>
              <w:top w:w="57" w:type="dxa"/>
              <w:left w:w="57" w:type="dxa"/>
              <w:bottom w:w="57" w:type="dxa"/>
              <w:right w:w="57" w:type="dxa"/>
            </w:tcMar>
            <w:vAlign w:val="center"/>
          </w:tcPr>
          <w:p w14:paraId="3090C00F">
            <w:pPr>
              <w:pStyle w:val="23"/>
              <w:jc w:val="center"/>
            </w:pPr>
            <w:r>
              <w:rPr>
                <w:rFonts w:hint="eastAsia"/>
              </w:rPr>
              <w:t>41</w:t>
            </w:r>
          </w:p>
        </w:tc>
        <w:tc>
          <w:tcPr>
            <w:tcW w:w="318" w:type="pct"/>
            <w:vMerge w:val="continue"/>
            <w:tcBorders>
              <w:tl2br w:val="nil"/>
              <w:tr2bl w:val="nil"/>
            </w:tcBorders>
            <w:tcMar>
              <w:top w:w="57" w:type="dxa"/>
              <w:left w:w="57" w:type="dxa"/>
              <w:bottom w:w="57" w:type="dxa"/>
              <w:right w:w="57" w:type="dxa"/>
            </w:tcMar>
            <w:vAlign w:val="center"/>
          </w:tcPr>
          <w:p w14:paraId="3C24DD7C">
            <w:pPr>
              <w:pStyle w:val="23"/>
              <w:jc w:val="center"/>
            </w:pPr>
          </w:p>
        </w:tc>
        <w:tc>
          <w:tcPr>
            <w:tcW w:w="2640" w:type="pct"/>
            <w:tcBorders>
              <w:tl2br w:val="nil"/>
              <w:tr2bl w:val="nil"/>
            </w:tcBorders>
            <w:tcMar>
              <w:top w:w="57" w:type="dxa"/>
              <w:left w:w="57" w:type="dxa"/>
              <w:bottom w:w="57" w:type="dxa"/>
              <w:right w:w="57" w:type="dxa"/>
            </w:tcMar>
            <w:vAlign w:val="center"/>
          </w:tcPr>
          <w:p w14:paraId="6D51B64F">
            <w:pPr>
              <w:pStyle w:val="23"/>
            </w:pPr>
            <w:r>
              <w:rPr>
                <w:rFonts w:hint="eastAsia"/>
              </w:rPr>
              <w:t>对在我区注册许可经营的旅行社，给与旅行社优惠于市场价的团购价格；对于我区组织的职工外出考察学习、疗养康养、春游秋游团建、项目拉练等团体活动优先选择我区旅行社；对组织进入我区进行“两日游”及以上活动且年接待游客人数达2万人次的旅行社，凭旅行社有效游客登记表（以双方正式电子合同和宾馆酒店提供的住宿票据为依据），一次性奖励5万元；对组织进入我区进行“两日游”及以上活动且年接待游客人数达5万人次以上的旅行社，凭旅行社有效游客登记表（以双方正式电子合同和宾馆酒店提供的住宿票据为依据），一次性奖励10万元。</w:t>
            </w:r>
          </w:p>
        </w:tc>
        <w:tc>
          <w:tcPr>
            <w:tcW w:w="1356" w:type="pct"/>
            <w:vMerge w:val="continue"/>
            <w:tcBorders>
              <w:tl2br w:val="nil"/>
              <w:tr2bl w:val="nil"/>
            </w:tcBorders>
            <w:tcMar>
              <w:top w:w="57" w:type="dxa"/>
              <w:left w:w="57" w:type="dxa"/>
              <w:bottom w:w="57" w:type="dxa"/>
              <w:right w:w="57" w:type="dxa"/>
            </w:tcMar>
            <w:vAlign w:val="center"/>
          </w:tcPr>
          <w:p w14:paraId="72CBF3DA">
            <w:pPr>
              <w:pStyle w:val="23"/>
            </w:pPr>
          </w:p>
        </w:tc>
      </w:tr>
      <w:tr w14:paraId="505E1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4" w:hRule="atLeast"/>
        </w:trPr>
        <w:tc>
          <w:tcPr>
            <w:tcW w:w="418" w:type="pct"/>
            <w:vMerge w:val="continue"/>
            <w:tcBorders>
              <w:tl2br w:val="nil"/>
              <w:tr2bl w:val="nil"/>
            </w:tcBorders>
            <w:tcMar>
              <w:top w:w="57" w:type="dxa"/>
              <w:left w:w="57" w:type="dxa"/>
              <w:bottom w:w="57" w:type="dxa"/>
              <w:right w:w="57" w:type="dxa"/>
            </w:tcMar>
            <w:vAlign w:val="center"/>
          </w:tcPr>
          <w:p w14:paraId="3F4876B9">
            <w:pPr>
              <w:pStyle w:val="23"/>
              <w:jc w:val="center"/>
            </w:pPr>
          </w:p>
        </w:tc>
        <w:tc>
          <w:tcPr>
            <w:tcW w:w="266" w:type="pct"/>
            <w:tcBorders>
              <w:tl2br w:val="nil"/>
              <w:tr2bl w:val="nil"/>
            </w:tcBorders>
            <w:tcMar>
              <w:top w:w="57" w:type="dxa"/>
              <w:left w:w="57" w:type="dxa"/>
              <w:bottom w:w="57" w:type="dxa"/>
              <w:right w:w="57" w:type="dxa"/>
            </w:tcMar>
            <w:vAlign w:val="center"/>
          </w:tcPr>
          <w:p w14:paraId="59FF6309">
            <w:pPr>
              <w:pStyle w:val="23"/>
              <w:jc w:val="center"/>
            </w:pPr>
            <w:r>
              <w:rPr>
                <w:rFonts w:hint="eastAsia"/>
              </w:rPr>
              <w:t>42</w:t>
            </w:r>
          </w:p>
        </w:tc>
        <w:tc>
          <w:tcPr>
            <w:tcW w:w="318" w:type="pct"/>
            <w:vMerge w:val="continue"/>
            <w:tcBorders>
              <w:tl2br w:val="nil"/>
              <w:tr2bl w:val="nil"/>
            </w:tcBorders>
            <w:tcMar>
              <w:top w:w="57" w:type="dxa"/>
              <w:left w:w="57" w:type="dxa"/>
              <w:bottom w:w="57" w:type="dxa"/>
              <w:right w:w="57" w:type="dxa"/>
            </w:tcMar>
            <w:vAlign w:val="center"/>
          </w:tcPr>
          <w:p w14:paraId="35872337">
            <w:pPr>
              <w:pStyle w:val="23"/>
              <w:jc w:val="center"/>
            </w:pPr>
          </w:p>
        </w:tc>
        <w:tc>
          <w:tcPr>
            <w:tcW w:w="2640" w:type="pct"/>
            <w:tcBorders>
              <w:tl2br w:val="nil"/>
              <w:tr2bl w:val="nil"/>
            </w:tcBorders>
            <w:tcMar>
              <w:top w:w="57" w:type="dxa"/>
              <w:left w:w="57" w:type="dxa"/>
              <w:bottom w:w="57" w:type="dxa"/>
              <w:right w:w="57" w:type="dxa"/>
            </w:tcMar>
            <w:vAlign w:val="center"/>
          </w:tcPr>
          <w:p w14:paraId="1C5ED1BF">
            <w:pPr>
              <w:pStyle w:val="23"/>
            </w:pPr>
            <w:r>
              <w:rPr>
                <w:rFonts w:hint="eastAsia"/>
              </w:rPr>
              <w:t>对新评定的三星级、四星级、五星级农家乐分别一次性奖励3万元、5万元、8万元。对新获评国家甲、乙、丙级三个等级民宿的，分别一次性给予50万、30万、20万元补助，升级评定的奖励差额部分。</w:t>
            </w:r>
          </w:p>
        </w:tc>
        <w:tc>
          <w:tcPr>
            <w:tcW w:w="1356" w:type="pct"/>
            <w:vMerge w:val="restart"/>
            <w:tcBorders>
              <w:tl2br w:val="nil"/>
              <w:tr2bl w:val="nil"/>
            </w:tcBorders>
            <w:tcMar>
              <w:top w:w="57" w:type="dxa"/>
              <w:left w:w="57" w:type="dxa"/>
              <w:bottom w:w="57" w:type="dxa"/>
              <w:right w:w="57" w:type="dxa"/>
            </w:tcMar>
            <w:vAlign w:val="center"/>
          </w:tcPr>
          <w:p w14:paraId="7CA13AEA">
            <w:pPr>
              <w:pStyle w:val="23"/>
            </w:pPr>
            <w:r>
              <w:rPr>
                <w:rFonts w:hint="eastAsia"/>
              </w:rPr>
              <w:t>2023年4月7日，《梁子湖区人民政府关于支持农家乐、民宿产业发展的奖励办法》（梁政发〔2023〕7号）</w:t>
            </w:r>
          </w:p>
        </w:tc>
      </w:tr>
      <w:tr w14:paraId="4F550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4" w:hRule="atLeast"/>
        </w:trPr>
        <w:tc>
          <w:tcPr>
            <w:tcW w:w="418" w:type="pct"/>
            <w:vMerge w:val="continue"/>
            <w:tcBorders>
              <w:tl2br w:val="nil"/>
              <w:tr2bl w:val="nil"/>
            </w:tcBorders>
            <w:tcMar>
              <w:top w:w="57" w:type="dxa"/>
              <w:left w:w="57" w:type="dxa"/>
              <w:bottom w:w="57" w:type="dxa"/>
              <w:right w:w="57" w:type="dxa"/>
            </w:tcMar>
            <w:vAlign w:val="center"/>
          </w:tcPr>
          <w:p w14:paraId="45518D9C">
            <w:pPr>
              <w:pStyle w:val="23"/>
              <w:jc w:val="center"/>
            </w:pPr>
          </w:p>
        </w:tc>
        <w:tc>
          <w:tcPr>
            <w:tcW w:w="266" w:type="pct"/>
            <w:tcBorders>
              <w:tl2br w:val="nil"/>
              <w:tr2bl w:val="nil"/>
            </w:tcBorders>
            <w:tcMar>
              <w:top w:w="57" w:type="dxa"/>
              <w:left w:w="57" w:type="dxa"/>
              <w:bottom w:w="57" w:type="dxa"/>
              <w:right w:w="57" w:type="dxa"/>
            </w:tcMar>
            <w:vAlign w:val="center"/>
          </w:tcPr>
          <w:p w14:paraId="64B27588">
            <w:pPr>
              <w:pStyle w:val="23"/>
              <w:jc w:val="center"/>
            </w:pPr>
            <w:r>
              <w:rPr>
                <w:rFonts w:hint="eastAsia"/>
              </w:rPr>
              <w:t>43</w:t>
            </w:r>
          </w:p>
        </w:tc>
        <w:tc>
          <w:tcPr>
            <w:tcW w:w="318" w:type="pct"/>
            <w:vMerge w:val="continue"/>
            <w:tcBorders>
              <w:tl2br w:val="nil"/>
              <w:tr2bl w:val="nil"/>
            </w:tcBorders>
            <w:tcMar>
              <w:top w:w="57" w:type="dxa"/>
              <w:left w:w="57" w:type="dxa"/>
              <w:bottom w:w="57" w:type="dxa"/>
              <w:right w:w="57" w:type="dxa"/>
            </w:tcMar>
            <w:vAlign w:val="center"/>
          </w:tcPr>
          <w:p w14:paraId="2D53D6C5">
            <w:pPr>
              <w:pStyle w:val="23"/>
              <w:jc w:val="center"/>
            </w:pPr>
          </w:p>
        </w:tc>
        <w:tc>
          <w:tcPr>
            <w:tcW w:w="2640" w:type="pct"/>
            <w:tcBorders>
              <w:tl2br w:val="nil"/>
              <w:tr2bl w:val="nil"/>
            </w:tcBorders>
            <w:tcMar>
              <w:top w:w="57" w:type="dxa"/>
              <w:left w:w="57" w:type="dxa"/>
              <w:bottom w:w="57" w:type="dxa"/>
              <w:right w:w="57" w:type="dxa"/>
            </w:tcMar>
            <w:vAlign w:val="center"/>
          </w:tcPr>
          <w:p w14:paraId="046320C8">
            <w:pPr>
              <w:pStyle w:val="23"/>
            </w:pPr>
            <w:r>
              <w:rPr>
                <w:rFonts w:hint="eastAsia"/>
              </w:rPr>
              <w:t>支持市场主体统筹建设运营，单个市场主体经营民宿达10栋且经营客房达30间以上，每栋经营满一年，且内部装修标准达到丙级民宿装修要求的，按单栋民宿建筑面积100平方米至400平方米（含）和400平方米以上至800平方米（含）两个档次，分别给予一次性2万元、3万元奖励，奖励上限30万元。民宿固定资产投资额1000万元以上（不含土地价款）或整体（片）开发历史文化村落、景区村、旅游资源重点村集聚发展中高端民宿的，按“一事一议”原则，给予投资市场主体相应奖励。</w:t>
            </w:r>
          </w:p>
        </w:tc>
        <w:tc>
          <w:tcPr>
            <w:tcW w:w="1356" w:type="pct"/>
            <w:vMerge w:val="continue"/>
            <w:tcBorders>
              <w:tl2br w:val="nil"/>
              <w:tr2bl w:val="nil"/>
            </w:tcBorders>
            <w:tcMar>
              <w:top w:w="57" w:type="dxa"/>
              <w:left w:w="57" w:type="dxa"/>
              <w:bottom w:w="57" w:type="dxa"/>
              <w:right w:w="57" w:type="dxa"/>
            </w:tcMar>
            <w:vAlign w:val="center"/>
          </w:tcPr>
          <w:p w14:paraId="69ED4AA2">
            <w:pPr>
              <w:pStyle w:val="23"/>
            </w:pPr>
          </w:p>
        </w:tc>
      </w:tr>
      <w:tr w14:paraId="6AAC6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4" w:hRule="atLeast"/>
        </w:trPr>
        <w:tc>
          <w:tcPr>
            <w:tcW w:w="418" w:type="pct"/>
            <w:vMerge w:val="continue"/>
            <w:tcBorders>
              <w:tl2br w:val="nil"/>
              <w:tr2bl w:val="nil"/>
            </w:tcBorders>
            <w:tcMar>
              <w:top w:w="57" w:type="dxa"/>
              <w:left w:w="57" w:type="dxa"/>
              <w:bottom w:w="57" w:type="dxa"/>
              <w:right w:w="57" w:type="dxa"/>
            </w:tcMar>
            <w:vAlign w:val="center"/>
          </w:tcPr>
          <w:p w14:paraId="0C3827C2">
            <w:pPr>
              <w:pStyle w:val="23"/>
              <w:jc w:val="center"/>
            </w:pPr>
          </w:p>
        </w:tc>
        <w:tc>
          <w:tcPr>
            <w:tcW w:w="266" w:type="pct"/>
            <w:tcBorders>
              <w:tl2br w:val="nil"/>
              <w:tr2bl w:val="nil"/>
            </w:tcBorders>
            <w:tcMar>
              <w:top w:w="57" w:type="dxa"/>
              <w:left w:w="57" w:type="dxa"/>
              <w:bottom w:w="57" w:type="dxa"/>
              <w:right w:w="57" w:type="dxa"/>
            </w:tcMar>
            <w:vAlign w:val="center"/>
          </w:tcPr>
          <w:p w14:paraId="615A0435">
            <w:pPr>
              <w:pStyle w:val="23"/>
              <w:jc w:val="center"/>
            </w:pPr>
            <w:r>
              <w:rPr>
                <w:rFonts w:hint="eastAsia"/>
              </w:rPr>
              <w:t>44</w:t>
            </w:r>
          </w:p>
        </w:tc>
        <w:tc>
          <w:tcPr>
            <w:tcW w:w="318" w:type="pct"/>
            <w:vMerge w:val="continue"/>
            <w:tcBorders>
              <w:tl2br w:val="nil"/>
              <w:tr2bl w:val="nil"/>
            </w:tcBorders>
            <w:tcMar>
              <w:top w:w="57" w:type="dxa"/>
              <w:left w:w="57" w:type="dxa"/>
              <w:bottom w:w="57" w:type="dxa"/>
              <w:right w:w="57" w:type="dxa"/>
            </w:tcMar>
            <w:vAlign w:val="center"/>
          </w:tcPr>
          <w:p w14:paraId="55605113">
            <w:pPr>
              <w:pStyle w:val="23"/>
              <w:jc w:val="center"/>
            </w:pPr>
          </w:p>
        </w:tc>
        <w:tc>
          <w:tcPr>
            <w:tcW w:w="2640" w:type="pct"/>
            <w:tcBorders>
              <w:tl2br w:val="nil"/>
              <w:tr2bl w:val="nil"/>
            </w:tcBorders>
            <w:tcMar>
              <w:top w:w="57" w:type="dxa"/>
              <w:left w:w="57" w:type="dxa"/>
              <w:bottom w:w="57" w:type="dxa"/>
              <w:right w:w="57" w:type="dxa"/>
            </w:tcMar>
            <w:vAlign w:val="center"/>
          </w:tcPr>
          <w:p w14:paraId="6B132E5A">
            <w:pPr>
              <w:pStyle w:val="23"/>
            </w:pPr>
            <w:r>
              <w:rPr>
                <w:rFonts w:hint="eastAsia"/>
              </w:rPr>
              <w:t>国内外知名品牌民宿（国家乙级及以上）市场主体通过连锁、加盟、合资等模式在梁子湖区开办民宿，每新增一家同等级民宿正常运营满1年，且年营业额达50万元的，给予市场主体一次性奖励10万元。鼓励梁子湖区本地品牌（国家丙级及以上）民宿市场主体发展连锁民宿，在全区其他区域范围内发展同等级的民宿，每新增一家且年营业额达30万元的另外给予一次性奖励5万元。</w:t>
            </w:r>
          </w:p>
        </w:tc>
        <w:tc>
          <w:tcPr>
            <w:tcW w:w="1356" w:type="pct"/>
            <w:vMerge w:val="continue"/>
            <w:tcBorders>
              <w:tl2br w:val="nil"/>
              <w:tr2bl w:val="nil"/>
            </w:tcBorders>
            <w:tcMar>
              <w:top w:w="57" w:type="dxa"/>
              <w:left w:w="57" w:type="dxa"/>
              <w:bottom w:w="57" w:type="dxa"/>
              <w:right w:w="57" w:type="dxa"/>
            </w:tcMar>
            <w:vAlign w:val="center"/>
          </w:tcPr>
          <w:p w14:paraId="59E6147A">
            <w:pPr>
              <w:pStyle w:val="23"/>
            </w:pPr>
          </w:p>
        </w:tc>
      </w:tr>
      <w:tr w14:paraId="000C2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304" w:hRule="atLeast"/>
        </w:trPr>
        <w:tc>
          <w:tcPr>
            <w:tcW w:w="418" w:type="pct"/>
            <w:vMerge w:val="continue"/>
            <w:tcBorders>
              <w:tl2br w:val="nil"/>
              <w:tr2bl w:val="nil"/>
            </w:tcBorders>
            <w:tcMar>
              <w:top w:w="57" w:type="dxa"/>
              <w:left w:w="57" w:type="dxa"/>
              <w:bottom w:w="57" w:type="dxa"/>
              <w:right w:w="57" w:type="dxa"/>
            </w:tcMar>
            <w:vAlign w:val="center"/>
          </w:tcPr>
          <w:p w14:paraId="731741B8">
            <w:pPr>
              <w:pStyle w:val="23"/>
              <w:jc w:val="center"/>
            </w:pPr>
          </w:p>
        </w:tc>
        <w:tc>
          <w:tcPr>
            <w:tcW w:w="266" w:type="pct"/>
            <w:tcBorders>
              <w:tl2br w:val="nil"/>
              <w:tr2bl w:val="nil"/>
            </w:tcBorders>
            <w:tcMar>
              <w:top w:w="57" w:type="dxa"/>
              <w:left w:w="57" w:type="dxa"/>
              <w:bottom w:w="57" w:type="dxa"/>
              <w:right w:w="57" w:type="dxa"/>
            </w:tcMar>
            <w:vAlign w:val="center"/>
          </w:tcPr>
          <w:p w14:paraId="5E4121A9">
            <w:pPr>
              <w:pStyle w:val="23"/>
              <w:jc w:val="center"/>
            </w:pPr>
            <w:r>
              <w:rPr>
                <w:rFonts w:hint="eastAsia"/>
              </w:rPr>
              <w:t>45</w:t>
            </w:r>
          </w:p>
        </w:tc>
        <w:tc>
          <w:tcPr>
            <w:tcW w:w="318" w:type="pct"/>
            <w:vMerge w:val="continue"/>
            <w:tcBorders>
              <w:tl2br w:val="nil"/>
              <w:tr2bl w:val="nil"/>
            </w:tcBorders>
            <w:tcMar>
              <w:top w:w="57" w:type="dxa"/>
              <w:left w:w="57" w:type="dxa"/>
              <w:bottom w:w="57" w:type="dxa"/>
              <w:right w:w="57" w:type="dxa"/>
            </w:tcMar>
            <w:vAlign w:val="center"/>
          </w:tcPr>
          <w:p w14:paraId="03B526F1">
            <w:pPr>
              <w:pStyle w:val="23"/>
              <w:jc w:val="center"/>
            </w:pPr>
          </w:p>
        </w:tc>
        <w:tc>
          <w:tcPr>
            <w:tcW w:w="2640" w:type="pct"/>
            <w:tcBorders>
              <w:tl2br w:val="nil"/>
              <w:tr2bl w:val="nil"/>
            </w:tcBorders>
            <w:tcMar>
              <w:top w:w="57" w:type="dxa"/>
              <w:left w:w="57" w:type="dxa"/>
              <w:bottom w:w="57" w:type="dxa"/>
              <w:right w:w="57" w:type="dxa"/>
            </w:tcMar>
            <w:vAlign w:val="center"/>
          </w:tcPr>
          <w:p w14:paraId="57A39728">
            <w:pPr>
              <w:pStyle w:val="23"/>
            </w:pPr>
            <w:r>
              <w:rPr>
                <w:rFonts w:hint="eastAsia"/>
              </w:rPr>
              <w:t>对连续经营满1年、单次接待量达100人以上，年营业额达50万元以上的，且按三星级以上农家乐标准装修的，由经营主体提交申请资料，经区文旅局组织市场监管、住建、消防、税务等相关职能部门综合评定，列入我区星级农家乐培育名录的农家乐给与一次性1万元的奖励。</w:t>
            </w:r>
          </w:p>
        </w:tc>
        <w:tc>
          <w:tcPr>
            <w:tcW w:w="1356" w:type="pct"/>
            <w:vMerge w:val="continue"/>
            <w:tcBorders>
              <w:tl2br w:val="nil"/>
              <w:tr2bl w:val="nil"/>
            </w:tcBorders>
            <w:tcMar>
              <w:top w:w="57" w:type="dxa"/>
              <w:left w:w="57" w:type="dxa"/>
              <w:bottom w:w="57" w:type="dxa"/>
              <w:right w:w="57" w:type="dxa"/>
            </w:tcMar>
            <w:vAlign w:val="center"/>
          </w:tcPr>
          <w:p w14:paraId="39EACECB">
            <w:pPr>
              <w:pStyle w:val="23"/>
            </w:pPr>
          </w:p>
        </w:tc>
      </w:tr>
      <w:tr w14:paraId="1D4E1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7" w:hRule="atLeast"/>
        </w:trPr>
        <w:tc>
          <w:tcPr>
            <w:tcW w:w="418" w:type="pct"/>
            <w:vMerge w:val="continue"/>
            <w:tcBorders>
              <w:tl2br w:val="nil"/>
              <w:tr2bl w:val="nil"/>
            </w:tcBorders>
            <w:tcMar>
              <w:top w:w="57" w:type="dxa"/>
              <w:left w:w="57" w:type="dxa"/>
              <w:bottom w:w="57" w:type="dxa"/>
              <w:right w:w="57" w:type="dxa"/>
            </w:tcMar>
            <w:vAlign w:val="center"/>
          </w:tcPr>
          <w:p w14:paraId="6D14E972">
            <w:pPr>
              <w:pStyle w:val="23"/>
              <w:jc w:val="center"/>
            </w:pPr>
          </w:p>
        </w:tc>
        <w:tc>
          <w:tcPr>
            <w:tcW w:w="266" w:type="pct"/>
            <w:tcBorders>
              <w:tl2br w:val="nil"/>
              <w:tr2bl w:val="nil"/>
            </w:tcBorders>
            <w:tcMar>
              <w:top w:w="57" w:type="dxa"/>
              <w:left w:w="57" w:type="dxa"/>
              <w:bottom w:w="57" w:type="dxa"/>
              <w:right w:w="57" w:type="dxa"/>
            </w:tcMar>
            <w:vAlign w:val="center"/>
          </w:tcPr>
          <w:p w14:paraId="564C9EAB">
            <w:pPr>
              <w:pStyle w:val="23"/>
              <w:jc w:val="center"/>
            </w:pPr>
            <w:r>
              <w:rPr>
                <w:rFonts w:hint="eastAsia"/>
              </w:rPr>
              <w:t>46</w:t>
            </w:r>
          </w:p>
        </w:tc>
        <w:tc>
          <w:tcPr>
            <w:tcW w:w="318" w:type="pct"/>
            <w:vMerge w:val="continue"/>
            <w:tcBorders>
              <w:tl2br w:val="nil"/>
              <w:tr2bl w:val="nil"/>
            </w:tcBorders>
            <w:tcMar>
              <w:top w:w="57" w:type="dxa"/>
              <w:left w:w="57" w:type="dxa"/>
              <w:bottom w:w="57" w:type="dxa"/>
              <w:right w:w="57" w:type="dxa"/>
            </w:tcMar>
            <w:vAlign w:val="center"/>
          </w:tcPr>
          <w:p w14:paraId="546FEF18">
            <w:pPr>
              <w:pStyle w:val="23"/>
              <w:jc w:val="center"/>
            </w:pPr>
          </w:p>
        </w:tc>
        <w:tc>
          <w:tcPr>
            <w:tcW w:w="2640" w:type="pct"/>
            <w:tcBorders>
              <w:tl2br w:val="nil"/>
              <w:tr2bl w:val="nil"/>
            </w:tcBorders>
            <w:tcMar>
              <w:top w:w="57" w:type="dxa"/>
              <w:left w:w="57" w:type="dxa"/>
              <w:bottom w:w="57" w:type="dxa"/>
              <w:right w:w="57" w:type="dxa"/>
            </w:tcMar>
            <w:vAlign w:val="center"/>
          </w:tcPr>
          <w:p w14:paraId="653457EA">
            <w:pPr>
              <w:pStyle w:val="23"/>
            </w:pPr>
            <w:r>
              <w:rPr>
                <w:rFonts w:hint="eastAsia"/>
              </w:rPr>
              <w:t>鼓励市场主体按照先规划后建设的原则高标准新建民宿，或对已建成民宿进行提档升级。升级后的民宿连续经营满1年且经营客房达10间以上，年营业额达50万元以上的且按丙级民宿装修标准的由经营主体提交申请资料，经区文旅局组织相关职能部门综合评定列入我区精品等级民宿培育名录的，给予经营主体3万元的一次性奖励。支持民宿经营主体围绕特色文化、特色产业、非遗项目等打造主题民宿，突出特色精准定位，研究游客精准定制，按照单个市场主体最高不超过5万元的标准给予一次性奖补。</w:t>
            </w:r>
          </w:p>
        </w:tc>
        <w:tc>
          <w:tcPr>
            <w:tcW w:w="1356" w:type="pct"/>
            <w:vMerge w:val="continue"/>
            <w:tcBorders>
              <w:tl2br w:val="nil"/>
              <w:tr2bl w:val="nil"/>
            </w:tcBorders>
            <w:tcMar>
              <w:top w:w="57" w:type="dxa"/>
              <w:left w:w="57" w:type="dxa"/>
              <w:bottom w:w="57" w:type="dxa"/>
              <w:right w:w="57" w:type="dxa"/>
            </w:tcMar>
            <w:vAlign w:val="center"/>
          </w:tcPr>
          <w:p w14:paraId="241D90F0">
            <w:pPr>
              <w:pStyle w:val="23"/>
            </w:pPr>
          </w:p>
        </w:tc>
      </w:tr>
      <w:tr w14:paraId="00F1E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418" w:type="pct"/>
            <w:vMerge w:val="continue"/>
            <w:tcBorders>
              <w:tl2br w:val="nil"/>
              <w:tr2bl w:val="nil"/>
            </w:tcBorders>
            <w:tcMar>
              <w:top w:w="57" w:type="dxa"/>
              <w:left w:w="57" w:type="dxa"/>
              <w:bottom w:w="57" w:type="dxa"/>
              <w:right w:w="57" w:type="dxa"/>
            </w:tcMar>
            <w:vAlign w:val="center"/>
          </w:tcPr>
          <w:p w14:paraId="57701112">
            <w:pPr>
              <w:pStyle w:val="23"/>
              <w:jc w:val="center"/>
            </w:pPr>
          </w:p>
        </w:tc>
        <w:tc>
          <w:tcPr>
            <w:tcW w:w="266" w:type="pct"/>
            <w:tcBorders>
              <w:tl2br w:val="nil"/>
              <w:tr2bl w:val="nil"/>
            </w:tcBorders>
            <w:tcMar>
              <w:top w:w="57" w:type="dxa"/>
              <w:left w:w="57" w:type="dxa"/>
              <w:bottom w:w="57" w:type="dxa"/>
              <w:right w:w="57" w:type="dxa"/>
            </w:tcMar>
            <w:vAlign w:val="center"/>
          </w:tcPr>
          <w:p w14:paraId="014BBEDA">
            <w:pPr>
              <w:pStyle w:val="23"/>
              <w:jc w:val="center"/>
            </w:pPr>
            <w:r>
              <w:rPr>
                <w:rFonts w:hint="eastAsia"/>
              </w:rPr>
              <w:t>47</w:t>
            </w:r>
          </w:p>
        </w:tc>
        <w:tc>
          <w:tcPr>
            <w:tcW w:w="318" w:type="pct"/>
            <w:vMerge w:val="continue"/>
            <w:tcBorders>
              <w:tl2br w:val="nil"/>
              <w:tr2bl w:val="nil"/>
            </w:tcBorders>
            <w:tcMar>
              <w:top w:w="57" w:type="dxa"/>
              <w:left w:w="57" w:type="dxa"/>
              <w:bottom w:w="57" w:type="dxa"/>
              <w:right w:w="57" w:type="dxa"/>
            </w:tcMar>
            <w:vAlign w:val="center"/>
          </w:tcPr>
          <w:p w14:paraId="51E56678">
            <w:pPr>
              <w:pStyle w:val="23"/>
              <w:jc w:val="center"/>
            </w:pPr>
          </w:p>
        </w:tc>
        <w:tc>
          <w:tcPr>
            <w:tcW w:w="2640" w:type="pct"/>
            <w:tcBorders>
              <w:tl2br w:val="nil"/>
              <w:tr2bl w:val="nil"/>
            </w:tcBorders>
            <w:tcMar>
              <w:top w:w="57" w:type="dxa"/>
              <w:left w:w="57" w:type="dxa"/>
              <w:bottom w:w="57" w:type="dxa"/>
              <w:right w:w="57" w:type="dxa"/>
            </w:tcMar>
            <w:vAlign w:val="center"/>
          </w:tcPr>
          <w:p w14:paraId="6898E90D">
            <w:pPr>
              <w:pStyle w:val="23"/>
            </w:pPr>
            <w:r>
              <w:rPr>
                <w:rFonts w:hint="eastAsia"/>
              </w:rPr>
              <w:t>支持农家乐、民宿经营主体在解决农民就业、带动农民创业销售农副产品等方面发挥积极作用。带动5户（10人及以上）以上发展的，同等条件下优先纳入我区星级农家乐培育名录、精品等级民宿培育名录予以支持。经经发、统计、文旅部门认定，对销售“梁湖良品”等梁子湖本地特色农副产品年销售额达到30万元以上的农家乐、民宿经营主体，一次性给予1万元奖励。鼓励民宿经营主体线上宣传营销，入驻“一部手机游梁子湖”小程序平台，首次年网络销售额合计超过30万元的农家乐、民宿，一次性给予2万元奖励。</w:t>
            </w:r>
          </w:p>
        </w:tc>
        <w:tc>
          <w:tcPr>
            <w:tcW w:w="1356" w:type="pct"/>
            <w:vMerge w:val="continue"/>
            <w:tcBorders>
              <w:tl2br w:val="nil"/>
              <w:tr2bl w:val="nil"/>
            </w:tcBorders>
            <w:tcMar>
              <w:top w:w="57" w:type="dxa"/>
              <w:left w:w="57" w:type="dxa"/>
              <w:bottom w:w="57" w:type="dxa"/>
              <w:right w:w="57" w:type="dxa"/>
            </w:tcMar>
            <w:vAlign w:val="center"/>
          </w:tcPr>
          <w:p w14:paraId="4D318CC3">
            <w:pPr>
              <w:pStyle w:val="23"/>
            </w:pPr>
          </w:p>
        </w:tc>
      </w:tr>
      <w:tr w14:paraId="1F267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418" w:type="pct"/>
            <w:vMerge w:val="continue"/>
            <w:tcBorders>
              <w:tl2br w:val="nil"/>
              <w:tr2bl w:val="nil"/>
            </w:tcBorders>
            <w:tcMar>
              <w:top w:w="57" w:type="dxa"/>
              <w:left w:w="57" w:type="dxa"/>
              <w:bottom w:w="57" w:type="dxa"/>
              <w:right w:w="57" w:type="dxa"/>
            </w:tcMar>
            <w:vAlign w:val="center"/>
          </w:tcPr>
          <w:p w14:paraId="5AC62D3F">
            <w:pPr>
              <w:pStyle w:val="23"/>
              <w:jc w:val="center"/>
            </w:pPr>
          </w:p>
        </w:tc>
        <w:tc>
          <w:tcPr>
            <w:tcW w:w="266" w:type="pct"/>
            <w:tcBorders>
              <w:tl2br w:val="nil"/>
              <w:tr2bl w:val="nil"/>
            </w:tcBorders>
            <w:tcMar>
              <w:top w:w="57" w:type="dxa"/>
              <w:left w:w="57" w:type="dxa"/>
              <w:bottom w:w="57" w:type="dxa"/>
              <w:right w:w="57" w:type="dxa"/>
            </w:tcMar>
            <w:vAlign w:val="center"/>
          </w:tcPr>
          <w:p w14:paraId="7FC2AD04">
            <w:pPr>
              <w:pStyle w:val="23"/>
              <w:jc w:val="center"/>
            </w:pPr>
            <w:r>
              <w:rPr>
                <w:rFonts w:hint="eastAsia"/>
              </w:rPr>
              <w:t>48</w:t>
            </w:r>
          </w:p>
        </w:tc>
        <w:tc>
          <w:tcPr>
            <w:tcW w:w="318" w:type="pct"/>
            <w:vMerge w:val="continue"/>
            <w:tcBorders>
              <w:tl2br w:val="nil"/>
              <w:tr2bl w:val="nil"/>
            </w:tcBorders>
            <w:tcMar>
              <w:top w:w="57" w:type="dxa"/>
              <w:left w:w="57" w:type="dxa"/>
              <w:bottom w:w="57" w:type="dxa"/>
              <w:right w:w="57" w:type="dxa"/>
            </w:tcMar>
            <w:vAlign w:val="center"/>
          </w:tcPr>
          <w:p w14:paraId="6A7463AB">
            <w:pPr>
              <w:pStyle w:val="23"/>
              <w:jc w:val="center"/>
            </w:pPr>
          </w:p>
        </w:tc>
        <w:tc>
          <w:tcPr>
            <w:tcW w:w="2640" w:type="pct"/>
            <w:tcBorders>
              <w:tl2br w:val="nil"/>
              <w:tr2bl w:val="nil"/>
            </w:tcBorders>
            <w:tcMar>
              <w:top w:w="57" w:type="dxa"/>
              <w:left w:w="57" w:type="dxa"/>
              <w:bottom w:w="57" w:type="dxa"/>
              <w:right w:w="57" w:type="dxa"/>
            </w:tcMar>
            <w:vAlign w:val="center"/>
          </w:tcPr>
          <w:p w14:paraId="0E2082A6">
            <w:pPr>
              <w:pStyle w:val="23"/>
            </w:pPr>
            <w:r>
              <w:rPr>
                <w:rFonts w:hint="eastAsia"/>
              </w:rPr>
              <w:t>鼓励我区农家乐特色发展，每年年底从传承梁子湖传统菜品和创新推出梁子湖特色菜品贡献突出的农家乐中评选出梁子湖区特色农家乐3-5家，每家给予1万元一次性奖励。</w:t>
            </w:r>
          </w:p>
        </w:tc>
        <w:tc>
          <w:tcPr>
            <w:tcW w:w="1356" w:type="pct"/>
            <w:vMerge w:val="continue"/>
            <w:tcBorders>
              <w:tl2br w:val="nil"/>
              <w:tr2bl w:val="nil"/>
            </w:tcBorders>
            <w:tcMar>
              <w:top w:w="57" w:type="dxa"/>
              <w:left w:w="57" w:type="dxa"/>
              <w:bottom w:w="57" w:type="dxa"/>
              <w:right w:w="57" w:type="dxa"/>
            </w:tcMar>
            <w:vAlign w:val="center"/>
          </w:tcPr>
          <w:p w14:paraId="1040C085">
            <w:pPr>
              <w:pStyle w:val="23"/>
            </w:pPr>
          </w:p>
        </w:tc>
      </w:tr>
      <w:tr w14:paraId="11780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418" w:type="pct"/>
            <w:vMerge w:val="continue"/>
            <w:tcBorders>
              <w:tl2br w:val="nil"/>
              <w:tr2bl w:val="nil"/>
            </w:tcBorders>
            <w:tcMar>
              <w:top w:w="57" w:type="dxa"/>
              <w:left w:w="57" w:type="dxa"/>
              <w:bottom w:w="57" w:type="dxa"/>
              <w:right w:w="57" w:type="dxa"/>
            </w:tcMar>
            <w:vAlign w:val="center"/>
          </w:tcPr>
          <w:p w14:paraId="222B9043">
            <w:pPr>
              <w:pStyle w:val="23"/>
              <w:jc w:val="center"/>
            </w:pPr>
          </w:p>
        </w:tc>
        <w:tc>
          <w:tcPr>
            <w:tcW w:w="266" w:type="pct"/>
            <w:tcBorders>
              <w:tl2br w:val="nil"/>
              <w:tr2bl w:val="nil"/>
            </w:tcBorders>
            <w:tcMar>
              <w:top w:w="57" w:type="dxa"/>
              <w:left w:w="57" w:type="dxa"/>
              <w:bottom w:w="57" w:type="dxa"/>
              <w:right w:w="57" w:type="dxa"/>
            </w:tcMar>
            <w:vAlign w:val="center"/>
          </w:tcPr>
          <w:p w14:paraId="7C4A0C9D">
            <w:pPr>
              <w:pStyle w:val="23"/>
              <w:jc w:val="center"/>
            </w:pPr>
            <w:r>
              <w:rPr>
                <w:rFonts w:hint="eastAsia"/>
              </w:rPr>
              <w:t>49</w:t>
            </w:r>
          </w:p>
        </w:tc>
        <w:tc>
          <w:tcPr>
            <w:tcW w:w="318" w:type="pct"/>
            <w:vMerge w:val="continue"/>
            <w:tcBorders>
              <w:tl2br w:val="nil"/>
              <w:tr2bl w:val="nil"/>
            </w:tcBorders>
            <w:tcMar>
              <w:top w:w="57" w:type="dxa"/>
              <w:left w:w="57" w:type="dxa"/>
              <w:bottom w:w="57" w:type="dxa"/>
              <w:right w:w="57" w:type="dxa"/>
            </w:tcMar>
            <w:vAlign w:val="center"/>
          </w:tcPr>
          <w:p w14:paraId="3FD2DEAB">
            <w:pPr>
              <w:pStyle w:val="23"/>
              <w:jc w:val="center"/>
            </w:pPr>
          </w:p>
        </w:tc>
        <w:tc>
          <w:tcPr>
            <w:tcW w:w="2640" w:type="pct"/>
            <w:tcBorders>
              <w:tl2br w:val="nil"/>
              <w:tr2bl w:val="nil"/>
            </w:tcBorders>
            <w:tcMar>
              <w:top w:w="57" w:type="dxa"/>
              <w:left w:w="57" w:type="dxa"/>
              <w:bottom w:w="57" w:type="dxa"/>
              <w:right w:w="57" w:type="dxa"/>
            </w:tcMar>
            <w:vAlign w:val="center"/>
          </w:tcPr>
          <w:p w14:paraId="17B514E0">
            <w:pPr>
              <w:pStyle w:val="23"/>
            </w:pPr>
            <w:r>
              <w:rPr>
                <w:rFonts w:hint="eastAsia"/>
              </w:rPr>
              <w:t>鼓励民宿品质化发展，从营销模式、活动举办、经营方式等创新特色发展，全区每年根据特色运营情况综合评选出3-5家优秀民宿运营主体，每个给予1万元奖励。支持民宿经营主体建设特色阅读点、非遗项目工坊，举办各类民俗文化艺术活动，视活动规模，按照不超过3万元的标准给予一次性奖补。</w:t>
            </w:r>
          </w:p>
        </w:tc>
        <w:tc>
          <w:tcPr>
            <w:tcW w:w="1356" w:type="pct"/>
            <w:vMerge w:val="continue"/>
            <w:tcBorders>
              <w:tl2br w:val="nil"/>
              <w:tr2bl w:val="nil"/>
            </w:tcBorders>
            <w:tcMar>
              <w:top w:w="57" w:type="dxa"/>
              <w:left w:w="57" w:type="dxa"/>
              <w:bottom w:w="57" w:type="dxa"/>
              <w:right w:w="57" w:type="dxa"/>
            </w:tcMar>
            <w:vAlign w:val="center"/>
          </w:tcPr>
          <w:p w14:paraId="18EE852F">
            <w:pPr>
              <w:pStyle w:val="23"/>
            </w:pPr>
          </w:p>
        </w:tc>
      </w:tr>
      <w:tr w14:paraId="7ABC9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418" w:type="pct"/>
            <w:vMerge w:val="continue"/>
            <w:tcBorders>
              <w:tl2br w:val="nil"/>
              <w:tr2bl w:val="nil"/>
            </w:tcBorders>
            <w:tcMar>
              <w:top w:w="57" w:type="dxa"/>
              <w:left w:w="57" w:type="dxa"/>
              <w:bottom w:w="57" w:type="dxa"/>
              <w:right w:w="57" w:type="dxa"/>
            </w:tcMar>
            <w:vAlign w:val="center"/>
          </w:tcPr>
          <w:p w14:paraId="4552AD65">
            <w:pPr>
              <w:pStyle w:val="23"/>
              <w:jc w:val="center"/>
            </w:pPr>
          </w:p>
        </w:tc>
        <w:tc>
          <w:tcPr>
            <w:tcW w:w="266" w:type="pct"/>
            <w:tcBorders>
              <w:tl2br w:val="nil"/>
              <w:tr2bl w:val="nil"/>
            </w:tcBorders>
            <w:tcMar>
              <w:top w:w="57" w:type="dxa"/>
              <w:left w:w="57" w:type="dxa"/>
              <w:bottom w:w="57" w:type="dxa"/>
              <w:right w:w="57" w:type="dxa"/>
            </w:tcMar>
            <w:vAlign w:val="center"/>
          </w:tcPr>
          <w:p w14:paraId="0FD2DDED">
            <w:pPr>
              <w:pStyle w:val="23"/>
              <w:jc w:val="center"/>
            </w:pPr>
            <w:r>
              <w:rPr>
                <w:rFonts w:hint="eastAsia"/>
              </w:rPr>
              <w:t>50</w:t>
            </w:r>
          </w:p>
        </w:tc>
        <w:tc>
          <w:tcPr>
            <w:tcW w:w="318" w:type="pct"/>
            <w:vMerge w:val="continue"/>
            <w:tcBorders>
              <w:tl2br w:val="nil"/>
              <w:tr2bl w:val="nil"/>
            </w:tcBorders>
            <w:tcMar>
              <w:top w:w="57" w:type="dxa"/>
              <w:left w:w="57" w:type="dxa"/>
              <w:bottom w:w="57" w:type="dxa"/>
              <w:right w:w="57" w:type="dxa"/>
            </w:tcMar>
            <w:vAlign w:val="center"/>
          </w:tcPr>
          <w:p w14:paraId="27988598">
            <w:pPr>
              <w:pStyle w:val="23"/>
              <w:jc w:val="center"/>
            </w:pPr>
          </w:p>
        </w:tc>
        <w:tc>
          <w:tcPr>
            <w:tcW w:w="2640" w:type="pct"/>
            <w:tcBorders>
              <w:tl2br w:val="nil"/>
              <w:tr2bl w:val="nil"/>
            </w:tcBorders>
            <w:tcMar>
              <w:top w:w="57" w:type="dxa"/>
              <w:left w:w="57" w:type="dxa"/>
              <w:bottom w:w="57" w:type="dxa"/>
              <w:right w:w="57" w:type="dxa"/>
            </w:tcMar>
            <w:vAlign w:val="center"/>
          </w:tcPr>
          <w:p w14:paraId="2149F069">
            <w:pPr>
              <w:pStyle w:val="23"/>
            </w:pPr>
            <w:r>
              <w:rPr>
                <w:rFonts w:hint="eastAsia"/>
              </w:rPr>
              <w:t>旅行社组织游客（含疗休养）来我区旅游，入住推荐民宿的，按每间每晚15元对我区地接社进行奖励。</w:t>
            </w:r>
          </w:p>
        </w:tc>
        <w:tc>
          <w:tcPr>
            <w:tcW w:w="1356" w:type="pct"/>
            <w:vMerge w:val="continue"/>
            <w:tcBorders>
              <w:tl2br w:val="nil"/>
              <w:tr2bl w:val="nil"/>
            </w:tcBorders>
            <w:tcMar>
              <w:top w:w="57" w:type="dxa"/>
              <w:left w:w="57" w:type="dxa"/>
              <w:bottom w:w="57" w:type="dxa"/>
              <w:right w:w="57" w:type="dxa"/>
            </w:tcMar>
            <w:vAlign w:val="center"/>
          </w:tcPr>
          <w:p w14:paraId="2C98BDF8">
            <w:pPr>
              <w:pStyle w:val="23"/>
            </w:pPr>
          </w:p>
        </w:tc>
      </w:tr>
      <w:tr w14:paraId="2F459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418" w:type="pct"/>
            <w:vMerge w:val="continue"/>
            <w:tcBorders>
              <w:tl2br w:val="nil"/>
              <w:tr2bl w:val="nil"/>
            </w:tcBorders>
            <w:tcMar>
              <w:top w:w="57" w:type="dxa"/>
              <w:left w:w="57" w:type="dxa"/>
              <w:bottom w:w="57" w:type="dxa"/>
              <w:right w:w="57" w:type="dxa"/>
            </w:tcMar>
            <w:vAlign w:val="center"/>
          </w:tcPr>
          <w:p w14:paraId="2F88C96F">
            <w:pPr>
              <w:pStyle w:val="23"/>
              <w:jc w:val="center"/>
            </w:pPr>
          </w:p>
        </w:tc>
        <w:tc>
          <w:tcPr>
            <w:tcW w:w="266" w:type="pct"/>
            <w:tcBorders>
              <w:tl2br w:val="nil"/>
              <w:tr2bl w:val="nil"/>
            </w:tcBorders>
            <w:tcMar>
              <w:top w:w="57" w:type="dxa"/>
              <w:left w:w="57" w:type="dxa"/>
              <w:bottom w:w="57" w:type="dxa"/>
              <w:right w:w="57" w:type="dxa"/>
            </w:tcMar>
            <w:vAlign w:val="center"/>
          </w:tcPr>
          <w:p w14:paraId="2DA473FA">
            <w:pPr>
              <w:pStyle w:val="23"/>
              <w:jc w:val="center"/>
            </w:pPr>
            <w:r>
              <w:rPr>
                <w:rFonts w:hint="eastAsia"/>
              </w:rPr>
              <w:t>51</w:t>
            </w:r>
          </w:p>
        </w:tc>
        <w:tc>
          <w:tcPr>
            <w:tcW w:w="318" w:type="pct"/>
            <w:tcBorders>
              <w:tl2br w:val="nil"/>
              <w:tr2bl w:val="nil"/>
            </w:tcBorders>
            <w:tcMar>
              <w:top w:w="57" w:type="dxa"/>
              <w:left w:w="57" w:type="dxa"/>
              <w:bottom w:w="57" w:type="dxa"/>
              <w:right w:w="57" w:type="dxa"/>
            </w:tcMar>
            <w:vAlign w:val="center"/>
          </w:tcPr>
          <w:p w14:paraId="190210B2">
            <w:pPr>
              <w:pStyle w:val="23"/>
              <w:jc w:val="center"/>
            </w:pPr>
            <w:r>
              <w:rPr>
                <w:rFonts w:hint="eastAsia"/>
              </w:rPr>
              <w:t>要素保障类</w:t>
            </w:r>
          </w:p>
        </w:tc>
        <w:tc>
          <w:tcPr>
            <w:tcW w:w="2640" w:type="pct"/>
            <w:tcBorders>
              <w:tl2br w:val="nil"/>
              <w:tr2bl w:val="nil"/>
            </w:tcBorders>
            <w:tcMar>
              <w:top w:w="57" w:type="dxa"/>
              <w:left w:w="57" w:type="dxa"/>
              <w:bottom w:w="57" w:type="dxa"/>
              <w:right w:w="57" w:type="dxa"/>
            </w:tcMar>
            <w:vAlign w:val="center"/>
          </w:tcPr>
          <w:p w14:paraId="7F472C17">
            <w:pPr>
              <w:pStyle w:val="23"/>
            </w:pPr>
            <w:r>
              <w:rPr>
                <w:rFonts w:hint="eastAsia"/>
              </w:rPr>
              <w:t>对列入省级重点项目，积极争取和兑现土地年度计划指标、耕地占补指标优惠政策。对符合国家扶持的科技类的省级重点项目，地方政府给予土地指标覆盖。</w:t>
            </w:r>
          </w:p>
        </w:tc>
        <w:tc>
          <w:tcPr>
            <w:tcW w:w="1356" w:type="pct"/>
            <w:tcBorders>
              <w:tl2br w:val="nil"/>
              <w:tr2bl w:val="nil"/>
            </w:tcBorders>
            <w:tcMar>
              <w:top w:w="57" w:type="dxa"/>
              <w:left w:w="57" w:type="dxa"/>
              <w:bottom w:w="57" w:type="dxa"/>
              <w:right w:w="57" w:type="dxa"/>
            </w:tcMar>
            <w:vAlign w:val="center"/>
          </w:tcPr>
          <w:p w14:paraId="68736DBB">
            <w:pPr>
              <w:pStyle w:val="23"/>
            </w:pPr>
            <w:r>
              <w:rPr>
                <w:rFonts w:hint="eastAsia"/>
              </w:rPr>
              <w:t>2023年3月9日，《梁子湖区人民政府关于进一步加快创新发展的三十条措施》（梁政发〔2023〕2号）</w:t>
            </w:r>
          </w:p>
        </w:tc>
      </w:tr>
      <w:tr w14:paraId="7F59F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418" w:type="pct"/>
            <w:vMerge w:val="restart"/>
            <w:tcBorders>
              <w:tl2br w:val="nil"/>
              <w:tr2bl w:val="nil"/>
            </w:tcBorders>
            <w:tcMar>
              <w:top w:w="57" w:type="dxa"/>
              <w:left w:w="57" w:type="dxa"/>
              <w:bottom w:w="57" w:type="dxa"/>
              <w:right w:w="57" w:type="dxa"/>
            </w:tcMar>
            <w:vAlign w:val="center"/>
          </w:tcPr>
          <w:p w14:paraId="1BC0615B">
            <w:pPr>
              <w:pStyle w:val="23"/>
              <w:jc w:val="center"/>
            </w:pPr>
            <w:r>
              <w:rPr>
                <w:rFonts w:hint="eastAsia"/>
              </w:rPr>
              <w:t>葛店经开区</w:t>
            </w:r>
          </w:p>
        </w:tc>
        <w:tc>
          <w:tcPr>
            <w:tcW w:w="266" w:type="pct"/>
            <w:tcBorders>
              <w:tl2br w:val="nil"/>
              <w:tr2bl w:val="nil"/>
            </w:tcBorders>
            <w:tcMar>
              <w:top w:w="57" w:type="dxa"/>
              <w:left w:w="57" w:type="dxa"/>
              <w:bottom w:w="57" w:type="dxa"/>
              <w:right w:w="57" w:type="dxa"/>
            </w:tcMar>
            <w:vAlign w:val="center"/>
          </w:tcPr>
          <w:p w14:paraId="3E63AA2A">
            <w:pPr>
              <w:pStyle w:val="23"/>
              <w:jc w:val="center"/>
            </w:pPr>
            <w:r>
              <w:rPr>
                <w:rFonts w:hint="eastAsia"/>
              </w:rPr>
              <w:t>1</w:t>
            </w:r>
          </w:p>
        </w:tc>
        <w:tc>
          <w:tcPr>
            <w:tcW w:w="318" w:type="pct"/>
            <w:vMerge w:val="restart"/>
            <w:tcBorders>
              <w:tl2br w:val="nil"/>
              <w:tr2bl w:val="nil"/>
            </w:tcBorders>
            <w:tcMar>
              <w:top w:w="57" w:type="dxa"/>
              <w:left w:w="57" w:type="dxa"/>
              <w:bottom w:w="57" w:type="dxa"/>
              <w:right w:w="57" w:type="dxa"/>
            </w:tcMar>
            <w:vAlign w:val="center"/>
          </w:tcPr>
          <w:p w14:paraId="1083D963">
            <w:pPr>
              <w:pStyle w:val="23"/>
              <w:jc w:val="center"/>
            </w:pPr>
            <w:r>
              <w:rPr>
                <w:rFonts w:hint="eastAsia"/>
              </w:rPr>
              <w:t>优化服务类</w:t>
            </w:r>
          </w:p>
        </w:tc>
        <w:tc>
          <w:tcPr>
            <w:tcW w:w="2640" w:type="pct"/>
            <w:tcBorders>
              <w:tl2br w:val="nil"/>
              <w:tr2bl w:val="nil"/>
            </w:tcBorders>
            <w:tcMar>
              <w:top w:w="57" w:type="dxa"/>
              <w:left w:w="57" w:type="dxa"/>
              <w:bottom w:w="57" w:type="dxa"/>
              <w:right w:w="57" w:type="dxa"/>
            </w:tcMar>
            <w:vAlign w:val="center"/>
          </w:tcPr>
          <w:p w14:paraId="2D37736C">
            <w:pPr>
              <w:pStyle w:val="23"/>
            </w:pPr>
            <w:r>
              <w:rPr>
                <w:rFonts w:hint="eastAsia"/>
              </w:rPr>
              <w:t>持续优化“四办”“五减”。除需要部门并联审批的事项外，环节不得超过2个；除工程建设、施工工程或其它须现场核验的外，办理时限不得超过1个工作日，尽量压缩至2个小时内。</w:t>
            </w:r>
          </w:p>
        </w:tc>
        <w:tc>
          <w:tcPr>
            <w:tcW w:w="1356" w:type="pct"/>
            <w:tcBorders>
              <w:tl2br w:val="nil"/>
              <w:tr2bl w:val="nil"/>
            </w:tcBorders>
            <w:tcMar>
              <w:top w:w="57" w:type="dxa"/>
              <w:left w:w="57" w:type="dxa"/>
              <w:bottom w:w="57" w:type="dxa"/>
              <w:right w:w="57" w:type="dxa"/>
            </w:tcMar>
            <w:vAlign w:val="center"/>
          </w:tcPr>
          <w:p w14:paraId="4353C283">
            <w:pPr>
              <w:pStyle w:val="23"/>
            </w:pPr>
            <w:r>
              <w:rPr>
                <w:rFonts w:hint="eastAsia"/>
              </w:rPr>
              <w:t>2022年6月14日，《中共葛店开发区工委  葛店开发区管委会关于印发&lt;葛店开发区持续深化一流营商环境建设2022年行动方案&gt;的通知》（鄂葛开工〔2022〕10号）</w:t>
            </w:r>
          </w:p>
        </w:tc>
      </w:tr>
      <w:tr w14:paraId="3F73B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418" w:type="pct"/>
            <w:vMerge w:val="continue"/>
            <w:tcBorders>
              <w:tl2br w:val="nil"/>
              <w:tr2bl w:val="nil"/>
            </w:tcBorders>
            <w:tcMar>
              <w:top w:w="57" w:type="dxa"/>
              <w:left w:w="57" w:type="dxa"/>
              <w:bottom w:w="57" w:type="dxa"/>
              <w:right w:w="57" w:type="dxa"/>
            </w:tcMar>
            <w:vAlign w:val="center"/>
          </w:tcPr>
          <w:p w14:paraId="38A51495">
            <w:pPr>
              <w:pStyle w:val="23"/>
              <w:jc w:val="center"/>
            </w:pPr>
          </w:p>
        </w:tc>
        <w:tc>
          <w:tcPr>
            <w:tcW w:w="266" w:type="pct"/>
            <w:tcBorders>
              <w:tl2br w:val="nil"/>
              <w:tr2bl w:val="nil"/>
            </w:tcBorders>
            <w:tcMar>
              <w:top w:w="57" w:type="dxa"/>
              <w:left w:w="57" w:type="dxa"/>
              <w:bottom w:w="57" w:type="dxa"/>
              <w:right w:w="57" w:type="dxa"/>
            </w:tcMar>
            <w:vAlign w:val="center"/>
          </w:tcPr>
          <w:p w14:paraId="30136F46">
            <w:pPr>
              <w:pStyle w:val="23"/>
              <w:jc w:val="center"/>
            </w:pPr>
            <w:r>
              <w:rPr>
                <w:rFonts w:hint="eastAsia"/>
              </w:rPr>
              <w:t>2</w:t>
            </w:r>
          </w:p>
        </w:tc>
        <w:tc>
          <w:tcPr>
            <w:tcW w:w="318" w:type="pct"/>
            <w:vMerge w:val="continue"/>
            <w:tcBorders>
              <w:tl2br w:val="nil"/>
              <w:tr2bl w:val="nil"/>
            </w:tcBorders>
            <w:tcMar>
              <w:top w:w="57" w:type="dxa"/>
              <w:left w:w="57" w:type="dxa"/>
              <w:bottom w:w="57" w:type="dxa"/>
              <w:right w:w="57" w:type="dxa"/>
            </w:tcMar>
            <w:vAlign w:val="center"/>
          </w:tcPr>
          <w:p w14:paraId="74A08D6B">
            <w:pPr>
              <w:pStyle w:val="23"/>
              <w:jc w:val="center"/>
            </w:pPr>
          </w:p>
        </w:tc>
        <w:tc>
          <w:tcPr>
            <w:tcW w:w="2640" w:type="pct"/>
            <w:tcBorders>
              <w:tl2br w:val="nil"/>
              <w:tr2bl w:val="nil"/>
            </w:tcBorders>
            <w:tcMar>
              <w:top w:w="57" w:type="dxa"/>
              <w:left w:w="57" w:type="dxa"/>
              <w:bottom w:w="57" w:type="dxa"/>
              <w:right w:w="57" w:type="dxa"/>
            </w:tcMar>
            <w:vAlign w:val="center"/>
          </w:tcPr>
          <w:p w14:paraId="4E5E3C87">
            <w:pPr>
              <w:pStyle w:val="23"/>
            </w:pPr>
            <w:r>
              <w:rPr>
                <w:rFonts w:hint="eastAsia"/>
              </w:rPr>
              <w:t>政企恳谈会每月第二周择机召开，每次会议参加企业5-10家，围绕参会企业提出的诉求、建议，现场协调解决或交由责任单位限期解决。</w:t>
            </w:r>
          </w:p>
        </w:tc>
        <w:tc>
          <w:tcPr>
            <w:tcW w:w="1356" w:type="pct"/>
            <w:tcBorders>
              <w:tl2br w:val="nil"/>
              <w:tr2bl w:val="nil"/>
            </w:tcBorders>
            <w:tcMar>
              <w:top w:w="57" w:type="dxa"/>
              <w:left w:w="57" w:type="dxa"/>
              <w:bottom w:w="57" w:type="dxa"/>
              <w:right w:w="57" w:type="dxa"/>
            </w:tcMar>
            <w:vAlign w:val="center"/>
          </w:tcPr>
          <w:p w14:paraId="1044EE39">
            <w:pPr>
              <w:pStyle w:val="23"/>
            </w:pPr>
            <w:r>
              <w:rPr>
                <w:rFonts w:hint="eastAsia"/>
              </w:rPr>
              <w:t>2022年7月26日，《区优化营商环境领导小组关于印发&lt;葛店开发区政企恳谈会工作制度（试行）&gt;的通知》（鄂葛优化发〔2022〕1号）</w:t>
            </w:r>
          </w:p>
        </w:tc>
      </w:tr>
      <w:tr w14:paraId="44E29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7" w:hRule="atLeast"/>
        </w:trPr>
        <w:tc>
          <w:tcPr>
            <w:tcW w:w="418" w:type="pct"/>
            <w:vMerge w:val="continue"/>
            <w:tcBorders>
              <w:tl2br w:val="nil"/>
              <w:tr2bl w:val="nil"/>
            </w:tcBorders>
            <w:tcMar>
              <w:top w:w="57" w:type="dxa"/>
              <w:left w:w="57" w:type="dxa"/>
              <w:bottom w:w="57" w:type="dxa"/>
              <w:right w:w="57" w:type="dxa"/>
            </w:tcMar>
            <w:vAlign w:val="center"/>
          </w:tcPr>
          <w:p w14:paraId="558398DB">
            <w:pPr>
              <w:pStyle w:val="23"/>
              <w:jc w:val="center"/>
            </w:pPr>
          </w:p>
        </w:tc>
        <w:tc>
          <w:tcPr>
            <w:tcW w:w="266" w:type="pct"/>
            <w:tcBorders>
              <w:tl2br w:val="nil"/>
              <w:tr2bl w:val="nil"/>
            </w:tcBorders>
            <w:tcMar>
              <w:top w:w="57" w:type="dxa"/>
              <w:left w:w="57" w:type="dxa"/>
              <w:bottom w:w="57" w:type="dxa"/>
              <w:right w:w="57" w:type="dxa"/>
            </w:tcMar>
            <w:vAlign w:val="center"/>
          </w:tcPr>
          <w:p w14:paraId="348BF41C">
            <w:pPr>
              <w:pStyle w:val="23"/>
              <w:jc w:val="center"/>
            </w:pPr>
            <w:r>
              <w:rPr>
                <w:rFonts w:hint="eastAsia"/>
              </w:rPr>
              <w:t>3</w:t>
            </w:r>
          </w:p>
        </w:tc>
        <w:tc>
          <w:tcPr>
            <w:tcW w:w="318" w:type="pct"/>
            <w:vMerge w:val="continue"/>
            <w:tcBorders>
              <w:tl2br w:val="nil"/>
              <w:tr2bl w:val="nil"/>
            </w:tcBorders>
            <w:tcMar>
              <w:top w:w="57" w:type="dxa"/>
              <w:left w:w="57" w:type="dxa"/>
              <w:bottom w:w="57" w:type="dxa"/>
              <w:right w:w="57" w:type="dxa"/>
            </w:tcMar>
            <w:vAlign w:val="center"/>
          </w:tcPr>
          <w:p w14:paraId="782094E2">
            <w:pPr>
              <w:pStyle w:val="23"/>
              <w:jc w:val="center"/>
            </w:pPr>
          </w:p>
        </w:tc>
        <w:tc>
          <w:tcPr>
            <w:tcW w:w="2640" w:type="pct"/>
            <w:tcBorders>
              <w:tl2br w:val="nil"/>
              <w:tr2bl w:val="nil"/>
            </w:tcBorders>
            <w:tcMar>
              <w:top w:w="57" w:type="dxa"/>
              <w:left w:w="57" w:type="dxa"/>
              <w:bottom w:w="57" w:type="dxa"/>
              <w:right w:w="57" w:type="dxa"/>
            </w:tcMar>
            <w:vAlign w:val="center"/>
          </w:tcPr>
          <w:p w14:paraId="14FCA395">
            <w:pPr>
              <w:pStyle w:val="23"/>
            </w:pPr>
            <w:r>
              <w:rPr>
                <w:rFonts w:hint="eastAsia"/>
              </w:rPr>
              <w:t>在工业用地“标准地”出让基础上，对确定了建设内容、规划建设条件明确、建筑结构相对筒单或采用标准化方案设计的企业投资备案类工业项目（危化项目除外），在招商阶段充分协商的基础上，利用土地挂牌出让到签订出让合同的间隙，同步进行方案设计、施工图设计和施工图审，完成施工许可审查，在签订土地出让合同、缴清土地出让金、契税后，当日在同一窗口、一次核发项目设计方案意见书、建设用地规划许可证、建设工程规划许可证、不动产登记证和建筑工程施工许可证，实现五证同发。</w:t>
            </w:r>
          </w:p>
        </w:tc>
        <w:tc>
          <w:tcPr>
            <w:tcW w:w="1356" w:type="pct"/>
            <w:tcBorders>
              <w:tl2br w:val="nil"/>
              <w:tr2bl w:val="nil"/>
            </w:tcBorders>
            <w:tcMar>
              <w:top w:w="57" w:type="dxa"/>
              <w:left w:w="57" w:type="dxa"/>
              <w:bottom w:w="57" w:type="dxa"/>
              <w:right w:w="57" w:type="dxa"/>
            </w:tcMar>
            <w:vAlign w:val="center"/>
          </w:tcPr>
          <w:p w14:paraId="3B1C39CF">
            <w:pPr>
              <w:pStyle w:val="23"/>
            </w:pPr>
            <w:r>
              <w:rPr>
                <w:rFonts w:hint="eastAsia"/>
              </w:rPr>
              <w:t>2022年8月31日，《葛店开发区新增工业用地“标准地”出让五证同发审批改革实施方案的通知》（鄂葛党政办发〔2022〕37号）</w:t>
            </w:r>
          </w:p>
        </w:tc>
      </w:tr>
      <w:tr w14:paraId="4727E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74" w:hRule="atLeast"/>
        </w:trPr>
        <w:tc>
          <w:tcPr>
            <w:tcW w:w="418" w:type="pct"/>
            <w:vMerge w:val="continue"/>
            <w:tcBorders>
              <w:tl2br w:val="nil"/>
              <w:tr2bl w:val="nil"/>
            </w:tcBorders>
            <w:tcMar>
              <w:top w:w="57" w:type="dxa"/>
              <w:left w:w="57" w:type="dxa"/>
              <w:bottom w:w="57" w:type="dxa"/>
              <w:right w:w="57" w:type="dxa"/>
            </w:tcMar>
            <w:vAlign w:val="center"/>
          </w:tcPr>
          <w:p w14:paraId="4444AA92">
            <w:pPr>
              <w:pStyle w:val="23"/>
              <w:jc w:val="center"/>
            </w:pPr>
          </w:p>
        </w:tc>
        <w:tc>
          <w:tcPr>
            <w:tcW w:w="266" w:type="pct"/>
            <w:tcBorders>
              <w:tl2br w:val="nil"/>
              <w:tr2bl w:val="nil"/>
            </w:tcBorders>
            <w:tcMar>
              <w:top w:w="57" w:type="dxa"/>
              <w:left w:w="57" w:type="dxa"/>
              <w:bottom w:w="57" w:type="dxa"/>
              <w:right w:w="57" w:type="dxa"/>
            </w:tcMar>
            <w:vAlign w:val="center"/>
          </w:tcPr>
          <w:p w14:paraId="19507FA7">
            <w:pPr>
              <w:pStyle w:val="23"/>
              <w:jc w:val="center"/>
            </w:pPr>
            <w:r>
              <w:rPr>
                <w:rFonts w:hint="eastAsia"/>
              </w:rPr>
              <w:t>4</w:t>
            </w:r>
          </w:p>
        </w:tc>
        <w:tc>
          <w:tcPr>
            <w:tcW w:w="318" w:type="pct"/>
            <w:vMerge w:val="continue"/>
            <w:tcBorders>
              <w:tl2br w:val="nil"/>
              <w:tr2bl w:val="nil"/>
            </w:tcBorders>
            <w:tcMar>
              <w:top w:w="57" w:type="dxa"/>
              <w:left w:w="57" w:type="dxa"/>
              <w:bottom w:w="57" w:type="dxa"/>
              <w:right w:w="57" w:type="dxa"/>
            </w:tcMar>
            <w:vAlign w:val="center"/>
          </w:tcPr>
          <w:p w14:paraId="403DF0A0">
            <w:pPr>
              <w:pStyle w:val="23"/>
              <w:jc w:val="center"/>
            </w:pPr>
          </w:p>
        </w:tc>
        <w:tc>
          <w:tcPr>
            <w:tcW w:w="2640" w:type="pct"/>
            <w:tcBorders>
              <w:tl2br w:val="nil"/>
              <w:tr2bl w:val="nil"/>
            </w:tcBorders>
            <w:tcMar>
              <w:top w:w="57" w:type="dxa"/>
              <w:left w:w="57" w:type="dxa"/>
              <w:bottom w:w="57" w:type="dxa"/>
              <w:right w:w="57" w:type="dxa"/>
            </w:tcMar>
            <w:vAlign w:val="center"/>
          </w:tcPr>
          <w:p w14:paraId="2345047E">
            <w:pPr>
              <w:pStyle w:val="23"/>
            </w:pPr>
            <w:r>
              <w:rPr>
                <w:rFonts w:hint="eastAsia"/>
              </w:rPr>
              <w:t>以“新城葛店”微信公众平台为载体，建立了政企沟通平台，工作路径包括企业诉求提报、优化办受理、经开区管委会对应部门反馈、企业点评、监察回访等5个环节，形成诉求“提出－受理－反馈－点评－回访”的工作闭环。</w:t>
            </w:r>
          </w:p>
        </w:tc>
        <w:tc>
          <w:tcPr>
            <w:tcW w:w="1356" w:type="pct"/>
            <w:tcBorders>
              <w:tl2br w:val="nil"/>
              <w:tr2bl w:val="nil"/>
            </w:tcBorders>
            <w:tcMar>
              <w:top w:w="57" w:type="dxa"/>
              <w:left w:w="57" w:type="dxa"/>
              <w:bottom w:w="57" w:type="dxa"/>
              <w:right w:w="57" w:type="dxa"/>
            </w:tcMar>
            <w:vAlign w:val="center"/>
          </w:tcPr>
          <w:p w14:paraId="29CA0B80">
            <w:pPr>
              <w:pStyle w:val="23"/>
            </w:pPr>
            <w:r>
              <w:rPr>
                <w:rFonts w:hint="eastAsia"/>
              </w:rPr>
              <w:t>2022年10月9日，《区优化营商环境领导小组关于印发&lt;葛店开发区政企沟通平台工作制度（试行）&gt;的通知》（鄂葛优化发〔2022〕2号）</w:t>
            </w:r>
          </w:p>
        </w:tc>
      </w:tr>
      <w:tr w14:paraId="4DED2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74" w:hRule="atLeast"/>
        </w:trPr>
        <w:tc>
          <w:tcPr>
            <w:tcW w:w="418" w:type="pct"/>
            <w:vMerge w:val="continue"/>
            <w:tcBorders>
              <w:tl2br w:val="nil"/>
              <w:tr2bl w:val="nil"/>
            </w:tcBorders>
            <w:tcMar>
              <w:top w:w="57" w:type="dxa"/>
              <w:left w:w="57" w:type="dxa"/>
              <w:bottom w:w="57" w:type="dxa"/>
              <w:right w:w="57" w:type="dxa"/>
            </w:tcMar>
            <w:vAlign w:val="center"/>
          </w:tcPr>
          <w:p w14:paraId="614A78D8">
            <w:pPr>
              <w:pStyle w:val="23"/>
              <w:jc w:val="center"/>
            </w:pPr>
          </w:p>
        </w:tc>
        <w:tc>
          <w:tcPr>
            <w:tcW w:w="266" w:type="pct"/>
            <w:tcBorders>
              <w:tl2br w:val="nil"/>
              <w:tr2bl w:val="nil"/>
            </w:tcBorders>
            <w:tcMar>
              <w:top w:w="57" w:type="dxa"/>
              <w:left w:w="57" w:type="dxa"/>
              <w:bottom w:w="57" w:type="dxa"/>
              <w:right w:w="57" w:type="dxa"/>
            </w:tcMar>
            <w:vAlign w:val="center"/>
          </w:tcPr>
          <w:p w14:paraId="010ACFF0">
            <w:pPr>
              <w:pStyle w:val="23"/>
              <w:jc w:val="center"/>
            </w:pPr>
            <w:r>
              <w:rPr>
                <w:rFonts w:hint="eastAsia"/>
              </w:rPr>
              <w:t>5</w:t>
            </w:r>
          </w:p>
        </w:tc>
        <w:tc>
          <w:tcPr>
            <w:tcW w:w="318" w:type="pct"/>
            <w:vMerge w:val="continue"/>
            <w:tcBorders>
              <w:tl2br w:val="nil"/>
              <w:tr2bl w:val="nil"/>
            </w:tcBorders>
            <w:tcMar>
              <w:top w:w="57" w:type="dxa"/>
              <w:left w:w="57" w:type="dxa"/>
              <w:bottom w:w="57" w:type="dxa"/>
              <w:right w:w="57" w:type="dxa"/>
            </w:tcMar>
            <w:vAlign w:val="center"/>
          </w:tcPr>
          <w:p w14:paraId="16D7D905">
            <w:pPr>
              <w:pStyle w:val="23"/>
              <w:jc w:val="center"/>
            </w:pPr>
          </w:p>
        </w:tc>
        <w:tc>
          <w:tcPr>
            <w:tcW w:w="2640" w:type="pct"/>
            <w:tcBorders>
              <w:tl2br w:val="nil"/>
              <w:tr2bl w:val="nil"/>
            </w:tcBorders>
            <w:tcMar>
              <w:top w:w="57" w:type="dxa"/>
              <w:left w:w="57" w:type="dxa"/>
              <w:bottom w:w="57" w:type="dxa"/>
              <w:right w:w="57" w:type="dxa"/>
            </w:tcMar>
            <w:vAlign w:val="center"/>
          </w:tcPr>
          <w:p w14:paraId="71AD5C72">
            <w:pPr>
              <w:pStyle w:val="23"/>
            </w:pPr>
            <w:r>
              <w:rPr>
                <w:rFonts w:hint="eastAsia"/>
              </w:rPr>
              <w:t>在原有水电气联动报装基础上，将热力、排水、通信、广播等公共事业服务纳入联动报装范围，扩大联动报装的服务范围。实现水电气网等公用事项“一网通办、一表申请、并联办理”。采取“企业意向登记、供能单位主动服务”的方式，简化接入流程（0个环节，平台推送、踏勘、审批、施工、接入等环节前置）、精简申报材料（0份，平台录入推送）、压缩办理时限（0个工作日，提前布局周边管网，期间即完成直接接入）、降低办理费用（外线规划红线接水接气0费用，办电报装容量在160千瓦及以下的用户0费用）。</w:t>
            </w:r>
          </w:p>
        </w:tc>
        <w:tc>
          <w:tcPr>
            <w:tcW w:w="1356" w:type="pct"/>
            <w:tcBorders>
              <w:tl2br w:val="nil"/>
              <w:tr2bl w:val="nil"/>
            </w:tcBorders>
            <w:tcMar>
              <w:top w:w="57" w:type="dxa"/>
              <w:left w:w="57" w:type="dxa"/>
              <w:bottom w:w="57" w:type="dxa"/>
              <w:right w:w="57" w:type="dxa"/>
            </w:tcMar>
            <w:vAlign w:val="center"/>
          </w:tcPr>
          <w:p w14:paraId="22C07FA2">
            <w:pPr>
              <w:pStyle w:val="23"/>
            </w:pPr>
            <w:r>
              <w:rPr>
                <w:rFonts w:hint="eastAsia"/>
              </w:rPr>
              <w:t>2022年10月18日，《葛店开发区工改办关于印发&lt;葛店经开区用能联动报装实施方案（试行）&gt;的通知》（鄂葛开工改办〔2022〕10号）</w:t>
            </w:r>
          </w:p>
        </w:tc>
      </w:tr>
      <w:tr w14:paraId="6C3A4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74" w:hRule="atLeast"/>
        </w:trPr>
        <w:tc>
          <w:tcPr>
            <w:tcW w:w="418" w:type="pct"/>
            <w:vMerge w:val="continue"/>
            <w:tcBorders>
              <w:tl2br w:val="nil"/>
              <w:tr2bl w:val="nil"/>
            </w:tcBorders>
            <w:tcMar>
              <w:top w:w="57" w:type="dxa"/>
              <w:left w:w="57" w:type="dxa"/>
              <w:bottom w:w="57" w:type="dxa"/>
              <w:right w:w="57" w:type="dxa"/>
            </w:tcMar>
            <w:vAlign w:val="center"/>
          </w:tcPr>
          <w:p w14:paraId="1F4851A2">
            <w:pPr>
              <w:pStyle w:val="23"/>
              <w:jc w:val="center"/>
            </w:pPr>
          </w:p>
        </w:tc>
        <w:tc>
          <w:tcPr>
            <w:tcW w:w="266" w:type="pct"/>
            <w:tcBorders>
              <w:tl2br w:val="nil"/>
              <w:tr2bl w:val="nil"/>
            </w:tcBorders>
            <w:tcMar>
              <w:top w:w="57" w:type="dxa"/>
              <w:left w:w="57" w:type="dxa"/>
              <w:bottom w:w="57" w:type="dxa"/>
              <w:right w:w="57" w:type="dxa"/>
            </w:tcMar>
            <w:vAlign w:val="center"/>
          </w:tcPr>
          <w:p w14:paraId="34708526">
            <w:pPr>
              <w:pStyle w:val="23"/>
              <w:jc w:val="center"/>
            </w:pPr>
            <w:r>
              <w:rPr>
                <w:rFonts w:hint="eastAsia"/>
              </w:rPr>
              <w:t>6</w:t>
            </w:r>
          </w:p>
        </w:tc>
        <w:tc>
          <w:tcPr>
            <w:tcW w:w="318" w:type="pct"/>
            <w:vMerge w:val="continue"/>
            <w:tcBorders>
              <w:tl2br w:val="nil"/>
              <w:tr2bl w:val="nil"/>
            </w:tcBorders>
            <w:tcMar>
              <w:top w:w="57" w:type="dxa"/>
              <w:left w:w="57" w:type="dxa"/>
              <w:bottom w:w="57" w:type="dxa"/>
              <w:right w:w="57" w:type="dxa"/>
            </w:tcMar>
            <w:vAlign w:val="center"/>
          </w:tcPr>
          <w:p w14:paraId="5BB0DFB7">
            <w:pPr>
              <w:pStyle w:val="23"/>
              <w:jc w:val="center"/>
            </w:pPr>
          </w:p>
        </w:tc>
        <w:tc>
          <w:tcPr>
            <w:tcW w:w="2640" w:type="pct"/>
            <w:tcBorders>
              <w:tl2br w:val="nil"/>
              <w:tr2bl w:val="nil"/>
            </w:tcBorders>
            <w:tcMar>
              <w:top w:w="57" w:type="dxa"/>
              <w:left w:w="57" w:type="dxa"/>
              <w:bottom w:w="57" w:type="dxa"/>
              <w:right w:w="57" w:type="dxa"/>
            </w:tcMar>
            <w:vAlign w:val="center"/>
          </w:tcPr>
          <w:p w14:paraId="2B835250">
            <w:pPr>
              <w:pStyle w:val="23"/>
            </w:pPr>
            <w:r>
              <w:rPr>
                <w:rFonts w:hint="eastAsia"/>
              </w:rPr>
              <w:t>采购人应在中标（成交）通知书发出之日起20个工作日内与中标（成交）供应商签订政府采购合同，并在合同中约定预付款的时间和比例，预付款比例原则上不低于合同总额的50%。政府采购合同签订生效且具备实施条件后5个工作日内支付预付款。凡是实施的政府采购项目，无论金额大小，都必须进行履约验收。</w:t>
            </w:r>
          </w:p>
        </w:tc>
        <w:tc>
          <w:tcPr>
            <w:tcW w:w="1356" w:type="pct"/>
            <w:tcBorders>
              <w:tl2br w:val="nil"/>
              <w:tr2bl w:val="nil"/>
            </w:tcBorders>
            <w:tcMar>
              <w:top w:w="57" w:type="dxa"/>
              <w:left w:w="57" w:type="dxa"/>
              <w:bottom w:w="57" w:type="dxa"/>
              <w:right w:w="57" w:type="dxa"/>
            </w:tcMar>
            <w:vAlign w:val="center"/>
          </w:tcPr>
          <w:p w14:paraId="67F990F1">
            <w:pPr>
              <w:pStyle w:val="23"/>
            </w:pPr>
            <w:r>
              <w:rPr>
                <w:rFonts w:hint="eastAsia"/>
              </w:rPr>
              <w:t>2022年11月30日，《葛店经开区财政金融审计局关于加强政府采购合同支付及履约验收管理的通知》（鄂葛财发〔2022〕32号）</w:t>
            </w:r>
          </w:p>
        </w:tc>
      </w:tr>
      <w:tr w14:paraId="6886C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74" w:hRule="atLeast"/>
        </w:trPr>
        <w:tc>
          <w:tcPr>
            <w:tcW w:w="418" w:type="pct"/>
            <w:vMerge w:val="continue"/>
            <w:tcBorders>
              <w:tl2br w:val="nil"/>
              <w:tr2bl w:val="nil"/>
            </w:tcBorders>
            <w:tcMar>
              <w:top w:w="57" w:type="dxa"/>
              <w:left w:w="57" w:type="dxa"/>
              <w:bottom w:w="57" w:type="dxa"/>
              <w:right w:w="57" w:type="dxa"/>
            </w:tcMar>
            <w:vAlign w:val="center"/>
          </w:tcPr>
          <w:p w14:paraId="13615289">
            <w:pPr>
              <w:pStyle w:val="23"/>
              <w:jc w:val="center"/>
            </w:pPr>
          </w:p>
        </w:tc>
        <w:tc>
          <w:tcPr>
            <w:tcW w:w="266" w:type="pct"/>
            <w:tcBorders>
              <w:tl2br w:val="nil"/>
              <w:tr2bl w:val="nil"/>
            </w:tcBorders>
            <w:tcMar>
              <w:top w:w="57" w:type="dxa"/>
              <w:left w:w="57" w:type="dxa"/>
              <w:bottom w:w="57" w:type="dxa"/>
              <w:right w:w="57" w:type="dxa"/>
            </w:tcMar>
            <w:vAlign w:val="center"/>
          </w:tcPr>
          <w:p w14:paraId="17A81CED">
            <w:pPr>
              <w:pStyle w:val="23"/>
              <w:jc w:val="center"/>
            </w:pPr>
            <w:r>
              <w:rPr>
                <w:rFonts w:hint="eastAsia"/>
              </w:rPr>
              <w:t>7</w:t>
            </w:r>
          </w:p>
        </w:tc>
        <w:tc>
          <w:tcPr>
            <w:tcW w:w="318" w:type="pct"/>
            <w:vMerge w:val="continue"/>
            <w:tcBorders>
              <w:tl2br w:val="nil"/>
              <w:tr2bl w:val="nil"/>
            </w:tcBorders>
            <w:tcMar>
              <w:top w:w="57" w:type="dxa"/>
              <w:left w:w="57" w:type="dxa"/>
              <w:bottom w:w="57" w:type="dxa"/>
              <w:right w:w="57" w:type="dxa"/>
            </w:tcMar>
            <w:vAlign w:val="center"/>
          </w:tcPr>
          <w:p w14:paraId="276A6AB2">
            <w:pPr>
              <w:pStyle w:val="23"/>
              <w:jc w:val="center"/>
            </w:pPr>
          </w:p>
        </w:tc>
        <w:tc>
          <w:tcPr>
            <w:tcW w:w="2640" w:type="pct"/>
            <w:tcBorders>
              <w:tl2br w:val="nil"/>
              <w:tr2bl w:val="nil"/>
            </w:tcBorders>
            <w:tcMar>
              <w:top w:w="57" w:type="dxa"/>
              <w:left w:w="57" w:type="dxa"/>
              <w:bottom w:w="57" w:type="dxa"/>
              <w:right w:w="57" w:type="dxa"/>
            </w:tcMar>
            <w:vAlign w:val="center"/>
          </w:tcPr>
          <w:p w14:paraId="388BE3CA">
            <w:pPr>
              <w:pStyle w:val="23"/>
            </w:pPr>
            <w:r>
              <w:rPr>
                <w:rFonts w:hint="eastAsia"/>
              </w:rPr>
              <w:t>针对不动产登记、开办企业、社保医保、水电气报装等高频办理事项，推动相关业务主管单位遴选一批业务骨干担任“首席服务员”，打破行政职级、授予岗位相应审批权，实现跨部门“一人受理、全程服务”。</w:t>
            </w:r>
          </w:p>
        </w:tc>
        <w:tc>
          <w:tcPr>
            <w:tcW w:w="1356" w:type="pct"/>
            <w:tcBorders>
              <w:tl2br w:val="nil"/>
              <w:tr2bl w:val="nil"/>
            </w:tcBorders>
            <w:tcMar>
              <w:top w:w="57" w:type="dxa"/>
              <w:left w:w="57" w:type="dxa"/>
              <w:bottom w:w="57" w:type="dxa"/>
              <w:right w:w="57" w:type="dxa"/>
            </w:tcMar>
            <w:vAlign w:val="center"/>
          </w:tcPr>
          <w:p w14:paraId="69AE8DE7">
            <w:pPr>
              <w:pStyle w:val="23"/>
            </w:pPr>
            <w:r>
              <w:rPr>
                <w:rFonts w:hint="eastAsia"/>
              </w:rPr>
              <w:t>2023年3月8日，《区优化办关于印发&lt;葛店经开区以控制成本为核心优化营商环境实施方案&gt;的通知》（鄂葛优化办〔2023〕1号）</w:t>
            </w:r>
          </w:p>
        </w:tc>
      </w:tr>
      <w:tr w14:paraId="17523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74" w:hRule="atLeast"/>
        </w:trPr>
        <w:tc>
          <w:tcPr>
            <w:tcW w:w="418" w:type="pct"/>
            <w:vMerge w:val="continue"/>
            <w:tcBorders>
              <w:tl2br w:val="nil"/>
              <w:tr2bl w:val="nil"/>
            </w:tcBorders>
            <w:tcMar>
              <w:top w:w="57" w:type="dxa"/>
              <w:left w:w="57" w:type="dxa"/>
              <w:bottom w:w="57" w:type="dxa"/>
              <w:right w:w="57" w:type="dxa"/>
            </w:tcMar>
            <w:vAlign w:val="center"/>
          </w:tcPr>
          <w:p w14:paraId="15CFAAC4">
            <w:pPr>
              <w:pStyle w:val="23"/>
              <w:jc w:val="center"/>
            </w:pPr>
          </w:p>
        </w:tc>
        <w:tc>
          <w:tcPr>
            <w:tcW w:w="266" w:type="pct"/>
            <w:tcBorders>
              <w:tl2br w:val="nil"/>
              <w:tr2bl w:val="nil"/>
            </w:tcBorders>
            <w:tcMar>
              <w:top w:w="57" w:type="dxa"/>
              <w:left w:w="57" w:type="dxa"/>
              <w:bottom w:w="57" w:type="dxa"/>
              <w:right w:w="57" w:type="dxa"/>
            </w:tcMar>
            <w:vAlign w:val="center"/>
          </w:tcPr>
          <w:p w14:paraId="5AD6EC34">
            <w:pPr>
              <w:pStyle w:val="23"/>
              <w:jc w:val="center"/>
            </w:pPr>
            <w:r>
              <w:rPr>
                <w:rFonts w:hint="eastAsia"/>
              </w:rPr>
              <w:t>8</w:t>
            </w:r>
          </w:p>
        </w:tc>
        <w:tc>
          <w:tcPr>
            <w:tcW w:w="318" w:type="pct"/>
            <w:vMerge w:val="continue"/>
            <w:tcBorders>
              <w:tl2br w:val="nil"/>
              <w:tr2bl w:val="nil"/>
            </w:tcBorders>
            <w:tcMar>
              <w:top w:w="57" w:type="dxa"/>
              <w:left w:w="57" w:type="dxa"/>
              <w:bottom w:w="57" w:type="dxa"/>
              <w:right w:w="57" w:type="dxa"/>
            </w:tcMar>
            <w:vAlign w:val="center"/>
          </w:tcPr>
          <w:p w14:paraId="02308047">
            <w:pPr>
              <w:pStyle w:val="23"/>
              <w:jc w:val="center"/>
            </w:pPr>
          </w:p>
        </w:tc>
        <w:tc>
          <w:tcPr>
            <w:tcW w:w="2640" w:type="pct"/>
            <w:tcBorders>
              <w:tl2br w:val="nil"/>
              <w:tr2bl w:val="nil"/>
            </w:tcBorders>
            <w:tcMar>
              <w:top w:w="57" w:type="dxa"/>
              <w:left w:w="57" w:type="dxa"/>
              <w:bottom w:w="57" w:type="dxa"/>
              <w:right w:w="57" w:type="dxa"/>
            </w:tcMar>
            <w:vAlign w:val="center"/>
          </w:tcPr>
          <w:p w14:paraId="19B5E129">
            <w:pPr>
              <w:pStyle w:val="23"/>
            </w:pPr>
            <w:r>
              <w:rPr>
                <w:rFonts w:hint="eastAsia"/>
              </w:rPr>
              <w:t>推行企业开办“1050”标准。推动企业开办“1个环节、0.5天、0费用”，只到“一窗”（综合服务窗口）或“一网”（政务服务网专区）申请办理。</w:t>
            </w:r>
          </w:p>
        </w:tc>
        <w:tc>
          <w:tcPr>
            <w:tcW w:w="1356" w:type="pct"/>
            <w:tcBorders>
              <w:tl2br w:val="nil"/>
              <w:tr2bl w:val="nil"/>
            </w:tcBorders>
            <w:tcMar>
              <w:top w:w="57" w:type="dxa"/>
              <w:left w:w="57" w:type="dxa"/>
              <w:bottom w:w="57" w:type="dxa"/>
              <w:right w:w="57" w:type="dxa"/>
            </w:tcMar>
            <w:vAlign w:val="center"/>
          </w:tcPr>
          <w:p w14:paraId="718BB2AB">
            <w:pPr>
              <w:pStyle w:val="23"/>
            </w:pPr>
            <w:r>
              <w:rPr>
                <w:rFonts w:hint="eastAsia"/>
              </w:rPr>
              <w:t>2023年5月1日，《葛店经开区党工委 管委会关于印发&lt;葛店经开区以控制成本为核心优化营商环境行动方案&gt;的通知》（鄂葛开工〔2023〕12号）</w:t>
            </w:r>
          </w:p>
        </w:tc>
      </w:tr>
      <w:tr w14:paraId="5115B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74" w:hRule="atLeast"/>
        </w:trPr>
        <w:tc>
          <w:tcPr>
            <w:tcW w:w="418" w:type="pct"/>
            <w:vMerge w:val="continue"/>
            <w:tcBorders>
              <w:tl2br w:val="nil"/>
              <w:tr2bl w:val="nil"/>
            </w:tcBorders>
            <w:tcMar>
              <w:top w:w="57" w:type="dxa"/>
              <w:left w:w="57" w:type="dxa"/>
              <w:bottom w:w="57" w:type="dxa"/>
              <w:right w:w="57" w:type="dxa"/>
            </w:tcMar>
            <w:vAlign w:val="center"/>
          </w:tcPr>
          <w:p w14:paraId="47932B03">
            <w:pPr>
              <w:pStyle w:val="23"/>
              <w:jc w:val="center"/>
            </w:pPr>
          </w:p>
        </w:tc>
        <w:tc>
          <w:tcPr>
            <w:tcW w:w="266" w:type="pct"/>
            <w:tcBorders>
              <w:tl2br w:val="nil"/>
              <w:tr2bl w:val="nil"/>
            </w:tcBorders>
            <w:tcMar>
              <w:top w:w="57" w:type="dxa"/>
              <w:left w:w="57" w:type="dxa"/>
              <w:bottom w:w="57" w:type="dxa"/>
              <w:right w:w="57" w:type="dxa"/>
            </w:tcMar>
            <w:vAlign w:val="center"/>
          </w:tcPr>
          <w:p w14:paraId="73E5DA2B">
            <w:pPr>
              <w:pStyle w:val="23"/>
              <w:jc w:val="center"/>
            </w:pPr>
            <w:r>
              <w:rPr>
                <w:rFonts w:hint="eastAsia"/>
              </w:rPr>
              <w:t>9</w:t>
            </w:r>
          </w:p>
        </w:tc>
        <w:tc>
          <w:tcPr>
            <w:tcW w:w="318" w:type="pct"/>
            <w:vMerge w:val="continue"/>
            <w:tcBorders>
              <w:tl2br w:val="nil"/>
              <w:tr2bl w:val="nil"/>
            </w:tcBorders>
            <w:tcMar>
              <w:top w:w="57" w:type="dxa"/>
              <w:left w:w="57" w:type="dxa"/>
              <w:bottom w:w="57" w:type="dxa"/>
              <w:right w:w="57" w:type="dxa"/>
            </w:tcMar>
            <w:vAlign w:val="center"/>
          </w:tcPr>
          <w:p w14:paraId="53EF99C8">
            <w:pPr>
              <w:pStyle w:val="23"/>
              <w:jc w:val="center"/>
            </w:pPr>
          </w:p>
        </w:tc>
        <w:tc>
          <w:tcPr>
            <w:tcW w:w="2640" w:type="pct"/>
            <w:tcBorders>
              <w:tl2br w:val="nil"/>
              <w:tr2bl w:val="nil"/>
            </w:tcBorders>
            <w:tcMar>
              <w:top w:w="57" w:type="dxa"/>
              <w:left w:w="57" w:type="dxa"/>
              <w:bottom w:w="57" w:type="dxa"/>
              <w:right w:w="57" w:type="dxa"/>
            </w:tcMar>
            <w:vAlign w:val="center"/>
          </w:tcPr>
          <w:p w14:paraId="29EB78BB">
            <w:pPr>
              <w:pStyle w:val="23"/>
            </w:pPr>
            <w:r>
              <w:rPr>
                <w:rFonts w:hint="eastAsia"/>
              </w:rPr>
              <w:t>打通老、弱、病、残、孕等特殊群体办事堵点难点痛点，制定特殊群体上门服务机制，完善预约服务机制，提供“接诉上门、主动敲门、优先登门”等精准化服务。</w:t>
            </w:r>
          </w:p>
        </w:tc>
        <w:tc>
          <w:tcPr>
            <w:tcW w:w="1356" w:type="pct"/>
            <w:tcBorders>
              <w:tl2br w:val="nil"/>
              <w:tr2bl w:val="nil"/>
            </w:tcBorders>
            <w:tcMar>
              <w:top w:w="57" w:type="dxa"/>
              <w:left w:w="57" w:type="dxa"/>
              <w:bottom w:w="57" w:type="dxa"/>
              <w:right w:w="57" w:type="dxa"/>
            </w:tcMar>
            <w:vAlign w:val="center"/>
          </w:tcPr>
          <w:p w14:paraId="49836710">
            <w:pPr>
              <w:pStyle w:val="23"/>
            </w:pPr>
            <w:r>
              <w:rPr>
                <w:rFonts w:hint="eastAsia"/>
              </w:rPr>
              <w:t>2023年5月8日，《葛店经开区行政审批局&lt;葛店经开区建立特殊群体上门服务机制实施方案&gt;》</w:t>
            </w:r>
          </w:p>
        </w:tc>
      </w:tr>
      <w:tr w14:paraId="2A077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74" w:hRule="atLeast"/>
        </w:trPr>
        <w:tc>
          <w:tcPr>
            <w:tcW w:w="418" w:type="pct"/>
            <w:vMerge w:val="continue"/>
            <w:tcBorders>
              <w:tl2br w:val="nil"/>
              <w:tr2bl w:val="nil"/>
            </w:tcBorders>
            <w:tcMar>
              <w:top w:w="57" w:type="dxa"/>
              <w:left w:w="57" w:type="dxa"/>
              <w:bottom w:w="57" w:type="dxa"/>
              <w:right w:w="57" w:type="dxa"/>
            </w:tcMar>
            <w:vAlign w:val="center"/>
          </w:tcPr>
          <w:p w14:paraId="48DE87B7">
            <w:pPr>
              <w:pStyle w:val="23"/>
              <w:jc w:val="center"/>
            </w:pPr>
          </w:p>
        </w:tc>
        <w:tc>
          <w:tcPr>
            <w:tcW w:w="266" w:type="pct"/>
            <w:tcBorders>
              <w:tl2br w:val="nil"/>
              <w:tr2bl w:val="nil"/>
            </w:tcBorders>
            <w:tcMar>
              <w:top w:w="57" w:type="dxa"/>
              <w:left w:w="57" w:type="dxa"/>
              <w:bottom w:w="57" w:type="dxa"/>
              <w:right w:w="57" w:type="dxa"/>
            </w:tcMar>
            <w:vAlign w:val="center"/>
          </w:tcPr>
          <w:p w14:paraId="1C096541">
            <w:pPr>
              <w:pStyle w:val="23"/>
              <w:jc w:val="center"/>
            </w:pPr>
            <w:r>
              <w:rPr>
                <w:rFonts w:hint="eastAsia"/>
              </w:rPr>
              <w:t>10</w:t>
            </w:r>
          </w:p>
        </w:tc>
        <w:tc>
          <w:tcPr>
            <w:tcW w:w="318" w:type="pct"/>
            <w:vMerge w:val="continue"/>
            <w:tcBorders>
              <w:tl2br w:val="nil"/>
              <w:tr2bl w:val="nil"/>
            </w:tcBorders>
            <w:tcMar>
              <w:top w:w="57" w:type="dxa"/>
              <w:left w:w="57" w:type="dxa"/>
              <w:bottom w:w="57" w:type="dxa"/>
              <w:right w:w="57" w:type="dxa"/>
            </w:tcMar>
            <w:vAlign w:val="center"/>
          </w:tcPr>
          <w:p w14:paraId="2F7E2610">
            <w:pPr>
              <w:pStyle w:val="23"/>
              <w:jc w:val="center"/>
            </w:pPr>
          </w:p>
        </w:tc>
        <w:tc>
          <w:tcPr>
            <w:tcW w:w="2640" w:type="pct"/>
            <w:tcBorders>
              <w:tl2br w:val="nil"/>
              <w:tr2bl w:val="nil"/>
            </w:tcBorders>
            <w:tcMar>
              <w:top w:w="57" w:type="dxa"/>
              <w:left w:w="57" w:type="dxa"/>
              <w:bottom w:w="57" w:type="dxa"/>
              <w:right w:w="57" w:type="dxa"/>
            </w:tcMar>
            <w:vAlign w:val="center"/>
          </w:tcPr>
          <w:p w14:paraId="1586F72D">
            <w:pPr>
              <w:pStyle w:val="23"/>
            </w:pPr>
            <w:r>
              <w:rPr>
                <w:rFonts w:hint="eastAsia"/>
              </w:rPr>
              <w:t>建设工程规划条件核实、建设工程消防验收（备案）、人民防空工程竣工验收备案、建设工程竣工档案验收纳入联合验收；单独办理施工许可证的装饰装修工程的建设工程消防验收（备案）、建设工程竣工档案验收事项纳入联合验收。联合验收办理时限为自系统同意提交之日起3个工作日内（不含建设单位补正或整改时间）。</w:t>
            </w:r>
          </w:p>
        </w:tc>
        <w:tc>
          <w:tcPr>
            <w:tcW w:w="1356" w:type="pct"/>
            <w:tcBorders>
              <w:tl2br w:val="nil"/>
              <w:tr2bl w:val="nil"/>
            </w:tcBorders>
            <w:tcMar>
              <w:top w:w="57" w:type="dxa"/>
              <w:left w:w="57" w:type="dxa"/>
              <w:bottom w:w="57" w:type="dxa"/>
              <w:right w:w="57" w:type="dxa"/>
            </w:tcMar>
            <w:vAlign w:val="center"/>
          </w:tcPr>
          <w:p w14:paraId="75C53822">
            <w:pPr>
              <w:pStyle w:val="23"/>
            </w:pPr>
            <w:r>
              <w:rPr>
                <w:rFonts w:hint="eastAsia"/>
              </w:rPr>
              <w:t>2023年5月8日，《葛店开发区工改办关于印发&lt;葛店经开区房屋建筑和市政基础设施工程联合验收实施细则&gt;的通知》（鄂葛开工改办〔2023〕2号）</w:t>
            </w:r>
          </w:p>
        </w:tc>
      </w:tr>
      <w:tr w14:paraId="0D5DA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74" w:hRule="atLeast"/>
        </w:trPr>
        <w:tc>
          <w:tcPr>
            <w:tcW w:w="418" w:type="pct"/>
            <w:vMerge w:val="continue"/>
            <w:tcBorders>
              <w:tl2br w:val="nil"/>
              <w:tr2bl w:val="nil"/>
            </w:tcBorders>
            <w:tcMar>
              <w:top w:w="57" w:type="dxa"/>
              <w:left w:w="57" w:type="dxa"/>
              <w:bottom w:w="57" w:type="dxa"/>
              <w:right w:w="57" w:type="dxa"/>
            </w:tcMar>
            <w:vAlign w:val="center"/>
          </w:tcPr>
          <w:p w14:paraId="7BB1FB1B">
            <w:pPr>
              <w:pStyle w:val="23"/>
              <w:jc w:val="center"/>
            </w:pPr>
          </w:p>
        </w:tc>
        <w:tc>
          <w:tcPr>
            <w:tcW w:w="266" w:type="pct"/>
            <w:tcBorders>
              <w:tl2br w:val="nil"/>
              <w:tr2bl w:val="nil"/>
            </w:tcBorders>
            <w:tcMar>
              <w:top w:w="57" w:type="dxa"/>
              <w:left w:w="57" w:type="dxa"/>
              <w:bottom w:w="57" w:type="dxa"/>
              <w:right w:w="57" w:type="dxa"/>
            </w:tcMar>
            <w:vAlign w:val="center"/>
          </w:tcPr>
          <w:p w14:paraId="75FB2235">
            <w:pPr>
              <w:pStyle w:val="23"/>
              <w:jc w:val="center"/>
            </w:pPr>
            <w:r>
              <w:rPr>
                <w:rFonts w:hint="eastAsia"/>
              </w:rPr>
              <w:t>11</w:t>
            </w:r>
          </w:p>
        </w:tc>
        <w:tc>
          <w:tcPr>
            <w:tcW w:w="318" w:type="pct"/>
            <w:vMerge w:val="continue"/>
            <w:tcBorders>
              <w:tl2br w:val="nil"/>
              <w:tr2bl w:val="nil"/>
            </w:tcBorders>
            <w:tcMar>
              <w:top w:w="57" w:type="dxa"/>
              <w:left w:w="57" w:type="dxa"/>
              <w:bottom w:w="57" w:type="dxa"/>
              <w:right w:w="57" w:type="dxa"/>
            </w:tcMar>
            <w:vAlign w:val="center"/>
          </w:tcPr>
          <w:p w14:paraId="3E5C3E92">
            <w:pPr>
              <w:pStyle w:val="23"/>
              <w:jc w:val="center"/>
            </w:pPr>
          </w:p>
        </w:tc>
        <w:tc>
          <w:tcPr>
            <w:tcW w:w="2640" w:type="pct"/>
            <w:tcBorders>
              <w:tl2br w:val="nil"/>
              <w:tr2bl w:val="nil"/>
            </w:tcBorders>
            <w:tcMar>
              <w:top w:w="57" w:type="dxa"/>
              <w:left w:w="57" w:type="dxa"/>
              <w:bottom w:w="57" w:type="dxa"/>
              <w:right w:w="57" w:type="dxa"/>
            </w:tcMar>
            <w:vAlign w:val="center"/>
          </w:tcPr>
          <w:p w14:paraId="73D92F7E">
            <w:pPr>
              <w:pStyle w:val="23"/>
            </w:pPr>
            <w:r>
              <w:rPr>
                <w:rFonts w:hint="eastAsia"/>
              </w:rPr>
              <w:t>逐项目对文明施工管理、质量管理、安全管理等三个分项进行检查，将综合管理评分、文明施工管理评分80分以上的建设项目分别纳入综合管理“红榜”、文明施工管理“红榜”；综合评分、文明施工管理评分60分以下（含60分）的建设项目分别纳入综合管理“黑榜”、文明施工管理“黑榜”，并在“新城葛店”微信公众号和葛店经开区官网公布。</w:t>
            </w:r>
          </w:p>
        </w:tc>
        <w:tc>
          <w:tcPr>
            <w:tcW w:w="1356" w:type="pct"/>
            <w:tcBorders>
              <w:tl2br w:val="nil"/>
              <w:tr2bl w:val="nil"/>
            </w:tcBorders>
            <w:tcMar>
              <w:top w:w="57" w:type="dxa"/>
              <w:left w:w="57" w:type="dxa"/>
              <w:bottom w:w="57" w:type="dxa"/>
              <w:right w:w="57" w:type="dxa"/>
            </w:tcMar>
            <w:vAlign w:val="center"/>
          </w:tcPr>
          <w:p w14:paraId="6DFFE769">
            <w:pPr>
              <w:pStyle w:val="23"/>
            </w:pPr>
            <w:r>
              <w:rPr>
                <w:rFonts w:hint="eastAsia"/>
              </w:rPr>
              <w:t>2023年5月9日，《葛店经开区住房和城乡建设局关于印发&lt;葛店经开区工程建设项目管理“红黑榜”制度（试行）&gt;的通知（鄂葛开建字〔2023〕4号）</w:t>
            </w:r>
          </w:p>
        </w:tc>
      </w:tr>
      <w:tr w14:paraId="1002E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4" w:hRule="atLeast"/>
        </w:trPr>
        <w:tc>
          <w:tcPr>
            <w:tcW w:w="418" w:type="pct"/>
            <w:vMerge w:val="continue"/>
            <w:tcBorders>
              <w:tl2br w:val="nil"/>
              <w:tr2bl w:val="nil"/>
            </w:tcBorders>
            <w:tcMar>
              <w:top w:w="57" w:type="dxa"/>
              <w:left w:w="57" w:type="dxa"/>
              <w:bottom w:w="57" w:type="dxa"/>
              <w:right w:w="57" w:type="dxa"/>
            </w:tcMar>
            <w:vAlign w:val="center"/>
          </w:tcPr>
          <w:p w14:paraId="5C6B58C5">
            <w:pPr>
              <w:pStyle w:val="23"/>
              <w:jc w:val="center"/>
            </w:pPr>
          </w:p>
        </w:tc>
        <w:tc>
          <w:tcPr>
            <w:tcW w:w="266" w:type="pct"/>
            <w:tcBorders>
              <w:tl2br w:val="nil"/>
              <w:tr2bl w:val="nil"/>
            </w:tcBorders>
            <w:tcMar>
              <w:top w:w="57" w:type="dxa"/>
              <w:left w:w="57" w:type="dxa"/>
              <w:bottom w:w="57" w:type="dxa"/>
              <w:right w:w="57" w:type="dxa"/>
            </w:tcMar>
            <w:vAlign w:val="center"/>
          </w:tcPr>
          <w:p w14:paraId="1D395370">
            <w:pPr>
              <w:pStyle w:val="23"/>
              <w:jc w:val="center"/>
            </w:pPr>
            <w:r>
              <w:rPr>
                <w:rFonts w:hint="eastAsia"/>
              </w:rPr>
              <w:t>12</w:t>
            </w:r>
          </w:p>
        </w:tc>
        <w:tc>
          <w:tcPr>
            <w:tcW w:w="318" w:type="pct"/>
            <w:vMerge w:val="continue"/>
            <w:tcBorders>
              <w:tl2br w:val="nil"/>
              <w:tr2bl w:val="nil"/>
            </w:tcBorders>
            <w:tcMar>
              <w:top w:w="57" w:type="dxa"/>
              <w:left w:w="57" w:type="dxa"/>
              <w:bottom w:w="57" w:type="dxa"/>
              <w:right w:w="57" w:type="dxa"/>
            </w:tcMar>
            <w:vAlign w:val="center"/>
          </w:tcPr>
          <w:p w14:paraId="3B42A94F">
            <w:pPr>
              <w:pStyle w:val="23"/>
              <w:jc w:val="center"/>
            </w:pPr>
          </w:p>
        </w:tc>
        <w:tc>
          <w:tcPr>
            <w:tcW w:w="2640" w:type="pct"/>
            <w:tcBorders>
              <w:tl2br w:val="nil"/>
              <w:tr2bl w:val="nil"/>
            </w:tcBorders>
            <w:tcMar>
              <w:top w:w="57" w:type="dxa"/>
              <w:left w:w="57" w:type="dxa"/>
              <w:bottom w:w="57" w:type="dxa"/>
              <w:right w:w="57" w:type="dxa"/>
            </w:tcMar>
            <w:vAlign w:val="center"/>
          </w:tcPr>
          <w:p w14:paraId="07660954">
            <w:pPr>
              <w:pStyle w:val="23"/>
            </w:pPr>
            <w:r>
              <w:rPr>
                <w:rFonts w:hint="eastAsia"/>
              </w:rPr>
              <w:t>创新推出15项葛店特色“一件事”（其中湖北政务网线上主题10个、葛店经开区“一件事一次办收件平台”线下主题5个）。</w:t>
            </w:r>
          </w:p>
        </w:tc>
        <w:tc>
          <w:tcPr>
            <w:tcW w:w="1356" w:type="pct"/>
            <w:tcBorders>
              <w:tl2br w:val="nil"/>
              <w:tr2bl w:val="nil"/>
            </w:tcBorders>
            <w:tcMar>
              <w:top w:w="57" w:type="dxa"/>
              <w:left w:w="57" w:type="dxa"/>
              <w:bottom w:w="57" w:type="dxa"/>
              <w:right w:w="57" w:type="dxa"/>
            </w:tcMar>
            <w:vAlign w:val="center"/>
          </w:tcPr>
          <w:p w14:paraId="708095E2">
            <w:pPr>
              <w:pStyle w:val="23"/>
            </w:pPr>
            <w:r>
              <w:rPr>
                <w:rFonts w:hint="eastAsia"/>
              </w:rPr>
              <w:t>2023年7月30日，《鄂州葛店经济技术开发区管理委员会关于印发&lt;葛店经开区“一件事一次办”改革试点工作方案&gt;的通知》</w:t>
            </w:r>
          </w:p>
        </w:tc>
      </w:tr>
      <w:tr w14:paraId="66515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4" w:hRule="atLeast"/>
        </w:trPr>
        <w:tc>
          <w:tcPr>
            <w:tcW w:w="418" w:type="pct"/>
            <w:vMerge w:val="continue"/>
            <w:tcBorders>
              <w:tl2br w:val="nil"/>
              <w:tr2bl w:val="nil"/>
            </w:tcBorders>
            <w:tcMar>
              <w:top w:w="57" w:type="dxa"/>
              <w:left w:w="57" w:type="dxa"/>
              <w:bottom w:w="57" w:type="dxa"/>
              <w:right w:w="57" w:type="dxa"/>
            </w:tcMar>
            <w:vAlign w:val="center"/>
          </w:tcPr>
          <w:p w14:paraId="5B266665">
            <w:pPr>
              <w:pStyle w:val="23"/>
              <w:jc w:val="center"/>
            </w:pPr>
          </w:p>
        </w:tc>
        <w:tc>
          <w:tcPr>
            <w:tcW w:w="266" w:type="pct"/>
            <w:tcBorders>
              <w:tl2br w:val="nil"/>
              <w:tr2bl w:val="nil"/>
            </w:tcBorders>
            <w:tcMar>
              <w:top w:w="57" w:type="dxa"/>
              <w:left w:w="57" w:type="dxa"/>
              <w:bottom w:w="57" w:type="dxa"/>
              <w:right w:w="57" w:type="dxa"/>
            </w:tcMar>
            <w:vAlign w:val="center"/>
          </w:tcPr>
          <w:p w14:paraId="6B3308F4">
            <w:pPr>
              <w:pStyle w:val="23"/>
              <w:jc w:val="center"/>
            </w:pPr>
            <w:r>
              <w:rPr>
                <w:rFonts w:hint="eastAsia"/>
              </w:rPr>
              <w:t>13</w:t>
            </w:r>
          </w:p>
        </w:tc>
        <w:tc>
          <w:tcPr>
            <w:tcW w:w="318" w:type="pct"/>
            <w:vMerge w:val="continue"/>
            <w:tcBorders>
              <w:tl2br w:val="nil"/>
              <w:tr2bl w:val="nil"/>
            </w:tcBorders>
            <w:tcMar>
              <w:top w:w="57" w:type="dxa"/>
              <w:left w:w="57" w:type="dxa"/>
              <w:bottom w:w="57" w:type="dxa"/>
              <w:right w:w="57" w:type="dxa"/>
            </w:tcMar>
            <w:vAlign w:val="center"/>
          </w:tcPr>
          <w:p w14:paraId="1FEB77CC">
            <w:pPr>
              <w:pStyle w:val="23"/>
              <w:jc w:val="center"/>
            </w:pPr>
          </w:p>
        </w:tc>
        <w:tc>
          <w:tcPr>
            <w:tcW w:w="2640" w:type="pct"/>
            <w:tcBorders>
              <w:tl2br w:val="nil"/>
              <w:tr2bl w:val="nil"/>
            </w:tcBorders>
            <w:tcMar>
              <w:top w:w="57" w:type="dxa"/>
              <w:left w:w="57" w:type="dxa"/>
              <w:bottom w:w="57" w:type="dxa"/>
              <w:right w:w="57" w:type="dxa"/>
            </w:tcMar>
            <w:vAlign w:val="center"/>
          </w:tcPr>
          <w:p w14:paraId="275F8A07">
            <w:pPr>
              <w:pStyle w:val="23"/>
            </w:pPr>
            <w:r>
              <w:rPr>
                <w:rFonts w:hint="eastAsia"/>
              </w:rPr>
              <w:t>将建设项目分为低风险建设工程、一般建设工程、特殊建设工程三类实施施工图后置审查工作，不再将施工图审查合格书作为办理施工许可证的前置条件。</w:t>
            </w:r>
          </w:p>
        </w:tc>
        <w:tc>
          <w:tcPr>
            <w:tcW w:w="1356" w:type="pct"/>
            <w:tcBorders>
              <w:tl2br w:val="nil"/>
              <w:tr2bl w:val="nil"/>
            </w:tcBorders>
            <w:tcMar>
              <w:top w:w="57" w:type="dxa"/>
              <w:left w:w="57" w:type="dxa"/>
              <w:bottom w:w="57" w:type="dxa"/>
              <w:right w:w="57" w:type="dxa"/>
            </w:tcMar>
            <w:vAlign w:val="center"/>
          </w:tcPr>
          <w:p w14:paraId="173EFBDF">
            <w:pPr>
              <w:pStyle w:val="23"/>
            </w:pPr>
            <w:r>
              <w:rPr>
                <w:rFonts w:hint="eastAsia"/>
              </w:rPr>
              <w:t>2023年8月17日，《葛店经开区住房和城乡建设局关于公布施工图审查、施工许可豁免清单、施工图审查后置（试行）的通知》（鄂葛开建字〔2023〕10号）</w:t>
            </w:r>
          </w:p>
        </w:tc>
      </w:tr>
      <w:tr w14:paraId="21784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4" w:hRule="atLeast"/>
        </w:trPr>
        <w:tc>
          <w:tcPr>
            <w:tcW w:w="418" w:type="pct"/>
            <w:vMerge w:val="continue"/>
            <w:tcBorders>
              <w:tl2br w:val="nil"/>
              <w:tr2bl w:val="nil"/>
            </w:tcBorders>
            <w:tcMar>
              <w:top w:w="57" w:type="dxa"/>
              <w:left w:w="57" w:type="dxa"/>
              <w:bottom w:w="57" w:type="dxa"/>
              <w:right w:w="57" w:type="dxa"/>
            </w:tcMar>
            <w:vAlign w:val="center"/>
          </w:tcPr>
          <w:p w14:paraId="5AB16814">
            <w:pPr>
              <w:pStyle w:val="23"/>
              <w:jc w:val="center"/>
            </w:pPr>
          </w:p>
        </w:tc>
        <w:tc>
          <w:tcPr>
            <w:tcW w:w="266" w:type="pct"/>
            <w:tcBorders>
              <w:tl2br w:val="nil"/>
              <w:tr2bl w:val="nil"/>
            </w:tcBorders>
            <w:tcMar>
              <w:top w:w="57" w:type="dxa"/>
              <w:left w:w="57" w:type="dxa"/>
              <w:bottom w:w="57" w:type="dxa"/>
              <w:right w:w="57" w:type="dxa"/>
            </w:tcMar>
            <w:vAlign w:val="center"/>
          </w:tcPr>
          <w:p w14:paraId="62F2A3A7">
            <w:pPr>
              <w:pStyle w:val="23"/>
              <w:jc w:val="center"/>
            </w:pPr>
            <w:r>
              <w:rPr>
                <w:rFonts w:hint="eastAsia"/>
              </w:rPr>
              <w:t>14</w:t>
            </w:r>
          </w:p>
        </w:tc>
        <w:tc>
          <w:tcPr>
            <w:tcW w:w="318" w:type="pct"/>
            <w:tcBorders>
              <w:tl2br w:val="nil"/>
              <w:tr2bl w:val="nil"/>
            </w:tcBorders>
            <w:tcMar>
              <w:top w:w="57" w:type="dxa"/>
              <w:left w:w="57" w:type="dxa"/>
              <w:bottom w:w="57" w:type="dxa"/>
              <w:right w:w="57" w:type="dxa"/>
            </w:tcMar>
            <w:vAlign w:val="center"/>
          </w:tcPr>
          <w:p w14:paraId="117D1616">
            <w:pPr>
              <w:pStyle w:val="23"/>
              <w:jc w:val="center"/>
            </w:pPr>
            <w:r>
              <w:rPr>
                <w:rFonts w:hint="eastAsia"/>
              </w:rPr>
              <w:t>金融扶持类</w:t>
            </w:r>
          </w:p>
        </w:tc>
        <w:tc>
          <w:tcPr>
            <w:tcW w:w="2640" w:type="pct"/>
            <w:tcBorders>
              <w:tl2br w:val="nil"/>
              <w:tr2bl w:val="nil"/>
            </w:tcBorders>
            <w:tcMar>
              <w:top w:w="57" w:type="dxa"/>
              <w:left w:w="57" w:type="dxa"/>
              <w:bottom w:w="57" w:type="dxa"/>
              <w:right w:w="57" w:type="dxa"/>
            </w:tcMar>
            <w:vAlign w:val="center"/>
          </w:tcPr>
          <w:p w14:paraId="06C50A5C">
            <w:pPr>
              <w:pStyle w:val="23"/>
            </w:pPr>
            <w:r>
              <w:rPr>
                <w:rFonts w:hint="eastAsia"/>
              </w:rPr>
              <w:t>对成功办理我区政府采购项目线上“政采贷”业务的中小微企业进行财政贴息，财政贴息利率按实际贷款利率的50%执行，财政贴息时限为2024年1月1日至12月31日，企业贴息贷款金额按实际贷款金额执行。</w:t>
            </w:r>
          </w:p>
        </w:tc>
        <w:tc>
          <w:tcPr>
            <w:tcW w:w="1356" w:type="pct"/>
            <w:tcBorders>
              <w:tl2br w:val="nil"/>
              <w:tr2bl w:val="nil"/>
            </w:tcBorders>
            <w:tcMar>
              <w:top w:w="57" w:type="dxa"/>
              <w:left w:w="57" w:type="dxa"/>
              <w:bottom w:w="57" w:type="dxa"/>
              <w:right w:w="57" w:type="dxa"/>
            </w:tcMar>
            <w:vAlign w:val="center"/>
          </w:tcPr>
          <w:p w14:paraId="502B2005">
            <w:pPr>
              <w:pStyle w:val="23"/>
            </w:pPr>
            <w:r>
              <w:rPr>
                <w:rFonts w:hint="eastAsia"/>
              </w:rPr>
              <w:t>2024年1月18日，《葛店经开区财政金融审计局关于持续推进政府采购合同融资工作的通知》（鄂葛财发〔2024〕1号）</w:t>
            </w:r>
          </w:p>
        </w:tc>
      </w:tr>
      <w:tr w14:paraId="6AEDD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4" w:hRule="atLeast"/>
        </w:trPr>
        <w:tc>
          <w:tcPr>
            <w:tcW w:w="418" w:type="pct"/>
            <w:vMerge w:val="continue"/>
            <w:tcBorders>
              <w:tl2br w:val="nil"/>
              <w:tr2bl w:val="nil"/>
            </w:tcBorders>
            <w:tcMar>
              <w:top w:w="57" w:type="dxa"/>
              <w:left w:w="57" w:type="dxa"/>
              <w:bottom w:w="57" w:type="dxa"/>
              <w:right w:w="57" w:type="dxa"/>
            </w:tcMar>
            <w:vAlign w:val="center"/>
          </w:tcPr>
          <w:p w14:paraId="1F39D1D2">
            <w:pPr>
              <w:pStyle w:val="23"/>
              <w:jc w:val="center"/>
            </w:pPr>
          </w:p>
        </w:tc>
        <w:tc>
          <w:tcPr>
            <w:tcW w:w="266" w:type="pct"/>
            <w:tcBorders>
              <w:tl2br w:val="nil"/>
              <w:tr2bl w:val="nil"/>
            </w:tcBorders>
            <w:tcMar>
              <w:top w:w="57" w:type="dxa"/>
              <w:left w:w="57" w:type="dxa"/>
              <w:bottom w:w="57" w:type="dxa"/>
              <w:right w:w="57" w:type="dxa"/>
            </w:tcMar>
            <w:vAlign w:val="center"/>
          </w:tcPr>
          <w:p w14:paraId="08333923">
            <w:pPr>
              <w:pStyle w:val="23"/>
              <w:jc w:val="center"/>
            </w:pPr>
            <w:r>
              <w:rPr>
                <w:rFonts w:hint="eastAsia"/>
              </w:rPr>
              <w:t>15</w:t>
            </w:r>
          </w:p>
        </w:tc>
        <w:tc>
          <w:tcPr>
            <w:tcW w:w="318" w:type="pct"/>
            <w:vMerge w:val="restart"/>
            <w:tcBorders>
              <w:tl2br w:val="nil"/>
              <w:tr2bl w:val="nil"/>
            </w:tcBorders>
            <w:tcMar>
              <w:top w:w="57" w:type="dxa"/>
              <w:left w:w="57" w:type="dxa"/>
              <w:bottom w:w="57" w:type="dxa"/>
              <w:right w:w="57" w:type="dxa"/>
            </w:tcMar>
            <w:vAlign w:val="center"/>
          </w:tcPr>
          <w:p w14:paraId="3023B102">
            <w:pPr>
              <w:pStyle w:val="23"/>
              <w:jc w:val="center"/>
            </w:pPr>
            <w:r>
              <w:rPr>
                <w:rFonts w:hint="eastAsia"/>
              </w:rPr>
              <w:t>资金奖补类</w:t>
            </w:r>
          </w:p>
        </w:tc>
        <w:tc>
          <w:tcPr>
            <w:tcW w:w="2640" w:type="pct"/>
            <w:tcBorders>
              <w:tl2br w:val="nil"/>
              <w:tr2bl w:val="nil"/>
            </w:tcBorders>
            <w:tcMar>
              <w:top w:w="57" w:type="dxa"/>
              <w:left w:w="57" w:type="dxa"/>
              <w:bottom w:w="57" w:type="dxa"/>
              <w:right w:w="57" w:type="dxa"/>
            </w:tcMar>
            <w:vAlign w:val="center"/>
          </w:tcPr>
          <w:p w14:paraId="644A6387">
            <w:pPr>
              <w:pStyle w:val="23"/>
            </w:pPr>
            <w:r>
              <w:rPr>
                <w:rFonts w:hint="eastAsia"/>
              </w:rPr>
              <w:t>鼓励企业积极扩大外贸出口，对当年出口额100万美元以上的生产型企业或者300万美元以上的贸易型企业，对出口增量部分（与上年度相比新增部分）给与奖励。生产企业和贸易企业自营出口每出口1美元奖励0.03元人民币。</w:t>
            </w:r>
          </w:p>
        </w:tc>
        <w:tc>
          <w:tcPr>
            <w:tcW w:w="1356" w:type="pct"/>
            <w:tcBorders>
              <w:tl2br w:val="nil"/>
              <w:tr2bl w:val="nil"/>
            </w:tcBorders>
            <w:tcMar>
              <w:top w:w="57" w:type="dxa"/>
              <w:left w:w="57" w:type="dxa"/>
              <w:bottom w:w="57" w:type="dxa"/>
              <w:right w:w="57" w:type="dxa"/>
            </w:tcMar>
            <w:vAlign w:val="center"/>
          </w:tcPr>
          <w:p w14:paraId="14D92F07">
            <w:pPr>
              <w:pStyle w:val="23"/>
            </w:pPr>
            <w:r>
              <w:rPr>
                <w:rFonts w:hint="eastAsia"/>
              </w:rPr>
              <w:t>2020年12月14日，《葛店经开区管委会关于印发&lt;葛店经开区关于进一步扩大开放和稳外资外贸的若干意见&gt;的通知》（鄂葛管发〔2020〕6号）</w:t>
            </w:r>
          </w:p>
        </w:tc>
      </w:tr>
      <w:tr w14:paraId="3E626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4" w:hRule="atLeast"/>
        </w:trPr>
        <w:tc>
          <w:tcPr>
            <w:tcW w:w="418" w:type="pct"/>
            <w:vMerge w:val="continue"/>
            <w:tcBorders>
              <w:tl2br w:val="nil"/>
              <w:tr2bl w:val="nil"/>
            </w:tcBorders>
            <w:tcMar>
              <w:top w:w="57" w:type="dxa"/>
              <w:left w:w="57" w:type="dxa"/>
              <w:bottom w:w="57" w:type="dxa"/>
              <w:right w:w="57" w:type="dxa"/>
            </w:tcMar>
            <w:vAlign w:val="center"/>
          </w:tcPr>
          <w:p w14:paraId="40A2BA0A">
            <w:pPr>
              <w:pStyle w:val="23"/>
              <w:jc w:val="center"/>
            </w:pPr>
          </w:p>
        </w:tc>
        <w:tc>
          <w:tcPr>
            <w:tcW w:w="266" w:type="pct"/>
            <w:tcBorders>
              <w:tl2br w:val="nil"/>
              <w:tr2bl w:val="nil"/>
            </w:tcBorders>
            <w:tcMar>
              <w:top w:w="57" w:type="dxa"/>
              <w:left w:w="57" w:type="dxa"/>
              <w:bottom w:w="57" w:type="dxa"/>
              <w:right w:w="57" w:type="dxa"/>
            </w:tcMar>
            <w:vAlign w:val="center"/>
          </w:tcPr>
          <w:p w14:paraId="3DC7F643">
            <w:pPr>
              <w:pStyle w:val="23"/>
              <w:jc w:val="center"/>
            </w:pPr>
            <w:r>
              <w:rPr>
                <w:rFonts w:hint="eastAsia"/>
              </w:rPr>
              <w:t>16</w:t>
            </w:r>
          </w:p>
        </w:tc>
        <w:tc>
          <w:tcPr>
            <w:tcW w:w="318" w:type="pct"/>
            <w:vMerge w:val="continue"/>
            <w:tcBorders>
              <w:tl2br w:val="nil"/>
              <w:tr2bl w:val="nil"/>
            </w:tcBorders>
            <w:tcMar>
              <w:top w:w="57" w:type="dxa"/>
              <w:left w:w="57" w:type="dxa"/>
              <w:bottom w:w="57" w:type="dxa"/>
              <w:right w:w="57" w:type="dxa"/>
            </w:tcMar>
            <w:vAlign w:val="center"/>
          </w:tcPr>
          <w:p w14:paraId="3B3F4002">
            <w:pPr>
              <w:pStyle w:val="23"/>
              <w:jc w:val="center"/>
            </w:pPr>
          </w:p>
        </w:tc>
        <w:tc>
          <w:tcPr>
            <w:tcW w:w="2640" w:type="pct"/>
            <w:tcBorders>
              <w:tl2br w:val="nil"/>
              <w:tr2bl w:val="nil"/>
            </w:tcBorders>
            <w:tcMar>
              <w:top w:w="57" w:type="dxa"/>
              <w:left w:w="57" w:type="dxa"/>
              <w:bottom w:w="57" w:type="dxa"/>
              <w:right w:w="57" w:type="dxa"/>
            </w:tcMar>
            <w:vAlign w:val="center"/>
          </w:tcPr>
          <w:p w14:paraId="04875423">
            <w:pPr>
              <w:pStyle w:val="23"/>
            </w:pPr>
            <w:r>
              <w:rPr>
                <w:rFonts w:hint="eastAsia"/>
              </w:rPr>
              <w:t>对产业用地指导目录中的鼓励类工业项目，以最高年限出让优先保障用地需求，在项目主体工程全部封顶后一个月内，对企业给予项目用地实际成交价的30%一次性补贴。允许企业在1年内分期缴纳土地出让价款，首期缴纳比例不得低于50%。</w:t>
            </w:r>
          </w:p>
        </w:tc>
        <w:tc>
          <w:tcPr>
            <w:tcW w:w="1356" w:type="pct"/>
            <w:tcBorders>
              <w:tl2br w:val="nil"/>
              <w:tr2bl w:val="nil"/>
            </w:tcBorders>
            <w:tcMar>
              <w:top w:w="57" w:type="dxa"/>
              <w:left w:w="57" w:type="dxa"/>
              <w:bottom w:w="57" w:type="dxa"/>
              <w:right w:w="57" w:type="dxa"/>
            </w:tcMar>
            <w:vAlign w:val="center"/>
          </w:tcPr>
          <w:p w14:paraId="56B37A29">
            <w:pPr>
              <w:pStyle w:val="23"/>
            </w:pPr>
            <w:r>
              <w:rPr>
                <w:rFonts w:hint="eastAsia"/>
              </w:rPr>
              <w:t>2022年3月13日，《葛店开发区管委会关于印发&lt;葛店开发区招商引资激励办法&gt;的通知》（鄂葛管发〔2022〕2号）</w:t>
            </w:r>
          </w:p>
        </w:tc>
      </w:tr>
      <w:tr w14:paraId="53E3A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4" w:hRule="atLeast"/>
        </w:trPr>
        <w:tc>
          <w:tcPr>
            <w:tcW w:w="418" w:type="pct"/>
            <w:vMerge w:val="continue"/>
            <w:tcBorders>
              <w:tl2br w:val="nil"/>
              <w:tr2bl w:val="nil"/>
            </w:tcBorders>
            <w:tcMar>
              <w:top w:w="57" w:type="dxa"/>
              <w:left w:w="57" w:type="dxa"/>
              <w:bottom w:w="57" w:type="dxa"/>
              <w:right w:w="57" w:type="dxa"/>
            </w:tcMar>
            <w:vAlign w:val="center"/>
          </w:tcPr>
          <w:p w14:paraId="5F21728D">
            <w:pPr>
              <w:pStyle w:val="23"/>
              <w:jc w:val="center"/>
            </w:pPr>
          </w:p>
        </w:tc>
        <w:tc>
          <w:tcPr>
            <w:tcW w:w="266" w:type="pct"/>
            <w:tcBorders>
              <w:tl2br w:val="nil"/>
              <w:tr2bl w:val="nil"/>
            </w:tcBorders>
            <w:tcMar>
              <w:top w:w="57" w:type="dxa"/>
              <w:left w:w="57" w:type="dxa"/>
              <w:bottom w:w="57" w:type="dxa"/>
              <w:right w:w="57" w:type="dxa"/>
            </w:tcMar>
            <w:vAlign w:val="center"/>
          </w:tcPr>
          <w:p w14:paraId="21346D4E">
            <w:pPr>
              <w:pStyle w:val="23"/>
              <w:jc w:val="center"/>
            </w:pPr>
            <w:r>
              <w:rPr>
                <w:rFonts w:hint="eastAsia"/>
              </w:rPr>
              <w:t>17</w:t>
            </w:r>
          </w:p>
        </w:tc>
        <w:tc>
          <w:tcPr>
            <w:tcW w:w="318" w:type="pct"/>
            <w:vMerge w:val="continue"/>
            <w:tcBorders>
              <w:tl2br w:val="nil"/>
              <w:tr2bl w:val="nil"/>
            </w:tcBorders>
            <w:tcMar>
              <w:top w:w="57" w:type="dxa"/>
              <w:left w:w="57" w:type="dxa"/>
              <w:bottom w:w="57" w:type="dxa"/>
              <w:right w:w="57" w:type="dxa"/>
            </w:tcMar>
            <w:vAlign w:val="center"/>
          </w:tcPr>
          <w:p w14:paraId="73521A41">
            <w:pPr>
              <w:pStyle w:val="23"/>
              <w:jc w:val="center"/>
            </w:pPr>
          </w:p>
        </w:tc>
        <w:tc>
          <w:tcPr>
            <w:tcW w:w="2640" w:type="pct"/>
            <w:tcBorders>
              <w:tl2br w:val="nil"/>
              <w:tr2bl w:val="nil"/>
            </w:tcBorders>
            <w:tcMar>
              <w:top w:w="57" w:type="dxa"/>
              <w:left w:w="57" w:type="dxa"/>
              <w:bottom w:w="57" w:type="dxa"/>
              <w:right w:w="57" w:type="dxa"/>
            </w:tcMar>
            <w:vAlign w:val="center"/>
          </w:tcPr>
          <w:p w14:paraId="2FC63669">
            <w:pPr>
              <w:pStyle w:val="23"/>
            </w:pPr>
            <w:r>
              <w:rPr>
                <w:rFonts w:hint="eastAsia"/>
              </w:rPr>
              <w:t>鼓励企业开展技术改造投资，对获得省、市工业投资和技术改造专项、工业智能化改造专项支持的项目，区级按照获得省、市补贴资金总额的30%予以补贴，最高不超过500万元。</w:t>
            </w:r>
          </w:p>
        </w:tc>
        <w:tc>
          <w:tcPr>
            <w:tcW w:w="1356" w:type="pct"/>
            <w:tcBorders>
              <w:tl2br w:val="nil"/>
              <w:tr2bl w:val="nil"/>
            </w:tcBorders>
            <w:tcMar>
              <w:top w:w="57" w:type="dxa"/>
              <w:left w:w="57" w:type="dxa"/>
              <w:bottom w:w="57" w:type="dxa"/>
              <w:right w:w="57" w:type="dxa"/>
            </w:tcMar>
            <w:vAlign w:val="center"/>
          </w:tcPr>
          <w:p w14:paraId="62222B4A">
            <w:pPr>
              <w:pStyle w:val="23"/>
            </w:pPr>
            <w:r>
              <w:rPr>
                <w:rFonts w:hint="eastAsia"/>
              </w:rPr>
              <w:t>2022年9月14日，《葛店开发区管委会关于印发&lt;葛店经济技术开发区关于加快大健康产业发展的若干意见&gt;的通知》（鄂葛管发〔2022〕12号）</w:t>
            </w:r>
          </w:p>
        </w:tc>
      </w:tr>
      <w:tr w14:paraId="4BAED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4" w:hRule="atLeast"/>
        </w:trPr>
        <w:tc>
          <w:tcPr>
            <w:tcW w:w="418" w:type="pct"/>
            <w:vMerge w:val="continue"/>
            <w:tcBorders>
              <w:tl2br w:val="nil"/>
              <w:tr2bl w:val="nil"/>
            </w:tcBorders>
            <w:tcMar>
              <w:top w:w="57" w:type="dxa"/>
              <w:left w:w="57" w:type="dxa"/>
              <w:bottom w:w="57" w:type="dxa"/>
              <w:right w:w="57" w:type="dxa"/>
            </w:tcMar>
            <w:vAlign w:val="center"/>
          </w:tcPr>
          <w:p w14:paraId="602C6E6A">
            <w:pPr>
              <w:pStyle w:val="23"/>
              <w:jc w:val="center"/>
            </w:pPr>
          </w:p>
        </w:tc>
        <w:tc>
          <w:tcPr>
            <w:tcW w:w="266" w:type="pct"/>
            <w:tcBorders>
              <w:tl2br w:val="nil"/>
              <w:tr2bl w:val="nil"/>
            </w:tcBorders>
            <w:tcMar>
              <w:top w:w="57" w:type="dxa"/>
              <w:left w:w="57" w:type="dxa"/>
              <w:bottom w:w="57" w:type="dxa"/>
              <w:right w:w="57" w:type="dxa"/>
            </w:tcMar>
            <w:vAlign w:val="center"/>
          </w:tcPr>
          <w:p w14:paraId="2394C801">
            <w:pPr>
              <w:pStyle w:val="23"/>
              <w:jc w:val="center"/>
            </w:pPr>
            <w:r>
              <w:rPr>
                <w:rFonts w:hint="eastAsia"/>
              </w:rPr>
              <w:t>18</w:t>
            </w:r>
          </w:p>
        </w:tc>
        <w:tc>
          <w:tcPr>
            <w:tcW w:w="318" w:type="pct"/>
            <w:vMerge w:val="continue"/>
            <w:tcBorders>
              <w:tl2br w:val="nil"/>
              <w:tr2bl w:val="nil"/>
            </w:tcBorders>
            <w:tcMar>
              <w:top w:w="57" w:type="dxa"/>
              <w:left w:w="57" w:type="dxa"/>
              <w:bottom w:w="57" w:type="dxa"/>
              <w:right w:w="57" w:type="dxa"/>
            </w:tcMar>
            <w:vAlign w:val="center"/>
          </w:tcPr>
          <w:p w14:paraId="1DC98CA2">
            <w:pPr>
              <w:pStyle w:val="23"/>
              <w:jc w:val="center"/>
            </w:pPr>
          </w:p>
        </w:tc>
        <w:tc>
          <w:tcPr>
            <w:tcW w:w="2640" w:type="pct"/>
            <w:tcBorders>
              <w:tl2br w:val="nil"/>
              <w:tr2bl w:val="nil"/>
            </w:tcBorders>
            <w:tcMar>
              <w:top w:w="57" w:type="dxa"/>
              <w:left w:w="57" w:type="dxa"/>
              <w:bottom w:w="57" w:type="dxa"/>
              <w:right w:w="57" w:type="dxa"/>
            </w:tcMar>
            <w:vAlign w:val="center"/>
          </w:tcPr>
          <w:p w14:paraId="5824D427">
            <w:pPr>
              <w:pStyle w:val="23"/>
            </w:pPr>
            <w:r>
              <w:rPr>
                <w:rFonts w:hint="eastAsia"/>
              </w:rPr>
              <w:t>对月度新增入库的规模（限额）以上企业，在市级奖励的基础上，区级一次性追加奖励10万元；对年度“小进规”“小进限”企业，在市级奖励的基础上，区级一次性追加奖励8万元。打造精品专业市场，对实现集中收银并纳入服务业统计库的商业综合体，在市级奖励的基础上，区级一次性追加奖励15万元。</w:t>
            </w:r>
          </w:p>
        </w:tc>
        <w:tc>
          <w:tcPr>
            <w:tcW w:w="1356" w:type="pct"/>
            <w:tcBorders>
              <w:tl2br w:val="nil"/>
              <w:tr2bl w:val="nil"/>
            </w:tcBorders>
            <w:tcMar>
              <w:top w:w="57" w:type="dxa"/>
              <w:left w:w="57" w:type="dxa"/>
              <w:bottom w:w="57" w:type="dxa"/>
              <w:right w:w="57" w:type="dxa"/>
            </w:tcMar>
            <w:vAlign w:val="center"/>
          </w:tcPr>
          <w:p w14:paraId="17EBC9F1">
            <w:pPr>
              <w:pStyle w:val="23"/>
            </w:pPr>
            <w:r>
              <w:rPr>
                <w:rFonts w:hint="eastAsia"/>
              </w:rPr>
              <w:t>2023年2月28日，《葛店经开区管委会关于印发&lt;葛店经开区关于加快服务业发展的实施意见&gt;的通知》（鄂葛管发〔2023〕3号）</w:t>
            </w:r>
          </w:p>
        </w:tc>
      </w:tr>
      <w:tr w14:paraId="4D00D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87" w:hRule="atLeast"/>
        </w:trPr>
        <w:tc>
          <w:tcPr>
            <w:tcW w:w="418" w:type="pct"/>
            <w:vMerge w:val="continue"/>
            <w:tcBorders>
              <w:tl2br w:val="nil"/>
              <w:tr2bl w:val="nil"/>
            </w:tcBorders>
            <w:tcMar>
              <w:top w:w="57" w:type="dxa"/>
              <w:left w:w="57" w:type="dxa"/>
              <w:bottom w:w="57" w:type="dxa"/>
              <w:right w:w="57" w:type="dxa"/>
            </w:tcMar>
            <w:vAlign w:val="center"/>
          </w:tcPr>
          <w:p w14:paraId="0DEDF55D">
            <w:pPr>
              <w:pStyle w:val="23"/>
              <w:jc w:val="center"/>
            </w:pPr>
          </w:p>
        </w:tc>
        <w:tc>
          <w:tcPr>
            <w:tcW w:w="266" w:type="pct"/>
            <w:tcBorders>
              <w:tl2br w:val="nil"/>
              <w:tr2bl w:val="nil"/>
            </w:tcBorders>
            <w:tcMar>
              <w:top w:w="57" w:type="dxa"/>
              <w:left w:w="57" w:type="dxa"/>
              <w:bottom w:w="57" w:type="dxa"/>
              <w:right w:w="57" w:type="dxa"/>
            </w:tcMar>
            <w:vAlign w:val="center"/>
          </w:tcPr>
          <w:p w14:paraId="7CEAAF92">
            <w:pPr>
              <w:pStyle w:val="23"/>
              <w:jc w:val="center"/>
            </w:pPr>
            <w:r>
              <w:rPr>
                <w:rFonts w:hint="eastAsia"/>
              </w:rPr>
              <w:t>19</w:t>
            </w:r>
          </w:p>
        </w:tc>
        <w:tc>
          <w:tcPr>
            <w:tcW w:w="318" w:type="pct"/>
            <w:vMerge w:val="restart"/>
            <w:tcBorders>
              <w:tl2br w:val="nil"/>
              <w:tr2bl w:val="nil"/>
            </w:tcBorders>
            <w:tcMar>
              <w:top w:w="57" w:type="dxa"/>
              <w:left w:w="57" w:type="dxa"/>
              <w:bottom w:w="57" w:type="dxa"/>
              <w:right w:w="57" w:type="dxa"/>
            </w:tcMar>
            <w:vAlign w:val="center"/>
          </w:tcPr>
          <w:p w14:paraId="525E7C7C">
            <w:pPr>
              <w:pStyle w:val="23"/>
              <w:jc w:val="center"/>
            </w:pPr>
            <w:r>
              <w:rPr>
                <w:rFonts w:hint="eastAsia"/>
              </w:rPr>
              <w:t>要素保障类</w:t>
            </w:r>
          </w:p>
        </w:tc>
        <w:tc>
          <w:tcPr>
            <w:tcW w:w="2640" w:type="pct"/>
            <w:tcBorders>
              <w:tl2br w:val="nil"/>
              <w:tr2bl w:val="nil"/>
            </w:tcBorders>
            <w:tcMar>
              <w:top w:w="57" w:type="dxa"/>
              <w:left w:w="57" w:type="dxa"/>
              <w:bottom w:w="57" w:type="dxa"/>
              <w:right w:w="57" w:type="dxa"/>
            </w:tcMar>
            <w:vAlign w:val="center"/>
          </w:tcPr>
          <w:p w14:paraId="0DDA720C">
            <w:pPr>
              <w:pStyle w:val="23"/>
            </w:pPr>
            <w:r>
              <w:rPr>
                <w:rFonts w:hint="eastAsia"/>
              </w:rPr>
              <w:t>积极推行“标准地”土地供给制度。土地供应前，应达到宗地征收（拆迁）安置补偿落实到位，没有法律经济纠纷，土地权利清晰，道路及其他基础设施完善，文物勘探完成，土地具备动工开发条件。对涉及大健康产业园、光电子信息产业园、智能制造产业园等重大项目建设用地开展征收平整，形成“标准地”。</w:t>
            </w:r>
          </w:p>
        </w:tc>
        <w:tc>
          <w:tcPr>
            <w:tcW w:w="1356" w:type="pct"/>
            <w:tcBorders>
              <w:tl2br w:val="nil"/>
              <w:tr2bl w:val="nil"/>
            </w:tcBorders>
            <w:tcMar>
              <w:top w:w="57" w:type="dxa"/>
              <w:left w:w="57" w:type="dxa"/>
              <w:bottom w:w="57" w:type="dxa"/>
              <w:right w:w="57" w:type="dxa"/>
            </w:tcMar>
            <w:vAlign w:val="center"/>
          </w:tcPr>
          <w:p w14:paraId="1055F766">
            <w:pPr>
              <w:pStyle w:val="23"/>
            </w:pPr>
            <w:r>
              <w:rPr>
                <w:rFonts w:hint="eastAsia"/>
              </w:rPr>
              <w:t>2021年4月19日，《葛店开发区党工委印发&lt;关于以市场主体需求为导向打造一流营商环境的实施方案&gt;的通知》（鄂葛开工〔2021〕4号）</w:t>
            </w:r>
          </w:p>
        </w:tc>
      </w:tr>
      <w:tr w14:paraId="773D8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418" w:type="pct"/>
            <w:vMerge w:val="continue"/>
            <w:tcBorders>
              <w:tl2br w:val="nil"/>
              <w:tr2bl w:val="nil"/>
            </w:tcBorders>
            <w:tcMar>
              <w:top w:w="57" w:type="dxa"/>
              <w:left w:w="57" w:type="dxa"/>
              <w:bottom w:w="57" w:type="dxa"/>
              <w:right w:w="57" w:type="dxa"/>
            </w:tcMar>
            <w:vAlign w:val="center"/>
          </w:tcPr>
          <w:p w14:paraId="335F021C">
            <w:pPr>
              <w:pStyle w:val="23"/>
              <w:jc w:val="center"/>
            </w:pPr>
          </w:p>
        </w:tc>
        <w:tc>
          <w:tcPr>
            <w:tcW w:w="266" w:type="pct"/>
            <w:tcBorders>
              <w:tl2br w:val="nil"/>
              <w:tr2bl w:val="nil"/>
            </w:tcBorders>
            <w:tcMar>
              <w:top w:w="57" w:type="dxa"/>
              <w:left w:w="57" w:type="dxa"/>
              <w:bottom w:w="57" w:type="dxa"/>
              <w:right w:w="57" w:type="dxa"/>
            </w:tcMar>
            <w:vAlign w:val="center"/>
          </w:tcPr>
          <w:p w14:paraId="5EE0B17B">
            <w:pPr>
              <w:pStyle w:val="23"/>
              <w:jc w:val="center"/>
            </w:pPr>
            <w:r>
              <w:rPr>
                <w:rFonts w:hint="eastAsia"/>
              </w:rPr>
              <w:t>20</w:t>
            </w:r>
          </w:p>
        </w:tc>
        <w:tc>
          <w:tcPr>
            <w:tcW w:w="318" w:type="pct"/>
            <w:vMerge w:val="continue"/>
            <w:tcBorders>
              <w:tl2br w:val="nil"/>
              <w:tr2bl w:val="nil"/>
            </w:tcBorders>
            <w:tcMar>
              <w:top w:w="57" w:type="dxa"/>
              <w:left w:w="57" w:type="dxa"/>
              <w:bottom w:w="57" w:type="dxa"/>
              <w:right w:w="57" w:type="dxa"/>
            </w:tcMar>
            <w:vAlign w:val="center"/>
          </w:tcPr>
          <w:p w14:paraId="6D059632">
            <w:pPr>
              <w:pStyle w:val="23"/>
              <w:jc w:val="center"/>
            </w:pPr>
          </w:p>
        </w:tc>
        <w:tc>
          <w:tcPr>
            <w:tcW w:w="2640" w:type="pct"/>
            <w:tcBorders>
              <w:tl2br w:val="nil"/>
              <w:tr2bl w:val="nil"/>
            </w:tcBorders>
            <w:tcMar>
              <w:top w:w="57" w:type="dxa"/>
              <w:left w:w="57" w:type="dxa"/>
              <w:bottom w:w="57" w:type="dxa"/>
              <w:right w:w="57" w:type="dxa"/>
            </w:tcMar>
            <w:vAlign w:val="center"/>
          </w:tcPr>
          <w:p w14:paraId="0A5FE631">
            <w:pPr>
              <w:pStyle w:val="23"/>
            </w:pPr>
            <w:r>
              <w:rPr>
                <w:rFonts w:hint="eastAsia"/>
              </w:rPr>
              <w:t>支持年销售收入超过50亿元的在区企业设立研发机构，视企业规模大小及需要可按科教用地为企业配套提供30亩以上50亩以下的研发及总部、第二三总部用地。</w:t>
            </w:r>
          </w:p>
        </w:tc>
        <w:tc>
          <w:tcPr>
            <w:tcW w:w="1356" w:type="pct"/>
            <w:tcBorders>
              <w:tl2br w:val="nil"/>
              <w:tr2bl w:val="nil"/>
            </w:tcBorders>
            <w:tcMar>
              <w:top w:w="57" w:type="dxa"/>
              <w:left w:w="57" w:type="dxa"/>
              <w:bottom w:w="57" w:type="dxa"/>
              <w:right w:w="57" w:type="dxa"/>
            </w:tcMar>
            <w:vAlign w:val="center"/>
          </w:tcPr>
          <w:p w14:paraId="1C0E9A2E">
            <w:pPr>
              <w:pStyle w:val="23"/>
            </w:pPr>
            <w:r>
              <w:rPr>
                <w:rFonts w:hint="eastAsia"/>
              </w:rPr>
              <w:t>2022年3月13日，《葛店开发区管委会关于印发&lt;葛店开发区招商引资激励办法&gt;的通知》（鄂葛管发〔2022〕2号）</w:t>
            </w:r>
          </w:p>
        </w:tc>
      </w:tr>
      <w:tr w14:paraId="364C9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418" w:type="pct"/>
            <w:vMerge w:val="restart"/>
            <w:tcBorders>
              <w:tl2br w:val="nil"/>
              <w:tr2bl w:val="nil"/>
            </w:tcBorders>
            <w:tcMar>
              <w:top w:w="57" w:type="dxa"/>
              <w:left w:w="57" w:type="dxa"/>
              <w:bottom w:w="57" w:type="dxa"/>
              <w:right w:w="57" w:type="dxa"/>
            </w:tcMar>
            <w:vAlign w:val="center"/>
          </w:tcPr>
          <w:p w14:paraId="0EBA4750">
            <w:pPr>
              <w:pStyle w:val="23"/>
              <w:jc w:val="center"/>
            </w:pPr>
            <w:r>
              <w:rPr>
                <w:rFonts w:hint="eastAsia"/>
              </w:rPr>
              <w:t>临空经济区</w:t>
            </w:r>
          </w:p>
        </w:tc>
        <w:tc>
          <w:tcPr>
            <w:tcW w:w="266" w:type="pct"/>
            <w:tcBorders>
              <w:tl2br w:val="nil"/>
              <w:tr2bl w:val="nil"/>
            </w:tcBorders>
            <w:tcMar>
              <w:top w:w="57" w:type="dxa"/>
              <w:left w:w="57" w:type="dxa"/>
              <w:bottom w:w="57" w:type="dxa"/>
              <w:right w:w="57" w:type="dxa"/>
            </w:tcMar>
            <w:vAlign w:val="center"/>
          </w:tcPr>
          <w:p w14:paraId="1B4E747F">
            <w:pPr>
              <w:pStyle w:val="23"/>
              <w:jc w:val="center"/>
            </w:pPr>
            <w:r>
              <w:rPr>
                <w:rFonts w:hint="eastAsia"/>
              </w:rPr>
              <w:t>1</w:t>
            </w:r>
          </w:p>
        </w:tc>
        <w:tc>
          <w:tcPr>
            <w:tcW w:w="318" w:type="pct"/>
            <w:vMerge w:val="restart"/>
            <w:tcBorders>
              <w:tl2br w:val="nil"/>
              <w:tr2bl w:val="nil"/>
            </w:tcBorders>
            <w:tcMar>
              <w:top w:w="57" w:type="dxa"/>
              <w:left w:w="57" w:type="dxa"/>
              <w:bottom w:w="57" w:type="dxa"/>
              <w:right w:w="57" w:type="dxa"/>
            </w:tcMar>
            <w:vAlign w:val="center"/>
          </w:tcPr>
          <w:p w14:paraId="2BD7FAF6">
            <w:pPr>
              <w:pStyle w:val="23"/>
              <w:jc w:val="center"/>
            </w:pPr>
            <w:r>
              <w:rPr>
                <w:rFonts w:hint="eastAsia"/>
              </w:rPr>
              <w:t>优化服务类</w:t>
            </w:r>
          </w:p>
        </w:tc>
        <w:tc>
          <w:tcPr>
            <w:tcW w:w="2640" w:type="pct"/>
            <w:tcBorders>
              <w:tl2br w:val="nil"/>
              <w:tr2bl w:val="nil"/>
            </w:tcBorders>
            <w:tcMar>
              <w:top w:w="57" w:type="dxa"/>
              <w:left w:w="57" w:type="dxa"/>
              <w:bottom w:w="57" w:type="dxa"/>
              <w:right w:w="57" w:type="dxa"/>
            </w:tcMar>
            <w:vAlign w:val="center"/>
          </w:tcPr>
          <w:p w14:paraId="17C38C81">
            <w:pPr>
              <w:pStyle w:val="23"/>
            </w:pPr>
            <w:r>
              <w:rPr>
                <w:rFonts w:hint="eastAsia"/>
              </w:rPr>
              <w:t>持续深化“证照分离”改革。取消审批、改为备案、实行告知承诺的事项达到120项以上。在超市、饭店、小餐饮等19个行业大力推进“一业一证”。</w:t>
            </w:r>
          </w:p>
        </w:tc>
        <w:tc>
          <w:tcPr>
            <w:tcW w:w="1356" w:type="pct"/>
            <w:tcBorders>
              <w:tl2br w:val="nil"/>
              <w:tr2bl w:val="nil"/>
            </w:tcBorders>
            <w:tcMar>
              <w:top w:w="57" w:type="dxa"/>
              <w:left w:w="57" w:type="dxa"/>
              <w:bottom w:w="57" w:type="dxa"/>
              <w:right w:w="57" w:type="dxa"/>
            </w:tcMar>
            <w:vAlign w:val="center"/>
          </w:tcPr>
          <w:p w14:paraId="43F2023C">
            <w:pPr>
              <w:pStyle w:val="23"/>
            </w:pPr>
            <w:r>
              <w:rPr>
                <w:rFonts w:hint="eastAsia"/>
              </w:rPr>
              <w:t>2022年6月21日，《区党工委 区管委会关于印发&lt;市临空经济区持续深化一流营商环境建设2022年行动方案&gt;的通知》（鄂州临空发〔2022〕6号）</w:t>
            </w:r>
          </w:p>
        </w:tc>
      </w:tr>
      <w:tr w14:paraId="2A2D4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418" w:type="pct"/>
            <w:vMerge w:val="continue"/>
            <w:tcBorders>
              <w:tl2br w:val="nil"/>
              <w:tr2bl w:val="nil"/>
            </w:tcBorders>
            <w:tcMar>
              <w:top w:w="57" w:type="dxa"/>
              <w:left w:w="57" w:type="dxa"/>
              <w:bottom w:w="57" w:type="dxa"/>
              <w:right w:w="57" w:type="dxa"/>
            </w:tcMar>
            <w:vAlign w:val="center"/>
          </w:tcPr>
          <w:p w14:paraId="33FD1A8F">
            <w:pPr>
              <w:pStyle w:val="23"/>
              <w:jc w:val="center"/>
            </w:pPr>
          </w:p>
        </w:tc>
        <w:tc>
          <w:tcPr>
            <w:tcW w:w="266" w:type="pct"/>
            <w:tcBorders>
              <w:tl2br w:val="nil"/>
              <w:tr2bl w:val="nil"/>
            </w:tcBorders>
            <w:tcMar>
              <w:top w:w="57" w:type="dxa"/>
              <w:left w:w="57" w:type="dxa"/>
              <w:bottom w:w="57" w:type="dxa"/>
              <w:right w:w="57" w:type="dxa"/>
            </w:tcMar>
            <w:vAlign w:val="center"/>
          </w:tcPr>
          <w:p w14:paraId="0FF0AA35">
            <w:pPr>
              <w:pStyle w:val="23"/>
              <w:jc w:val="center"/>
            </w:pPr>
            <w:r>
              <w:rPr>
                <w:rFonts w:hint="eastAsia"/>
              </w:rPr>
              <w:t>2</w:t>
            </w:r>
          </w:p>
        </w:tc>
        <w:tc>
          <w:tcPr>
            <w:tcW w:w="318" w:type="pct"/>
            <w:vMerge w:val="continue"/>
            <w:tcBorders>
              <w:tl2br w:val="nil"/>
              <w:tr2bl w:val="nil"/>
            </w:tcBorders>
            <w:tcMar>
              <w:top w:w="57" w:type="dxa"/>
              <w:left w:w="57" w:type="dxa"/>
              <w:bottom w:w="57" w:type="dxa"/>
              <w:right w:w="57" w:type="dxa"/>
            </w:tcMar>
            <w:vAlign w:val="center"/>
          </w:tcPr>
          <w:p w14:paraId="1EBE66F5">
            <w:pPr>
              <w:pStyle w:val="23"/>
              <w:jc w:val="center"/>
            </w:pPr>
          </w:p>
        </w:tc>
        <w:tc>
          <w:tcPr>
            <w:tcW w:w="2640" w:type="pct"/>
            <w:tcBorders>
              <w:tl2br w:val="nil"/>
              <w:tr2bl w:val="nil"/>
            </w:tcBorders>
            <w:tcMar>
              <w:top w:w="57" w:type="dxa"/>
              <w:left w:w="57" w:type="dxa"/>
              <w:bottom w:w="57" w:type="dxa"/>
              <w:right w:w="57" w:type="dxa"/>
            </w:tcMar>
            <w:vAlign w:val="center"/>
          </w:tcPr>
          <w:p w14:paraId="09808539">
            <w:pPr>
              <w:pStyle w:val="23"/>
            </w:pPr>
            <w:r>
              <w:rPr>
                <w:rFonts w:hint="eastAsia"/>
              </w:rPr>
              <w:t>推行企业开办“1050”标准。实行企业开办“1个环节、0.5天办结、零费用”，企业自主申报名称后，即时办结设立登记，0.5天完成开办企业。</w:t>
            </w:r>
          </w:p>
        </w:tc>
        <w:tc>
          <w:tcPr>
            <w:tcW w:w="1356" w:type="pct"/>
            <w:tcBorders>
              <w:tl2br w:val="nil"/>
              <w:tr2bl w:val="nil"/>
            </w:tcBorders>
            <w:tcMar>
              <w:top w:w="57" w:type="dxa"/>
              <w:left w:w="57" w:type="dxa"/>
              <w:bottom w:w="57" w:type="dxa"/>
              <w:right w:w="57" w:type="dxa"/>
            </w:tcMar>
            <w:vAlign w:val="center"/>
          </w:tcPr>
          <w:p w14:paraId="2283825F">
            <w:pPr>
              <w:pStyle w:val="23"/>
            </w:pPr>
            <w:r>
              <w:rPr>
                <w:rFonts w:hint="eastAsia"/>
              </w:rPr>
              <w:t>2023年6月30日，《区党工委 区管委会关于印发&lt;市临空经济区以控制成本为核心优化营商环境行动方案&gt;的通知》（鄂州临空发〔2023〕5号）</w:t>
            </w:r>
          </w:p>
        </w:tc>
      </w:tr>
      <w:tr w14:paraId="42F1E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418" w:type="pct"/>
            <w:vMerge w:val="continue"/>
            <w:tcBorders>
              <w:tl2br w:val="nil"/>
              <w:tr2bl w:val="nil"/>
            </w:tcBorders>
            <w:tcMar>
              <w:top w:w="57" w:type="dxa"/>
              <w:left w:w="57" w:type="dxa"/>
              <w:bottom w:w="57" w:type="dxa"/>
              <w:right w:w="57" w:type="dxa"/>
            </w:tcMar>
            <w:vAlign w:val="center"/>
          </w:tcPr>
          <w:p w14:paraId="25DDF07A">
            <w:pPr>
              <w:pStyle w:val="23"/>
              <w:jc w:val="center"/>
            </w:pPr>
          </w:p>
        </w:tc>
        <w:tc>
          <w:tcPr>
            <w:tcW w:w="266" w:type="pct"/>
            <w:tcBorders>
              <w:tl2br w:val="nil"/>
              <w:tr2bl w:val="nil"/>
            </w:tcBorders>
            <w:tcMar>
              <w:top w:w="57" w:type="dxa"/>
              <w:left w:w="57" w:type="dxa"/>
              <w:bottom w:w="57" w:type="dxa"/>
              <w:right w:w="57" w:type="dxa"/>
            </w:tcMar>
            <w:vAlign w:val="center"/>
          </w:tcPr>
          <w:p w14:paraId="4E5F2CD8">
            <w:pPr>
              <w:pStyle w:val="23"/>
              <w:jc w:val="center"/>
            </w:pPr>
            <w:r>
              <w:rPr>
                <w:rFonts w:hint="eastAsia"/>
              </w:rPr>
              <w:t>3</w:t>
            </w:r>
          </w:p>
        </w:tc>
        <w:tc>
          <w:tcPr>
            <w:tcW w:w="318" w:type="pct"/>
            <w:tcBorders>
              <w:tl2br w:val="nil"/>
              <w:tr2bl w:val="nil"/>
            </w:tcBorders>
            <w:tcMar>
              <w:top w:w="57" w:type="dxa"/>
              <w:left w:w="57" w:type="dxa"/>
              <w:bottom w:w="57" w:type="dxa"/>
              <w:right w:w="57" w:type="dxa"/>
            </w:tcMar>
            <w:vAlign w:val="center"/>
          </w:tcPr>
          <w:p w14:paraId="344840F9">
            <w:pPr>
              <w:pStyle w:val="23"/>
              <w:jc w:val="center"/>
            </w:pPr>
            <w:r>
              <w:rPr>
                <w:rFonts w:hint="eastAsia"/>
              </w:rPr>
              <w:t>资金奖补类</w:t>
            </w:r>
          </w:p>
        </w:tc>
        <w:tc>
          <w:tcPr>
            <w:tcW w:w="2640" w:type="pct"/>
            <w:tcBorders>
              <w:tl2br w:val="nil"/>
              <w:tr2bl w:val="nil"/>
            </w:tcBorders>
            <w:tcMar>
              <w:top w:w="57" w:type="dxa"/>
              <w:left w:w="57" w:type="dxa"/>
              <w:bottom w:w="57" w:type="dxa"/>
              <w:right w:w="57" w:type="dxa"/>
            </w:tcMar>
            <w:vAlign w:val="center"/>
          </w:tcPr>
          <w:p w14:paraId="52F15684">
            <w:pPr>
              <w:pStyle w:val="23"/>
            </w:pPr>
            <w:r>
              <w:rPr>
                <w:rFonts w:hint="eastAsia"/>
              </w:rPr>
              <w:t>对首次进规工业企业一次性奖励20万元，复进规工业企业奖励10万元。对新增入库的规模以上服务业（含限额以上批零住餐）企业或个体户，一次性奖励5万元；对营业收入在5000万元以上且实现集中收银并纳入服务业统计库的商业综合体、专业市场，当年一次性奖励20万元。</w:t>
            </w:r>
          </w:p>
        </w:tc>
        <w:tc>
          <w:tcPr>
            <w:tcW w:w="1356" w:type="pct"/>
            <w:tcBorders>
              <w:tl2br w:val="nil"/>
              <w:tr2bl w:val="nil"/>
            </w:tcBorders>
            <w:tcMar>
              <w:top w:w="57" w:type="dxa"/>
              <w:left w:w="57" w:type="dxa"/>
              <w:bottom w:w="57" w:type="dxa"/>
              <w:right w:w="57" w:type="dxa"/>
            </w:tcMar>
            <w:vAlign w:val="center"/>
          </w:tcPr>
          <w:p w14:paraId="0F90D96D">
            <w:pPr>
              <w:pStyle w:val="23"/>
            </w:pPr>
            <w:r>
              <w:rPr>
                <w:rFonts w:hint="eastAsia"/>
              </w:rPr>
              <w:t>2022年5月1日，《区党政综合办公室印发&lt;临空经济区关于支持企业高质量发展若干奖补政策&gt;的通知》</w:t>
            </w:r>
          </w:p>
        </w:tc>
      </w:tr>
      <w:tr w14:paraId="522DC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418" w:type="pct"/>
            <w:vMerge w:val="continue"/>
            <w:tcBorders>
              <w:tl2br w:val="nil"/>
              <w:tr2bl w:val="nil"/>
            </w:tcBorders>
            <w:tcMar>
              <w:top w:w="57" w:type="dxa"/>
              <w:left w:w="57" w:type="dxa"/>
              <w:bottom w:w="57" w:type="dxa"/>
              <w:right w:w="57" w:type="dxa"/>
            </w:tcMar>
            <w:vAlign w:val="center"/>
          </w:tcPr>
          <w:p w14:paraId="55E0F98E">
            <w:pPr>
              <w:pStyle w:val="23"/>
              <w:jc w:val="center"/>
            </w:pPr>
          </w:p>
        </w:tc>
        <w:tc>
          <w:tcPr>
            <w:tcW w:w="266" w:type="pct"/>
            <w:tcBorders>
              <w:tl2br w:val="nil"/>
              <w:tr2bl w:val="nil"/>
            </w:tcBorders>
            <w:tcMar>
              <w:top w:w="57" w:type="dxa"/>
              <w:left w:w="57" w:type="dxa"/>
              <w:bottom w:w="57" w:type="dxa"/>
              <w:right w:w="57" w:type="dxa"/>
            </w:tcMar>
            <w:vAlign w:val="center"/>
          </w:tcPr>
          <w:p w14:paraId="32D29155">
            <w:pPr>
              <w:pStyle w:val="23"/>
              <w:jc w:val="center"/>
            </w:pPr>
            <w:r>
              <w:rPr>
                <w:rFonts w:hint="eastAsia"/>
              </w:rPr>
              <w:t>4</w:t>
            </w:r>
          </w:p>
        </w:tc>
        <w:tc>
          <w:tcPr>
            <w:tcW w:w="318" w:type="pct"/>
            <w:tcBorders>
              <w:tl2br w:val="nil"/>
              <w:tr2bl w:val="nil"/>
            </w:tcBorders>
            <w:tcMar>
              <w:top w:w="57" w:type="dxa"/>
              <w:left w:w="57" w:type="dxa"/>
              <w:bottom w:w="57" w:type="dxa"/>
              <w:right w:w="57" w:type="dxa"/>
            </w:tcMar>
            <w:vAlign w:val="center"/>
          </w:tcPr>
          <w:p w14:paraId="531E2E10">
            <w:pPr>
              <w:pStyle w:val="23"/>
              <w:jc w:val="center"/>
            </w:pPr>
            <w:r>
              <w:rPr>
                <w:rFonts w:hint="eastAsia"/>
              </w:rPr>
              <w:t>就业创业类</w:t>
            </w:r>
          </w:p>
        </w:tc>
        <w:tc>
          <w:tcPr>
            <w:tcW w:w="2640" w:type="pct"/>
            <w:tcBorders>
              <w:tl2br w:val="nil"/>
              <w:tr2bl w:val="nil"/>
            </w:tcBorders>
            <w:tcMar>
              <w:top w:w="57" w:type="dxa"/>
              <w:left w:w="57" w:type="dxa"/>
              <w:bottom w:w="57" w:type="dxa"/>
              <w:right w:w="57" w:type="dxa"/>
            </w:tcMar>
            <w:vAlign w:val="center"/>
          </w:tcPr>
          <w:p w14:paraId="47DA00E4">
            <w:pPr>
              <w:pStyle w:val="23"/>
            </w:pPr>
            <w:r>
              <w:rPr>
                <w:rFonts w:hint="eastAsia"/>
              </w:rPr>
              <w:t>针对在我区无房且按规定缴纳社会保险费的“新临空人”，可优先申请保障性租赁住房；对“新临空人”在辖区内购买首套新建商品房，面积90平方米及以下的每套补贴2万元，面积90平方米以上的每套补贴3万元。</w:t>
            </w:r>
          </w:p>
        </w:tc>
        <w:tc>
          <w:tcPr>
            <w:tcW w:w="1356" w:type="pct"/>
            <w:tcBorders>
              <w:tl2br w:val="nil"/>
              <w:tr2bl w:val="nil"/>
            </w:tcBorders>
            <w:tcMar>
              <w:top w:w="57" w:type="dxa"/>
              <w:left w:w="57" w:type="dxa"/>
              <w:bottom w:w="57" w:type="dxa"/>
              <w:right w:w="57" w:type="dxa"/>
            </w:tcMar>
            <w:vAlign w:val="center"/>
          </w:tcPr>
          <w:p w14:paraId="116105F2">
            <w:pPr>
              <w:pStyle w:val="23"/>
            </w:pPr>
            <w:r>
              <w:rPr>
                <w:rFonts w:hint="eastAsia"/>
              </w:rPr>
              <w:t>2023年8月15日，《中共鄂州市委临空经济区工作委员会印发&lt;临空经济区“引人聚才”若干措施（试行）的通知&gt;》（鄂州临空发〔2023〕6号）</w:t>
            </w:r>
          </w:p>
        </w:tc>
      </w:tr>
    </w:tbl>
    <w:p w14:paraId="46C90B27">
      <w:pPr>
        <w:pStyle w:val="9"/>
        <w:ind w:left="0" w:leftChars="0" w:firstLine="0" w:firstLineChars="0"/>
        <w:rPr>
          <w:rFonts w:hint="eastAsia"/>
        </w:rPr>
      </w:pPr>
    </w:p>
    <w:sectPr>
      <w:pgSz w:w="11906" w:h="16838"/>
      <w:pgMar w:top="1984" w:right="1474" w:bottom="1701" w:left="1587" w:header="851" w:footer="284"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仿宋_GBK">
    <w:altName w:val="微软雅黑"/>
    <w:panose1 w:val="00000000000000000000"/>
    <w:charset w:val="86"/>
    <w:family w:val="auto"/>
    <w:pitch w:val="default"/>
    <w:sig w:usb0="00000000" w:usb1="00000000" w:usb2="00000000" w:usb3="00000000" w:csb0="00040000" w:csb1="00000000"/>
  </w:font>
  <w:font w:name="方正小标宋_GBK">
    <w:altName w:val="微软雅黑"/>
    <w:panose1 w:val="00000000000000000000"/>
    <w:charset w:val="86"/>
    <w:family w:val="auto"/>
    <w:pitch w:val="default"/>
    <w:sig w:usb0="00000000" w:usb1="0000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书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U4YTFmZmJjZTE1NmRhNDE3NWU5ODE1YjRkOGRiM2YifQ=="/>
  </w:docVars>
  <w:rsids>
    <w:rsidRoot w:val="00BD6A98"/>
    <w:rsid w:val="00431FD9"/>
    <w:rsid w:val="004D4EC3"/>
    <w:rsid w:val="007331CD"/>
    <w:rsid w:val="00920C45"/>
    <w:rsid w:val="00BD6A98"/>
    <w:rsid w:val="00D40F04"/>
    <w:rsid w:val="0AD32091"/>
    <w:rsid w:val="36BB2EEB"/>
    <w:rsid w:val="3E856F1F"/>
    <w:rsid w:val="51A77AA2"/>
    <w:rsid w:val="71771B4C"/>
    <w:rsid w:val="7F143C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1" w:semiHidden="0" w:name="heading 2"/>
    <w:lsdException w:qFormat="1" w:uiPriority="9" w:name="heading 3"/>
    <w:lsdException w:qFormat="1" w:unhideWhenUsed="0" w:uiPriority="1"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578" w:lineRule="exact"/>
      <w:ind w:firstLine="420" w:firstLineChars="200"/>
      <w:jc w:val="both"/>
    </w:pPr>
    <w:rPr>
      <w:rFonts w:ascii="Calibri" w:hAnsi="Calibri" w:eastAsia="方正仿宋_GBK" w:cs="Times New Roman"/>
      <w:kern w:val="2"/>
      <w:sz w:val="32"/>
      <w:szCs w:val="24"/>
      <w:lang w:val="en-US" w:eastAsia="zh-CN" w:bidi="ar-SA"/>
    </w:rPr>
  </w:style>
  <w:style w:type="paragraph" w:styleId="2">
    <w:name w:val="heading 1"/>
    <w:basedOn w:val="1"/>
    <w:link w:val="18"/>
    <w:qFormat/>
    <w:uiPriority w:val="0"/>
    <w:pPr>
      <w:keepNext/>
      <w:keepLines/>
      <w:spacing w:line="624" w:lineRule="exact"/>
      <w:ind w:firstLine="0" w:firstLineChars="0"/>
      <w:jc w:val="center"/>
      <w:outlineLvl w:val="0"/>
    </w:pPr>
    <w:rPr>
      <w:rFonts w:ascii="Times New Roman" w:hAnsi="Times New Roman" w:eastAsia="方正小标宋_GBK"/>
      <w:snapToGrid w:val="0"/>
      <w:kern w:val="0"/>
      <w:sz w:val="44"/>
    </w:rPr>
  </w:style>
  <w:style w:type="paragraph" w:styleId="3">
    <w:name w:val="heading 2"/>
    <w:basedOn w:val="1"/>
    <w:link w:val="19"/>
    <w:unhideWhenUsed/>
    <w:qFormat/>
    <w:uiPriority w:val="1"/>
    <w:pPr>
      <w:ind w:right="1438"/>
      <w:jc w:val="center"/>
      <w:outlineLvl w:val="1"/>
    </w:pPr>
    <w:rPr>
      <w:rFonts w:hint="eastAsia" w:ascii="方正黑体_GBK" w:hAnsi="方正黑体_GBK" w:eastAsia="方正黑体_GBK" w:cs="方正黑体_GBK"/>
      <w:sz w:val="36"/>
      <w:szCs w:val="36"/>
    </w:rPr>
  </w:style>
  <w:style w:type="paragraph" w:styleId="4">
    <w:name w:val="heading 4"/>
    <w:basedOn w:val="1"/>
    <w:link w:val="20"/>
    <w:qFormat/>
    <w:uiPriority w:val="1"/>
    <w:pPr>
      <w:ind w:right="1438"/>
      <w:jc w:val="center"/>
      <w:outlineLvl w:val="3"/>
    </w:pPr>
    <w:rPr>
      <w:rFonts w:ascii="方正楷体_GBK" w:hAnsi="方正楷体_GBK" w:eastAsia="方正楷体_GBK" w:cs="方正楷体_GBK"/>
      <w:sz w:val="28"/>
      <w:szCs w:val="28"/>
    </w:rPr>
  </w:style>
  <w:style w:type="character" w:default="1" w:styleId="14">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1"/>
    <w:qFormat/>
    <w:uiPriority w:val="1"/>
    <w:pPr>
      <w:ind w:left="232"/>
    </w:pPr>
    <w:rPr>
      <w:rFonts w:ascii="方正书宋_GBK" w:hAnsi="方正书宋_GBK" w:eastAsia="方正书宋_GBK" w:cs="方正书宋_GBK"/>
      <w:sz w:val="24"/>
    </w:rPr>
  </w:style>
  <w:style w:type="paragraph" w:styleId="6">
    <w:name w:val="footer"/>
    <w:basedOn w:val="1"/>
    <w:link w:val="17"/>
    <w:unhideWhenUsed/>
    <w:qFormat/>
    <w:uiPriority w:val="0"/>
    <w:pPr>
      <w:tabs>
        <w:tab w:val="center" w:pos="4153"/>
        <w:tab w:val="right" w:pos="8306"/>
      </w:tabs>
      <w:adjustRightInd/>
      <w:spacing w:line="240" w:lineRule="auto"/>
      <w:ind w:firstLine="0" w:firstLineChars="0"/>
      <w:jc w:val="left"/>
    </w:pPr>
    <w:rPr>
      <w:rFonts w:asciiTheme="minorHAnsi" w:hAnsiTheme="minorHAnsi" w:eastAsiaTheme="minorEastAsia" w:cstheme="minorBidi"/>
      <w:sz w:val="18"/>
      <w:szCs w:val="18"/>
    </w:rPr>
  </w:style>
  <w:style w:type="paragraph" w:styleId="7">
    <w:name w:val="header"/>
    <w:basedOn w:val="1"/>
    <w:link w:val="16"/>
    <w:unhideWhenUsed/>
    <w:qFormat/>
    <w:uiPriority w:val="0"/>
    <w:pPr>
      <w:tabs>
        <w:tab w:val="center" w:pos="4153"/>
        <w:tab w:val="right" w:pos="8306"/>
      </w:tabs>
      <w:adjustRightInd/>
      <w:spacing w:line="240" w:lineRule="auto"/>
      <w:ind w:firstLine="0" w:firstLineChars="0"/>
      <w:jc w:val="center"/>
    </w:pPr>
    <w:rPr>
      <w:rFonts w:asciiTheme="minorHAnsi" w:hAnsiTheme="minorHAnsi" w:eastAsiaTheme="minorEastAsia" w:cstheme="minorBidi"/>
      <w:sz w:val="18"/>
      <w:szCs w:val="18"/>
    </w:rPr>
  </w:style>
  <w:style w:type="paragraph" w:styleId="8">
    <w:name w:val="toc 1"/>
    <w:basedOn w:val="9"/>
    <w:next w:val="1"/>
    <w:qFormat/>
    <w:uiPriority w:val="0"/>
    <w:pPr>
      <w:spacing w:before="416" w:after="416"/>
      <w:ind w:firstLine="0" w:firstLineChars="0"/>
      <w:jc w:val="center"/>
    </w:pPr>
    <w:rPr>
      <w:rFonts w:eastAsia="方正小标宋_GBK"/>
      <w:sz w:val="32"/>
    </w:rPr>
  </w:style>
  <w:style w:type="paragraph" w:customStyle="1" w:styleId="9">
    <w:name w:val="正文1"/>
    <w:basedOn w:val="1"/>
    <w:link w:val="28"/>
    <w:qFormat/>
    <w:uiPriority w:val="0"/>
    <w:pPr>
      <w:overflowPunct w:val="0"/>
      <w:spacing w:line="416" w:lineRule="exact"/>
    </w:pPr>
    <w:rPr>
      <w:rFonts w:ascii="Times New Roman" w:hAnsi="Times New Roman" w:eastAsia="方正书宋_GBK"/>
      <w:snapToGrid w:val="0"/>
      <w:kern w:val="0"/>
      <w:sz w:val="24"/>
    </w:rPr>
  </w:style>
  <w:style w:type="paragraph" w:styleId="10">
    <w:name w:val="Subtitle"/>
    <w:basedOn w:val="9"/>
    <w:next w:val="9"/>
    <w:link w:val="22"/>
    <w:qFormat/>
    <w:uiPriority w:val="0"/>
    <w:pPr>
      <w:spacing w:before="416" w:after="416"/>
      <w:ind w:firstLine="0" w:firstLineChars="0"/>
      <w:jc w:val="center"/>
      <w:outlineLvl w:val="1"/>
    </w:pPr>
    <w:rPr>
      <w:rFonts w:eastAsia="方正楷体_GBK"/>
      <w:kern w:val="28"/>
    </w:rPr>
  </w:style>
  <w:style w:type="paragraph" w:styleId="11">
    <w:name w:val="toc 2"/>
    <w:basedOn w:val="9"/>
    <w:next w:val="9"/>
    <w:qFormat/>
    <w:uiPriority w:val="0"/>
    <w:pPr>
      <w:tabs>
        <w:tab w:val="right" w:leader="middleDot" w:pos="8844"/>
      </w:tabs>
      <w:ind w:hanging="480" w:hangingChars="200"/>
    </w:pPr>
  </w:style>
  <w:style w:type="paragraph" w:styleId="12">
    <w:name w:val="Normal (Web)"/>
    <w:basedOn w:val="1"/>
    <w:qFormat/>
    <w:uiPriority w:val="0"/>
    <w:pPr>
      <w:spacing w:beforeAutospacing="1" w:afterAutospacing="1"/>
      <w:jc w:val="left"/>
    </w:pPr>
    <w:rPr>
      <w:kern w:val="0"/>
      <w:sz w:val="24"/>
    </w:rPr>
  </w:style>
  <w:style w:type="character" w:styleId="15">
    <w:name w:val="Strong"/>
    <w:basedOn w:val="14"/>
    <w:qFormat/>
    <w:uiPriority w:val="0"/>
    <w:rPr>
      <w:b/>
    </w:rPr>
  </w:style>
  <w:style w:type="character" w:customStyle="1" w:styleId="16">
    <w:name w:val="页眉 字符"/>
    <w:basedOn w:val="14"/>
    <w:link w:val="7"/>
    <w:qFormat/>
    <w:uiPriority w:val="0"/>
    <w:rPr>
      <w:sz w:val="18"/>
      <w:szCs w:val="18"/>
    </w:rPr>
  </w:style>
  <w:style w:type="character" w:customStyle="1" w:styleId="17">
    <w:name w:val="页脚 字符"/>
    <w:basedOn w:val="14"/>
    <w:link w:val="6"/>
    <w:qFormat/>
    <w:uiPriority w:val="99"/>
    <w:rPr>
      <w:sz w:val="18"/>
      <w:szCs w:val="18"/>
    </w:rPr>
  </w:style>
  <w:style w:type="character" w:customStyle="1" w:styleId="18">
    <w:name w:val="标题 1 字符"/>
    <w:basedOn w:val="14"/>
    <w:link w:val="2"/>
    <w:qFormat/>
    <w:uiPriority w:val="0"/>
    <w:rPr>
      <w:rFonts w:ascii="Times New Roman" w:hAnsi="Times New Roman" w:eastAsia="方正小标宋_GBK" w:cs="Times New Roman"/>
      <w:snapToGrid w:val="0"/>
      <w:kern w:val="0"/>
      <w:sz w:val="44"/>
      <w:szCs w:val="24"/>
    </w:rPr>
  </w:style>
  <w:style w:type="character" w:customStyle="1" w:styleId="19">
    <w:name w:val="标题 2 字符"/>
    <w:basedOn w:val="14"/>
    <w:link w:val="3"/>
    <w:qFormat/>
    <w:uiPriority w:val="1"/>
    <w:rPr>
      <w:rFonts w:ascii="方正黑体_GBK" w:hAnsi="方正黑体_GBK" w:eastAsia="方正黑体_GBK" w:cs="方正黑体_GBK"/>
      <w:sz w:val="36"/>
      <w:szCs w:val="36"/>
    </w:rPr>
  </w:style>
  <w:style w:type="character" w:customStyle="1" w:styleId="20">
    <w:name w:val="标题 4 字符"/>
    <w:basedOn w:val="14"/>
    <w:link w:val="4"/>
    <w:qFormat/>
    <w:uiPriority w:val="1"/>
    <w:rPr>
      <w:rFonts w:ascii="方正楷体_GBK" w:hAnsi="方正楷体_GBK" w:eastAsia="方正楷体_GBK" w:cs="方正楷体_GBK"/>
      <w:sz w:val="28"/>
      <w:szCs w:val="28"/>
    </w:rPr>
  </w:style>
  <w:style w:type="character" w:customStyle="1" w:styleId="21">
    <w:name w:val="正文文本 字符"/>
    <w:basedOn w:val="14"/>
    <w:link w:val="5"/>
    <w:qFormat/>
    <w:uiPriority w:val="1"/>
    <w:rPr>
      <w:rFonts w:ascii="方正书宋_GBK" w:hAnsi="方正书宋_GBK" w:eastAsia="方正书宋_GBK" w:cs="方正书宋_GBK"/>
      <w:sz w:val="24"/>
      <w:szCs w:val="24"/>
    </w:rPr>
  </w:style>
  <w:style w:type="character" w:customStyle="1" w:styleId="22">
    <w:name w:val="副标题 字符"/>
    <w:basedOn w:val="14"/>
    <w:link w:val="10"/>
    <w:qFormat/>
    <w:uiPriority w:val="0"/>
    <w:rPr>
      <w:rFonts w:ascii="Times New Roman" w:hAnsi="Times New Roman" w:eastAsia="方正楷体_GBK" w:cs="Times New Roman"/>
      <w:snapToGrid w:val="0"/>
      <w:kern w:val="28"/>
      <w:sz w:val="24"/>
      <w:szCs w:val="24"/>
    </w:rPr>
  </w:style>
  <w:style w:type="paragraph" w:customStyle="1" w:styleId="23">
    <w:name w:val="表格正文"/>
    <w:basedOn w:val="1"/>
    <w:link w:val="29"/>
    <w:qFormat/>
    <w:uiPriority w:val="0"/>
    <w:pPr>
      <w:spacing w:line="250" w:lineRule="exact"/>
      <w:ind w:firstLine="0" w:firstLineChars="0"/>
    </w:pPr>
    <w:rPr>
      <w:rFonts w:ascii="Times New Roman" w:hAnsi="Times New Roman" w:eastAsia="方正书宋_GBK"/>
      <w:color w:val="000000"/>
      <w:sz w:val="18"/>
    </w:rPr>
  </w:style>
  <w:style w:type="paragraph" w:customStyle="1" w:styleId="24">
    <w:name w:val="表头"/>
    <w:basedOn w:val="1"/>
    <w:qFormat/>
    <w:uiPriority w:val="0"/>
    <w:pPr>
      <w:spacing w:line="250" w:lineRule="exact"/>
      <w:ind w:firstLine="0" w:firstLineChars="0"/>
      <w:jc w:val="center"/>
    </w:pPr>
    <w:rPr>
      <w:rFonts w:hint="eastAsia" w:ascii="Times New Roman" w:hAnsi="Times New Roman" w:eastAsia="方正黑体_GBK"/>
      <w:color w:val="000000"/>
      <w:sz w:val="18"/>
    </w:rPr>
  </w:style>
  <w:style w:type="paragraph" w:customStyle="1" w:styleId="25">
    <w:name w:val="Table Paragraph"/>
    <w:basedOn w:val="1"/>
    <w:unhideWhenUsed/>
    <w:qFormat/>
    <w:uiPriority w:val="1"/>
    <w:rPr>
      <w:rFonts w:hint="eastAsia"/>
      <w:sz w:val="22"/>
      <w:szCs w:val="22"/>
    </w:rPr>
  </w:style>
  <w:style w:type="paragraph" w:customStyle="1" w:styleId="26">
    <w:name w:val="目录组别"/>
    <w:basedOn w:val="9"/>
    <w:next w:val="9"/>
    <w:link w:val="27"/>
    <w:qFormat/>
    <w:uiPriority w:val="0"/>
    <w:pPr>
      <w:pBdr>
        <w:top w:val="none" w:color="auto" w:sz="0" w:space="1"/>
        <w:left w:val="none" w:color="auto" w:sz="0" w:space="4"/>
        <w:bottom w:val="none" w:color="auto" w:sz="0" w:space="1"/>
        <w:right w:val="none" w:color="auto" w:sz="0" w:space="4"/>
      </w:pBdr>
      <w:ind w:firstLine="0" w:firstLineChars="0"/>
      <w:jc w:val="left"/>
      <w:outlineLvl w:val="0"/>
    </w:pPr>
    <w:rPr>
      <w:rFonts w:eastAsia="方正楷体_GBK"/>
      <w:color w:val="FFFFFF" w:themeColor="background1"/>
      <w14:textFill>
        <w14:solidFill>
          <w14:schemeClr w14:val="bg1"/>
        </w14:solidFill>
      </w14:textFill>
    </w:rPr>
  </w:style>
  <w:style w:type="character" w:customStyle="1" w:styleId="27">
    <w:name w:val="目录组别 Char"/>
    <w:link w:val="26"/>
    <w:qFormat/>
    <w:uiPriority w:val="0"/>
    <w:rPr>
      <w:rFonts w:ascii="Times New Roman" w:hAnsi="Times New Roman" w:eastAsia="方正楷体_GBK" w:cs="Times New Roman"/>
      <w:snapToGrid w:val="0"/>
      <w:color w:val="FFFFFF" w:themeColor="background1"/>
      <w:kern w:val="0"/>
      <w:sz w:val="24"/>
      <w:szCs w:val="24"/>
      <w14:textFill>
        <w14:solidFill>
          <w14:schemeClr w14:val="bg1"/>
        </w14:solidFill>
      </w14:textFill>
    </w:rPr>
  </w:style>
  <w:style w:type="character" w:customStyle="1" w:styleId="28">
    <w:name w:val="正文1 Char"/>
    <w:link w:val="9"/>
    <w:qFormat/>
    <w:uiPriority w:val="0"/>
    <w:rPr>
      <w:rFonts w:ascii="Times New Roman" w:hAnsi="Times New Roman" w:eastAsia="方正书宋_GBK" w:cs="Times New Roman"/>
      <w:snapToGrid w:val="0"/>
      <w:kern w:val="0"/>
      <w:sz w:val="24"/>
      <w:szCs w:val="24"/>
    </w:rPr>
  </w:style>
  <w:style w:type="character" w:customStyle="1" w:styleId="29">
    <w:name w:val="表格正文 Char"/>
    <w:link w:val="23"/>
    <w:qFormat/>
    <w:uiPriority w:val="0"/>
    <w:rPr>
      <w:rFonts w:ascii="Times New Roman" w:hAnsi="Times New Roman" w:eastAsia="方正书宋_GBK" w:cs="Times New Roman"/>
      <w:color w:val="000000"/>
      <w:sz w:val="18"/>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16</Pages>
  <Words>16245</Words>
  <Characters>17142</Characters>
  <Lines>271</Lines>
  <Paragraphs>76</Paragraphs>
  <TotalTime>1</TotalTime>
  <ScaleCrop>false</ScaleCrop>
  <LinksUpToDate>false</LinksUpToDate>
  <CharactersWithSpaces>17159</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2024-10-15T03:12:00Z</dcterms:created>
  <dc:creator>李佳程</dc:creator>
  <cp:lastModifiedBy>远烟</cp:lastModifiedBy>
  <dcterms:modified xsi:type="dcterms:W3CDTF">2026-09-09T01:30:36Z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6D8509CF2AF04713A50F7162F73F5CD2_13</vt:lpwstr>
  </property>
</Properties>
</file>