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624BC">
      <w:pPr>
        <w:keepNext w:val="0"/>
        <w:keepLines w:val="0"/>
        <w:pageBreakBefore w:val="0"/>
        <w:kinsoku/>
        <w:wordWrap/>
        <w:overflowPunct/>
        <w:topLinePunct w:val="0"/>
        <w:autoSpaceDE/>
        <w:bidi w:val="0"/>
        <w:spacing w:line="600" w:lineRule="exact"/>
        <w:jc w:val="center"/>
        <w:rPr>
          <w:rFonts w:hint="eastAsia" w:ascii="方正小标宋简体" w:hAnsi="方正小标宋简体" w:eastAsia="方正小标宋简体" w:cs="方正小标宋简体"/>
          <w:sz w:val="36"/>
          <w:szCs w:val="36"/>
        </w:rPr>
      </w:pPr>
    </w:p>
    <w:p w14:paraId="4A6385EB">
      <w:pPr>
        <w:keepNext w:val="0"/>
        <w:keepLines w:val="0"/>
        <w:pageBreakBefore w:val="0"/>
        <w:kinsoku/>
        <w:wordWrap/>
        <w:overflowPunct/>
        <w:topLinePunct w:val="0"/>
        <w:autoSpaceDE/>
        <w:bidi w:val="0"/>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rPr>
        <w:t>年鄂州市信访局本级预算公开情况说明</w:t>
      </w:r>
    </w:p>
    <w:p w14:paraId="75AB2A41">
      <w:pPr>
        <w:keepNext w:val="0"/>
        <w:keepLines w:val="0"/>
        <w:pageBreakBefore w:val="0"/>
        <w:kinsoku/>
        <w:wordWrap/>
        <w:overflowPunct/>
        <w:topLinePunct w:val="0"/>
        <w:autoSpaceDE/>
        <w:bidi w:val="0"/>
        <w:spacing w:line="600" w:lineRule="exact"/>
        <w:jc w:val="center"/>
        <w:rPr>
          <w:rFonts w:ascii="方正小标宋简体" w:hAnsi="方正小标宋简体" w:eastAsia="方正小标宋简体" w:cs="方正小标宋简体"/>
          <w:sz w:val="32"/>
          <w:szCs w:val="32"/>
        </w:rPr>
      </w:pPr>
    </w:p>
    <w:p w14:paraId="6B78A763">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一、部门(单位)主要职责</w:t>
      </w:r>
    </w:p>
    <w:p w14:paraId="4F331F6E">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1.受理和接待人民群众给市委、市政府及其领导同志的来信来访事项。</w:t>
      </w:r>
    </w:p>
    <w:p w14:paraId="29135539">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2.承办中央、国务院及省委、省政府交办的来信来访事项和市委、市政府及其领导交办的重要信访事项，通过直接立案或责成有关地方和部门处理，查处按时上报处理结果。</w:t>
      </w:r>
    </w:p>
    <w:p w14:paraId="2D3A6BB1">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3.向市委、市政府领导同志提供群众来信来访中的重要信息，及时反映倾向性、动态性问题和影响社会稳定的事件。</w:t>
      </w:r>
    </w:p>
    <w:p w14:paraId="78D8790B">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4.综合分析人民来信来访情况，筛选论证群众的批评和建议, 提出解决问题的办法和意见，为市委、市政府领导决策当好参谋。</w:t>
      </w:r>
    </w:p>
    <w:p w14:paraId="07EE69FE">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5.按照“分级负责，归口办理”的原则，向有关地方和部门转办、交办来信来访事项，督促检查落实情况，协调或直接查处重要信访问题。</w:t>
      </w:r>
    </w:p>
    <w:p w14:paraId="31C57613">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6.对来信来访中反映政策性问题进行调查研究，协助市委、市政府和有关部门研究制定有关政策规定。</w:t>
      </w:r>
    </w:p>
    <w:p w14:paraId="1572BB6B">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7.负责全市信访工作的综合管理，协助市委、市政府部署、检查和指导全市的信访工作，发现和解决问题；组织交流和推广经验；培训信访干部；制定信访工作管理规定。</w:t>
      </w:r>
    </w:p>
    <w:p w14:paraId="52775380">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8.贯彻落实市信访工作联席会议有关指导全市信访工作的意见，处理市信访工作联席会议研究确定的重大信访问题。</w:t>
      </w:r>
    </w:p>
    <w:p w14:paraId="746884C6">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9.完成上级交办的其他工作。</w:t>
      </w:r>
    </w:p>
    <w:p w14:paraId="7BCCA7A0">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二、机构设置情况</w:t>
      </w:r>
    </w:p>
    <w:p w14:paraId="5CF61D64">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rPr>
      </w:pPr>
      <w:r>
        <w:rPr>
          <w:rFonts w:hint="eastAsia" w:ascii="华文仿宋" w:hAnsi="华文仿宋" w:eastAsia="华文仿宋" w:cs="华文仿宋"/>
          <w:color w:val="auto"/>
          <w:kern w:val="2"/>
          <w:sz w:val="32"/>
          <w:szCs w:val="32"/>
          <w:lang w:val="en-US" w:eastAsia="zh-CN" w:bidi="ar"/>
        </w:rPr>
        <w:t>鄂州市信访局有1个独立的预算编制单位，其中：</w:t>
      </w:r>
    </w:p>
    <w:p w14:paraId="07F0E566">
      <w:pPr>
        <w:keepNext w:val="0"/>
        <w:keepLines w:val="0"/>
        <w:pageBreakBefore w:val="0"/>
        <w:widowControl w:val="0"/>
        <w:suppressLineNumbers w:val="0"/>
        <w:kinsoku/>
        <w:wordWrap/>
        <w:overflowPunct/>
        <w:topLinePunct w:val="0"/>
        <w:autoSpaceDE/>
        <w:bidi w:val="0"/>
        <w:spacing w:before="0" w:beforeAutospacing="0" w:after="0" w:afterAutospacing="0" w:line="600" w:lineRule="exact"/>
        <w:ind w:left="0" w:right="0" w:firstLine="640" w:firstLineChars="200"/>
        <w:jc w:val="both"/>
        <w:rPr>
          <w:rFonts w:hint="eastAsia" w:ascii="华文仿宋" w:hAnsi="华文仿宋" w:eastAsia="华文仿宋" w:cs="华文仿宋"/>
          <w:color w:val="auto"/>
          <w:kern w:val="2"/>
          <w:sz w:val="32"/>
          <w:szCs w:val="32"/>
          <w:lang w:val="en-US" w:eastAsia="zh-CN" w:bidi="ar"/>
        </w:rPr>
      </w:pPr>
      <w:r>
        <w:rPr>
          <w:rFonts w:hint="eastAsia" w:ascii="华文仿宋" w:hAnsi="华文仿宋" w:eastAsia="华文仿宋" w:cs="华文仿宋"/>
          <w:color w:val="auto"/>
          <w:kern w:val="2"/>
          <w:sz w:val="32"/>
          <w:szCs w:val="32"/>
          <w:lang w:val="en-US" w:eastAsia="zh-CN" w:bidi="ar"/>
        </w:rPr>
        <w:t>鄂州市信访局为正县级全额拨款行政单位，属市政府序列工作机构，内设办公室、接访办信科、案件督查科、网上信访科等4个职能科(室)和市群众来访接待中心1个二级机构。</w:t>
      </w:r>
    </w:p>
    <w:p w14:paraId="703BFDE0">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三、预算收支及增减变化情况</w:t>
      </w:r>
    </w:p>
    <w:p w14:paraId="2D5E94D6">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1.预算收入情况：</w:t>
      </w:r>
      <w:r>
        <w:rPr>
          <w:rFonts w:hint="eastAsia" w:ascii="华文仿宋" w:hAnsi="华文仿宋" w:eastAsia="华文仿宋" w:cs="华文仿宋"/>
          <w:color w:val="auto"/>
          <w:sz w:val="32"/>
          <w:szCs w:val="32"/>
          <w:lang w:eastAsia="zh-CN"/>
        </w:rPr>
        <w:t>2026</w:t>
      </w:r>
      <w:r>
        <w:rPr>
          <w:rFonts w:hint="eastAsia" w:ascii="华文仿宋" w:hAnsi="华文仿宋" w:eastAsia="华文仿宋" w:cs="华文仿宋"/>
          <w:color w:val="auto"/>
          <w:sz w:val="32"/>
          <w:szCs w:val="32"/>
        </w:rPr>
        <w:t>年本年收入</w:t>
      </w:r>
      <w:r>
        <w:rPr>
          <w:rFonts w:hint="eastAsia" w:ascii="华文仿宋" w:hAnsi="华文仿宋" w:eastAsia="华文仿宋" w:cs="华文仿宋"/>
          <w:color w:val="auto"/>
          <w:sz w:val="32"/>
          <w:szCs w:val="32"/>
          <w:lang w:val="en-US" w:eastAsia="zh-CN"/>
        </w:rPr>
        <w:t>512.06</w:t>
      </w:r>
      <w:r>
        <w:rPr>
          <w:rFonts w:hint="eastAsia" w:ascii="华文仿宋" w:hAnsi="华文仿宋" w:eastAsia="华文仿宋" w:cs="华文仿宋"/>
          <w:color w:val="auto"/>
          <w:sz w:val="32"/>
          <w:szCs w:val="32"/>
        </w:rPr>
        <w:t>万元，比上年增加</w:t>
      </w:r>
      <w:r>
        <w:rPr>
          <w:rFonts w:hint="eastAsia" w:ascii="华文仿宋" w:hAnsi="华文仿宋" w:eastAsia="华文仿宋" w:cs="华文仿宋"/>
          <w:color w:val="auto"/>
          <w:sz w:val="32"/>
          <w:szCs w:val="32"/>
          <w:lang w:val="en-US" w:eastAsia="zh-CN"/>
        </w:rPr>
        <w:t>43.82</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eastAsia="zh-CN"/>
        </w:rPr>
        <w:t>增加</w:t>
      </w:r>
      <w:r>
        <w:rPr>
          <w:rFonts w:hint="eastAsia" w:ascii="华文仿宋" w:hAnsi="华文仿宋" w:eastAsia="华文仿宋" w:cs="华文仿宋"/>
          <w:color w:val="auto"/>
          <w:sz w:val="32"/>
          <w:szCs w:val="32"/>
          <w:lang w:val="en-US" w:eastAsia="zh-CN"/>
        </w:rPr>
        <w:t>9.36</w:t>
      </w:r>
      <w:r>
        <w:rPr>
          <w:rFonts w:hint="eastAsia" w:ascii="华文仿宋" w:hAnsi="华文仿宋" w:eastAsia="华文仿宋" w:cs="华文仿宋"/>
          <w:color w:val="auto"/>
          <w:sz w:val="32"/>
          <w:szCs w:val="32"/>
        </w:rPr>
        <w:t>%。其中，</w:t>
      </w:r>
      <w:r>
        <w:rPr>
          <w:rFonts w:hint="eastAsia" w:ascii="华文仿宋" w:hAnsi="华文仿宋" w:eastAsia="华文仿宋" w:cs="华文仿宋"/>
          <w:color w:val="auto"/>
          <w:sz w:val="32"/>
          <w:szCs w:val="32"/>
          <w:lang w:val="en-US" w:eastAsia="zh-CN"/>
        </w:rPr>
        <w:t>财政拨款收入512.06</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一般公共预算512.06</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val="en-US" w:eastAsia="zh-CN"/>
        </w:rPr>
        <w:t>、政府性基金预算0</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val="en-US" w:eastAsia="zh-CN"/>
        </w:rPr>
        <w:t>、国有资本经营预算0</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val="en-US" w:eastAsia="zh-CN"/>
        </w:rPr>
        <w:t>其他收入0万元</w:t>
      </w:r>
      <w:r>
        <w:rPr>
          <w:rFonts w:hint="eastAsia" w:ascii="华文仿宋" w:hAnsi="华文仿宋" w:eastAsia="华文仿宋" w:cs="华文仿宋"/>
          <w:color w:val="auto"/>
          <w:sz w:val="32"/>
          <w:szCs w:val="32"/>
        </w:rPr>
        <w:t>。</w:t>
      </w:r>
    </w:p>
    <w:p w14:paraId="0E47C02D">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收入</w:t>
      </w:r>
      <w:r>
        <w:rPr>
          <w:rFonts w:hint="eastAsia" w:ascii="华文仿宋" w:hAnsi="华文仿宋" w:eastAsia="华文仿宋" w:cs="华文仿宋"/>
          <w:color w:val="auto"/>
          <w:sz w:val="32"/>
          <w:szCs w:val="32"/>
          <w:lang w:eastAsia="zh-CN"/>
        </w:rPr>
        <w:t>增加原</w:t>
      </w:r>
      <w:r>
        <w:rPr>
          <w:rFonts w:hint="eastAsia" w:ascii="华文仿宋" w:hAnsi="华文仿宋" w:eastAsia="华文仿宋" w:cs="华文仿宋"/>
          <w:color w:val="auto"/>
          <w:sz w:val="32"/>
          <w:szCs w:val="32"/>
        </w:rPr>
        <w:t>因：</w:t>
      </w:r>
      <w:r>
        <w:rPr>
          <w:rFonts w:hint="eastAsia" w:ascii="华文仿宋" w:hAnsi="华文仿宋" w:eastAsia="华文仿宋" w:cs="华文仿宋"/>
          <w:color w:val="auto"/>
          <w:sz w:val="32"/>
          <w:szCs w:val="32"/>
          <w:lang w:val="en-US" w:eastAsia="zh-CN"/>
        </w:rPr>
        <w:t>人员经费收入增加</w:t>
      </w:r>
      <w:r>
        <w:rPr>
          <w:rFonts w:hint="eastAsia" w:ascii="华文仿宋" w:hAnsi="华文仿宋" w:eastAsia="华文仿宋" w:cs="华文仿宋"/>
          <w:color w:val="auto"/>
          <w:sz w:val="32"/>
          <w:szCs w:val="32"/>
        </w:rPr>
        <w:t>。</w:t>
      </w:r>
    </w:p>
    <w:p w14:paraId="1F520095">
      <w:pPr>
        <w:pStyle w:val="8"/>
        <w:keepNext w:val="0"/>
        <w:keepLines w:val="0"/>
        <w:pageBreakBefore w:val="0"/>
        <w:kinsoku/>
        <w:wordWrap/>
        <w:overflowPunct/>
        <w:topLinePunct w:val="0"/>
        <w:autoSpaceDE/>
        <w:bidi w:val="0"/>
        <w:spacing w:line="600" w:lineRule="exact"/>
        <w:ind w:left="0" w:leftChars="0" w:firstLine="640" w:firstLineChars="200"/>
        <w:rPr>
          <w:rFonts w:hint="eastAsia" w:ascii="华文仿宋" w:hAnsi="华文仿宋" w:eastAsia="华文仿宋" w:cs="华文仿宋"/>
          <w:color w:val="auto"/>
          <w:kern w:val="0"/>
          <w:sz w:val="32"/>
          <w:szCs w:val="32"/>
        </w:rPr>
      </w:pPr>
      <w:r>
        <w:rPr>
          <w:rFonts w:hint="eastAsia" w:ascii="华文仿宋" w:hAnsi="华文仿宋" w:eastAsia="华文仿宋" w:cs="华文仿宋"/>
          <w:color w:val="auto"/>
          <w:sz w:val="32"/>
          <w:szCs w:val="32"/>
        </w:rPr>
        <w:t>2.预算支出情况：</w:t>
      </w:r>
      <w:r>
        <w:rPr>
          <w:rFonts w:hint="eastAsia" w:ascii="华文仿宋" w:hAnsi="华文仿宋" w:eastAsia="华文仿宋" w:cs="华文仿宋"/>
          <w:color w:val="auto"/>
          <w:sz w:val="32"/>
          <w:szCs w:val="32"/>
          <w:lang w:eastAsia="zh-CN"/>
        </w:rPr>
        <w:t>2026</w:t>
      </w:r>
      <w:r>
        <w:rPr>
          <w:rFonts w:hint="eastAsia" w:ascii="华文仿宋" w:hAnsi="华文仿宋" w:eastAsia="华文仿宋" w:cs="华文仿宋"/>
          <w:color w:val="auto"/>
          <w:sz w:val="32"/>
          <w:szCs w:val="32"/>
        </w:rPr>
        <w:t>年本年支出</w:t>
      </w:r>
      <w:r>
        <w:rPr>
          <w:rFonts w:hint="eastAsia" w:ascii="华文仿宋" w:hAnsi="华文仿宋" w:eastAsia="华文仿宋" w:cs="华文仿宋"/>
          <w:color w:val="auto"/>
          <w:sz w:val="32"/>
          <w:szCs w:val="32"/>
          <w:lang w:val="en-US" w:eastAsia="zh-CN"/>
        </w:rPr>
        <w:t>512.06</w:t>
      </w:r>
      <w:r>
        <w:rPr>
          <w:rFonts w:hint="eastAsia" w:ascii="华文仿宋" w:hAnsi="华文仿宋" w:eastAsia="华文仿宋" w:cs="华文仿宋"/>
          <w:color w:val="auto"/>
          <w:sz w:val="32"/>
          <w:szCs w:val="32"/>
        </w:rPr>
        <w:t>万元，比上年增加</w:t>
      </w:r>
      <w:r>
        <w:rPr>
          <w:rFonts w:hint="eastAsia" w:ascii="华文仿宋" w:hAnsi="华文仿宋" w:eastAsia="华文仿宋" w:cs="华文仿宋"/>
          <w:color w:val="auto"/>
          <w:sz w:val="32"/>
          <w:szCs w:val="32"/>
          <w:lang w:val="en-US" w:eastAsia="zh-CN"/>
        </w:rPr>
        <w:t>43.82</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eastAsia="zh-CN"/>
        </w:rPr>
        <w:t>增加</w:t>
      </w:r>
      <w:r>
        <w:rPr>
          <w:rFonts w:hint="eastAsia" w:ascii="华文仿宋" w:hAnsi="华文仿宋" w:eastAsia="华文仿宋" w:cs="华文仿宋"/>
          <w:color w:val="auto"/>
          <w:sz w:val="32"/>
          <w:szCs w:val="32"/>
          <w:lang w:val="en-US" w:eastAsia="zh-CN"/>
        </w:rPr>
        <w:t>9.6</w:t>
      </w:r>
      <w:r>
        <w:rPr>
          <w:rFonts w:hint="eastAsia" w:ascii="华文仿宋" w:hAnsi="华文仿宋" w:eastAsia="华文仿宋" w:cs="华文仿宋"/>
          <w:color w:val="auto"/>
          <w:sz w:val="32"/>
          <w:szCs w:val="32"/>
        </w:rPr>
        <w:t>%。其中：基本支出</w:t>
      </w:r>
      <w:r>
        <w:rPr>
          <w:rFonts w:hint="eastAsia" w:ascii="华文仿宋" w:hAnsi="华文仿宋" w:eastAsia="华文仿宋" w:cs="华文仿宋"/>
          <w:color w:val="auto"/>
          <w:sz w:val="32"/>
          <w:szCs w:val="32"/>
          <w:lang w:val="en-US" w:eastAsia="zh-CN"/>
        </w:rPr>
        <w:t>380.56</w:t>
      </w:r>
      <w:r>
        <w:rPr>
          <w:rFonts w:hint="eastAsia" w:ascii="华文仿宋" w:hAnsi="华文仿宋" w:eastAsia="华文仿宋" w:cs="华文仿宋"/>
          <w:color w:val="auto"/>
          <w:sz w:val="32"/>
          <w:szCs w:val="32"/>
        </w:rPr>
        <w:t>万元，占总支出的</w:t>
      </w:r>
      <w:r>
        <w:rPr>
          <w:rFonts w:hint="eastAsia" w:ascii="华文仿宋" w:hAnsi="华文仿宋" w:eastAsia="华文仿宋" w:cs="华文仿宋"/>
          <w:color w:val="auto"/>
          <w:sz w:val="32"/>
          <w:szCs w:val="32"/>
          <w:lang w:val="en-US" w:eastAsia="zh-CN"/>
        </w:rPr>
        <w:t>74.32</w:t>
      </w:r>
      <w:r>
        <w:rPr>
          <w:rFonts w:hint="eastAsia" w:ascii="华文仿宋" w:hAnsi="华文仿宋" w:eastAsia="华文仿宋" w:cs="华文仿宋"/>
          <w:color w:val="auto"/>
          <w:sz w:val="32"/>
          <w:szCs w:val="32"/>
        </w:rPr>
        <w:t>%；项目支出</w:t>
      </w:r>
      <w:r>
        <w:rPr>
          <w:rFonts w:hint="eastAsia" w:ascii="华文仿宋" w:hAnsi="华文仿宋" w:eastAsia="华文仿宋" w:cs="华文仿宋"/>
          <w:color w:val="auto"/>
          <w:sz w:val="32"/>
          <w:szCs w:val="32"/>
          <w:lang w:val="en-US" w:eastAsia="zh-CN"/>
        </w:rPr>
        <w:t>131.50</w:t>
      </w:r>
      <w:r>
        <w:rPr>
          <w:rFonts w:hint="eastAsia" w:ascii="华文仿宋" w:hAnsi="华文仿宋" w:eastAsia="华文仿宋" w:cs="华文仿宋"/>
          <w:color w:val="auto"/>
          <w:sz w:val="32"/>
          <w:szCs w:val="32"/>
        </w:rPr>
        <w:t>万元，占总支出的</w:t>
      </w:r>
      <w:r>
        <w:rPr>
          <w:rFonts w:hint="eastAsia" w:ascii="华文仿宋" w:hAnsi="华文仿宋" w:eastAsia="华文仿宋" w:cs="华文仿宋"/>
          <w:color w:val="auto"/>
          <w:sz w:val="32"/>
          <w:szCs w:val="32"/>
          <w:lang w:val="en-US" w:eastAsia="zh-CN"/>
        </w:rPr>
        <w:t>25.68</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本年支出构成为：一般公共服务支出</w:t>
      </w:r>
      <w:r>
        <w:rPr>
          <w:rFonts w:hint="eastAsia" w:ascii="华文仿宋" w:hAnsi="华文仿宋" w:eastAsia="华文仿宋" w:cs="华文仿宋"/>
          <w:color w:val="auto"/>
          <w:sz w:val="32"/>
          <w:szCs w:val="32"/>
          <w:lang w:val="en-US" w:eastAsia="zh-CN"/>
        </w:rPr>
        <w:t>415.61</w:t>
      </w:r>
      <w:r>
        <w:rPr>
          <w:rFonts w:hint="eastAsia" w:ascii="华文仿宋" w:hAnsi="华文仿宋" w:eastAsia="华文仿宋" w:cs="华文仿宋"/>
          <w:color w:val="auto"/>
          <w:sz w:val="32"/>
          <w:szCs w:val="32"/>
        </w:rPr>
        <w:t>万元，占本年支出</w:t>
      </w:r>
      <w:r>
        <w:rPr>
          <w:rFonts w:hint="eastAsia" w:ascii="华文仿宋" w:hAnsi="华文仿宋" w:eastAsia="华文仿宋" w:cs="华文仿宋"/>
          <w:color w:val="auto"/>
          <w:sz w:val="32"/>
          <w:szCs w:val="32"/>
          <w:lang w:val="en-US" w:eastAsia="zh-CN"/>
        </w:rPr>
        <w:t>81.16</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kern w:val="0"/>
          <w:sz w:val="32"/>
          <w:szCs w:val="32"/>
        </w:rPr>
        <w:t>社会保障和就业支出</w:t>
      </w:r>
      <w:r>
        <w:rPr>
          <w:rFonts w:hint="eastAsia" w:ascii="华文仿宋" w:hAnsi="华文仿宋" w:eastAsia="华文仿宋" w:cs="华文仿宋"/>
          <w:color w:val="auto"/>
          <w:kern w:val="0"/>
          <w:sz w:val="32"/>
          <w:szCs w:val="32"/>
          <w:lang w:val="en-US" w:eastAsia="zh-CN"/>
        </w:rPr>
        <w:t>35.62</w:t>
      </w:r>
      <w:r>
        <w:rPr>
          <w:rFonts w:hint="eastAsia" w:ascii="华文仿宋" w:hAnsi="华文仿宋" w:eastAsia="华文仿宋" w:cs="华文仿宋"/>
          <w:color w:val="auto"/>
          <w:kern w:val="0"/>
          <w:sz w:val="32"/>
          <w:szCs w:val="32"/>
        </w:rPr>
        <w:t>万元，占本年支出</w:t>
      </w:r>
      <w:r>
        <w:rPr>
          <w:rFonts w:hint="eastAsia" w:ascii="华文仿宋" w:hAnsi="华文仿宋" w:eastAsia="华文仿宋" w:cs="华文仿宋"/>
          <w:color w:val="auto"/>
          <w:kern w:val="0"/>
          <w:sz w:val="32"/>
          <w:szCs w:val="32"/>
          <w:lang w:val="en-US" w:eastAsia="zh-CN"/>
        </w:rPr>
        <w:t>6.96</w:t>
      </w:r>
      <w:r>
        <w:rPr>
          <w:rFonts w:hint="eastAsia" w:ascii="华文仿宋" w:hAnsi="华文仿宋" w:eastAsia="华文仿宋" w:cs="华文仿宋"/>
          <w:color w:val="auto"/>
          <w:kern w:val="0"/>
          <w:sz w:val="32"/>
          <w:szCs w:val="32"/>
        </w:rPr>
        <w:t>%；医疗卫生支出</w:t>
      </w:r>
      <w:r>
        <w:rPr>
          <w:rFonts w:hint="eastAsia" w:ascii="华文仿宋" w:hAnsi="华文仿宋" w:eastAsia="华文仿宋" w:cs="华文仿宋"/>
          <w:color w:val="auto"/>
          <w:kern w:val="0"/>
          <w:sz w:val="32"/>
          <w:szCs w:val="32"/>
          <w:lang w:val="en-US" w:eastAsia="zh-CN"/>
        </w:rPr>
        <w:t>33.28</w:t>
      </w:r>
      <w:r>
        <w:rPr>
          <w:rFonts w:hint="eastAsia" w:ascii="华文仿宋" w:hAnsi="华文仿宋" w:eastAsia="华文仿宋" w:cs="华文仿宋"/>
          <w:color w:val="auto"/>
          <w:kern w:val="0"/>
          <w:sz w:val="32"/>
          <w:szCs w:val="32"/>
        </w:rPr>
        <w:t>万元，占本年支出6.</w:t>
      </w:r>
      <w:r>
        <w:rPr>
          <w:rFonts w:hint="eastAsia" w:ascii="华文仿宋" w:hAnsi="华文仿宋" w:eastAsia="华文仿宋" w:cs="华文仿宋"/>
          <w:color w:val="auto"/>
          <w:kern w:val="0"/>
          <w:sz w:val="32"/>
          <w:szCs w:val="32"/>
          <w:lang w:val="en-US" w:eastAsia="zh-CN"/>
        </w:rPr>
        <w:t>50</w:t>
      </w:r>
      <w:r>
        <w:rPr>
          <w:rFonts w:hint="eastAsia" w:ascii="华文仿宋" w:hAnsi="华文仿宋" w:eastAsia="华文仿宋" w:cs="华文仿宋"/>
          <w:color w:val="auto"/>
          <w:kern w:val="0"/>
          <w:sz w:val="32"/>
          <w:szCs w:val="32"/>
        </w:rPr>
        <w:t>%；住房保障支出</w:t>
      </w:r>
      <w:r>
        <w:rPr>
          <w:rFonts w:hint="eastAsia" w:ascii="华文仿宋" w:hAnsi="华文仿宋" w:eastAsia="华文仿宋" w:cs="华文仿宋"/>
          <w:color w:val="auto"/>
          <w:kern w:val="0"/>
          <w:sz w:val="32"/>
          <w:szCs w:val="32"/>
          <w:lang w:val="en-US" w:eastAsia="zh-CN"/>
        </w:rPr>
        <w:t>27.55</w:t>
      </w:r>
      <w:r>
        <w:rPr>
          <w:rFonts w:hint="eastAsia" w:ascii="华文仿宋" w:hAnsi="华文仿宋" w:eastAsia="华文仿宋" w:cs="华文仿宋"/>
          <w:color w:val="auto"/>
          <w:kern w:val="0"/>
          <w:sz w:val="32"/>
          <w:szCs w:val="32"/>
        </w:rPr>
        <w:t>万元，占本年支出5.</w:t>
      </w:r>
      <w:r>
        <w:rPr>
          <w:rFonts w:hint="eastAsia" w:ascii="华文仿宋" w:hAnsi="华文仿宋" w:eastAsia="华文仿宋" w:cs="华文仿宋"/>
          <w:color w:val="auto"/>
          <w:kern w:val="0"/>
          <w:sz w:val="32"/>
          <w:szCs w:val="32"/>
          <w:lang w:val="en-US" w:eastAsia="zh-CN"/>
        </w:rPr>
        <w:t>38</w:t>
      </w:r>
      <w:r>
        <w:rPr>
          <w:rFonts w:hint="eastAsia" w:ascii="华文仿宋" w:hAnsi="华文仿宋" w:eastAsia="华文仿宋" w:cs="华文仿宋"/>
          <w:color w:val="auto"/>
          <w:kern w:val="0"/>
          <w:sz w:val="32"/>
          <w:szCs w:val="32"/>
        </w:rPr>
        <w:t>%。</w:t>
      </w:r>
    </w:p>
    <w:p w14:paraId="229CCE12">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支出</w:t>
      </w:r>
      <w:r>
        <w:rPr>
          <w:rFonts w:hint="eastAsia" w:ascii="华文仿宋" w:hAnsi="华文仿宋" w:eastAsia="华文仿宋" w:cs="华文仿宋"/>
          <w:color w:val="auto"/>
          <w:sz w:val="32"/>
          <w:szCs w:val="32"/>
          <w:lang w:eastAsia="zh-CN"/>
        </w:rPr>
        <w:t>增加</w:t>
      </w:r>
      <w:r>
        <w:rPr>
          <w:rFonts w:hint="eastAsia" w:ascii="华文仿宋" w:hAnsi="华文仿宋" w:eastAsia="华文仿宋" w:cs="华文仿宋"/>
          <w:color w:val="auto"/>
          <w:sz w:val="32"/>
          <w:szCs w:val="32"/>
        </w:rPr>
        <w:t>的主要原因：</w:t>
      </w:r>
      <w:r>
        <w:rPr>
          <w:rFonts w:hint="eastAsia" w:ascii="华文仿宋" w:hAnsi="华文仿宋" w:eastAsia="华文仿宋" w:cs="华文仿宋"/>
          <w:color w:val="auto"/>
          <w:sz w:val="32"/>
          <w:szCs w:val="32"/>
          <w:lang w:val="en-US" w:eastAsia="zh-CN"/>
        </w:rPr>
        <w:t>人员经费支出增加</w:t>
      </w:r>
      <w:r>
        <w:rPr>
          <w:rFonts w:hint="eastAsia" w:ascii="华文仿宋" w:hAnsi="华文仿宋" w:eastAsia="华文仿宋" w:cs="华文仿宋"/>
          <w:color w:val="auto"/>
          <w:sz w:val="32"/>
          <w:szCs w:val="32"/>
        </w:rPr>
        <w:t>。</w:t>
      </w:r>
    </w:p>
    <w:p w14:paraId="5FB2A710">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w:t>
      </w:r>
      <w:r>
        <w:rPr>
          <w:rFonts w:hint="eastAsia" w:ascii="华文仿宋" w:hAnsi="华文仿宋" w:eastAsia="华文仿宋" w:cs="华文仿宋"/>
          <w:color w:val="auto"/>
          <w:sz w:val="32"/>
          <w:szCs w:val="32"/>
          <w:lang w:eastAsia="zh-CN"/>
        </w:rPr>
        <w:t>2026</w:t>
      </w:r>
      <w:r>
        <w:rPr>
          <w:rFonts w:hint="eastAsia" w:ascii="华文仿宋" w:hAnsi="华文仿宋" w:eastAsia="华文仿宋" w:cs="华文仿宋"/>
          <w:color w:val="auto"/>
          <w:sz w:val="32"/>
          <w:szCs w:val="32"/>
        </w:rPr>
        <w:t>年基本支出比上年增加</w:t>
      </w:r>
      <w:r>
        <w:rPr>
          <w:rFonts w:hint="eastAsia" w:ascii="华文仿宋" w:hAnsi="华文仿宋" w:eastAsia="华文仿宋" w:cs="华文仿宋"/>
          <w:color w:val="auto"/>
          <w:sz w:val="32"/>
          <w:szCs w:val="32"/>
          <w:lang w:val="en-US" w:eastAsia="zh-CN"/>
        </w:rPr>
        <w:t>57.32</w:t>
      </w:r>
      <w:r>
        <w:rPr>
          <w:rFonts w:hint="eastAsia" w:ascii="华文仿宋" w:hAnsi="华文仿宋" w:eastAsia="华文仿宋" w:cs="华文仿宋"/>
          <w:color w:val="auto"/>
          <w:sz w:val="32"/>
          <w:szCs w:val="32"/>
        </w:rPr>
        <w:t>万元，主要</w:t>
      </w:r>
      <w:r>
        <w:rPr>
          <w:rFonts w:hint="eastAsia" w:ascii="华文仿宋" w:hAnsi="华文仿宋" w:eastAsia="华文仿宋" w:cs="华文仿宋"/>
          <w:color w:val="auto"/>
          <w:sz w:val="32"/>
          <w:szCs w:val="32"/>
          <w:lang w:val="en-US" w:eastAsia="zh-CN"/>
        </w:rPr>
        <w:t>原因：</w:t>
      </w:r>
      <w:r>
        <w:rPr>
          <w:rFonts w:hint="eastAsia" w:ascii="华文仿宋" w:hAnsi="华文仿宋" w:eastAsia="华文仿宋" w:cs="华文仿宋"/>
          <w:color w:val="auto"/>
          <w:sz w:val="32"/>
          <w:szCs w:val="32"/>
        </w:rPr>
        <w:t>一是</w:t>
      </w:r>
      <w:r>
        <w:rPr>
          <w:rFonts w:hint="eastAsia" w:ascii="华文仿宋" w:hAnsi="华文仿宋" w:eastAsia="华文仿宋" w:cs="华文仿宋"/>
          <w:color w:val="auto"/>
          <w:sz w:val="32"/>
          <w:szCs w:val="32"/>
          <w:lang w:val="en-US" w:eastAsia="zh-CN"/>
        </w:rPr>
        <w:t>人员经费增加41.46万元；</w:t>
      </w:r>
      <w:r>
        <w:rPr>
          <w:rFonts w:hint="eastAsia" w:ascii="华文仿宋" w:hAnsi="华文仿宋" w:eastAsia="华文仿宋" w:cs="华文仿宋"/>
          <w:color w:val="auto"/>
          <w:sz w:val="32"/>
          <w:szCs w:val="32"/>
        </w:rPr>
        <w:t>二是</w:t>
      </w:r>
      <w:r>
        <w:rPr>
          <w:rFonts w:hint="eastAsia" w:ascii="华文仿宋" w:hAnsi="华文仿宋" w:eastAsia="华文仿宋" w:cs="华文仿宋"/>
          <w:color w:val="auto"/>
          <w:sz w:val="32"/>
          <w:szCs w:val="32"/>
          <w:lang w:val="en-US" w:eastAsia="zh-CN"/>
        </w:rPr>
        <w:t>公用经费增加15.87万元</w:t>
      </w:r>
      <w:r>
        <w:rPr>
          <w:rFonts w:hint="eastAsia" w:ascii="华文仿宋" w:hAnsi="华文仿宋" w:eastAsia="华文仿宋" w:cs="华文仿宋"/>
          <w:color w:val="auto"/>
          <w:sz w:val="32"/>
          <w:szCs w:val="32"/>
        </w:rPr>
        <w:t>。</w:t>
      </w:r>
    </w:p>
    <w:p w14:paraId="69DB55A3">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（2）</w:t>
      </w:r>
      <w:r>
        <w:rPr>
          <w:rFonts w:hint="eastAsia" w:ascii="华文仿宋" w:hAnsi="华文仿宋" w:eastAsia="华文仿宋" w:cs="华文仿宋"/>
          <w:color w:val="auto"/>
          <w:sz w:val="32"/>
          <w:szCs w:val="32"/>
          <w:lang w:eastAsia="zh-CN"/>
        </w:rPr>
        <w:t>2026</w:t>
      </w:r>
      <w:r>
        <w:rPr>
          <w:rFonts w:hint="eastAsia" w:ascii="华文仿宋" w:hAnsi="华文仿宋" w:eastAsia="华文仿宋" w:cs="华文仿宋"/>
          <w:color w:val="auto"/>
          <w:sz w:val="32"/>
          <w:szCs w:val="32"/>
        </w:rPr>
        <w:t>年项目支出比</w:t>
      </w:r>
      <w:r>
        <w:rPr>
          <w:rFonts w:hint="eastAsia" w:ascii="华文仿宋" w:hAnsi="华文仿宋" w:eastAsia="华文仿宋" w:cs="华文仿宋"/>
          <w:color w:val="auto"/>
          <w:sz w:val="32"/>
          <w:szCs w:val="32"/>
          <w:lang w:val="en-US" w:eastAsia="zh-CN"/>
        </w:rPr>
        <w:t>减少13.50</w:t>
      </w:r>
      <w:r>
        <w:rPr>
          <w:rFonts w:hint="eastAsia" w:ascii="华文仿宋" w:hAnsi="华文仿宋" w:eastAsia="华文仿宋" w:cs="华文仿宋"/>
          <w:color w:val="auto"/>
          <w:sz w:val="32"/>
          <w:szCs w:val="32"/>
        </w:rPr>
        <w:t>万元，主要原因：</w:t>
      </w:r>
      <w:r>
        <w:rPr>
          <w:rFonts w:hint="eastAsia" w:ascii="华文仿宋" w:hAnsi="华文仿宋" w:eastAsia="华文仿宋" w:cs="华文仿宋"/>
          <w:color w:val="auto"/>
          <w:sz w:val="32"/>
          <w:szCs w:val="32"/>
          <w:lang w:val="en-US" w:eastAsia="zh-CN"/>
        </w:rPr>
        <w:t>减少信访春节慰问金项目支出</w:t>
      </w:r>
      <w:r>
        <w:rPr>
          <w:rFonts w:hint="eastAsia" w:ascii="华文仿宋" w:hAnsi="华文仿宋" w:eastAsia="华文仿宋" w:cs="华文仿宋"/>
          <w:color w:val="auto"/>
          <w:sz w:val="32"/>
          <w:szCs w:val="32"/>
        </w:rPr>
        <w:t>。</w:t>
      </w:r>
    </w:p>
    <w:p w14:paraId="495F6829">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四、</w:t>
      </w:r>
      <w:r>
        <w:rPr>
          <w:rFonts w:hint="eastAsia" w:ascii="黑体" w:hAnsi="黑体" w:eastAsia="黑体" w:cs="黑体"/>
          <w:color w:val="auto"/>
          <w:sz w:val="32"/>
          <w:szCs w:val="32"/>
          <w:lang w:val="en-US" w:eastAsia="zh-CN"/>
        </w:rPr>
        <w:t>机关</w:t>
      </w:r>
      <w:r>
        <w:rPr>
          <w:rFonts w:hint="eastAsia" w:ascii="黑体" w:hAnsi="黑体" w:eastAsia="黑体" w:cs="黑体"/>
          <w:color w:val="auto"/>
          <w:sz w:val="32"/>
          <w:szCs w:val="32"/>
        </w:rPr>
        <w:t>运行经费安排情况</w:t>
      </w:r>
    </w:p>
    <w:p w14:paraId="5C104BFD">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2026</w:t>
      </w:r>
      <w:r>
        <w:rPr>
          <w:rFonts w:hint="eastAsia" w:ascii="华文仿宋" w:hAnsi="华文仿宋" w:eastAsia="华文仿宋" w:cs="华文仿宋"/>
          <w:color w:val="auto"/>
          <w:sz w:val="32"/>
          <w:szCs w:val="32"/>
        </w:rPr>
        <w:t>年运行经费预算总额为</w:t>
      </w:r>
      <w:r>
        <w:rPr>
          <w:rFonts w:hint="eastAsia" w:ascii="华文仿宋" w:hAnsi="华文仿宋" w:eastAsia="华文仿宋" w:cs="华文仿宋"/>
          <w:color w:val="auto"/>
          <w:sz w:val="32"/>
          <w:szCs w:val="32"/>
          <w:lang w:val="en-US" w:eastAsia="zh-CN"/>
        </w:rPr>
        <w:t>60.48</w:t>
      </w:r>
      <w:r>
        <w:rPr>
          <w:rFonts w:hint="eastAsia" w:ascii="华文仿宋" w:hAnsi="华文仿宋" w:eastAsia="华文仿宋" w:cs="华文仿宋"/>
          <w:color w:val="auto"/>
          <w:sz w:val="32"/>
          <w:szCs w:val="32"/>
        </w:rPr>
        <w:t>万元，比上年增加</w:t>
      </w:r>
      <w:r>
        <w:rPr>
          <w:rFonts w:hint="eastAsia" w:ascii="华文仿宋" w:hAnsi="华文仿宋" w:eastAsia="华文仿宋" w:cs="华文仿宋"/>
          <w:color w:val="auto"/>
          <w:sz w:val="32"/>
          <w:szCs w:val="32"/>
          <w:lang w:val="en-US" w:eastAsia="zh-CN"/>
        </w:rPr>
        <w:t>15.87</w:t>
      </w:r>
      <w:r>
        <w:rPr>
          <w:rFonts w:hint="eastAsia" w:ascii="华文仿宋" w:hAnsi="华文仿宋" w:eastAsia="华文仿宋" w:cs="华文仿宋"/>
          <w:color w:val="auto"/>
          <w:sz w:val="32"/>
          <w:szCs w:val="32"/>
        </w:rPr>
        <w:t>万元，</w:t>
      </w:r>
      <w:r>
        <w:rPr>
          <w:rFonts w:hint="eastAsia" w:ascii="华文仿宋" w:hAnsi="华文仿宋" w:eastAsia="华文仿宋" w:cs="华文仿宋"/>
          <w:color w:val="auto"/>
          <w:sz w:val="32"/>
          <w:szCs w:val="32"/>
          <w:lang w:eastAsia="zh-CN"/>
        </w:rPr>
        <w:t>增加</w:t>
      </w:r>
      <w:r>
        <w:rPr>
          <w:rFonts w:hint="eastAsia" w:ascii="华文仿宋" w:hAnsi="华文仿宋" w:eastAsia="华文仿宋" w:cs="华文仿宋"/>
          <w:color w:val="auto"/>
          <w:sz w:val="32"/>
          <w:szCs w:val="32"/>
          <w:lang w:val="en-US" w:eastAsia="zh-CN"/>
        </w:rPr>
        <w:t>35.57</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，增加</w:t>
      </w:r>
      <w:r>
        <w:rPr>
          <w:rFonts w:hint="eastAsia" w:ascii="华文仿宋" w:hAnsi="华文仿宋" w:eastAsia="华文仿宋" w:cs="华文仿宋"/>
          <w:color w:val="auto"/>
          <w:sz w:val="32"/>
          <w:szCs w:val="32"/>
        </w:rPr>
        <w:t>主要是：</w:t>
      </w:r>
      <w:r>
        <w:rPr>
          <w:rFonts w:hint="eastAsia" w:ascii="华文仿宋" w:hAnsi="华文仿宋" w:eastAsia="华文仿宋" w:cs="华文仿宋"/>
          <w:color w:val="auto"/>
          <w:sz w:val="32"/>
          <w:szCs w:val="32"/>
          <w:lang w:val="en-US" w:eastAsia="zh-CN"/>
        </w:rPr>
        <w:t>按在职人数每人调增1万元运行经费</w:t>
      </w:r>
      <w:r>
        <w:rPr>
          <w:rFonts w:hint="eastAsia" w:ascii="华文仿宋" w:hAnsi="华文仿宋" w:eastAsia="华文仿宋" w:cs="华文仿宋"/>
          <w:color w:val="auto"/>
          <w:sz w:val="32"/>
          <w:szCs w:val="32"/>
        </w:rPr>
        <w:t>。其中</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办公费</w:t>
      </w:r>
      <w:r>
        <w:rPr>
          <w:rFonts w:hint="eastAsia" w:ascii="华文仿宋" w:hAnsi="华文仿宋" w:eastAsia="华文仿宋" w:cs="华文仿宋"/>
          <w:color w:val="auto"/>
          <w:sz w:val="32"/>
          <w:szCs w:val="32"/>
          <w:lang w:val="en-US" w:eastAsia="zh-CN"/>
        </w:rPr>
        <w:t>8</w:t>
      </w:r>
      <w:r>
        <w:rPr>
          <w:rFonts w:hint="eastAsia" w:ascii="华文仿宋" w:hAnsi="华文仿宋" w:eastAsia="华文仿宋" w:cs="华文仿宋"/>
          <w:color w:val="auto"/>
          <w:sz w:val="32"/>
          <w:szCs w:val="32"/>
        </w:rPr>
        <w:t>万元，印刷费0万元，水费0万元，电费1万元，邮电费0.50万元，物业管理费0万元，差旅费0万元，公务接待0.5，因公出国(境)费用0万元，维修(护)费0万元，会议0万元，劳务费1万元，委托业务费1万元，工会经费</w:t>
      </w:r>
      <w:r>
        <w:rPr>
          <w:rFonts w:hint="eastAsia" w:ascii="华文仿宋" w:hAnsi="华文仿宋" w:eastAsia="华文仿宋" w:cs="华文仿宋"/>
          <w:color w:val="auto"/>
          <w:sz w:val="32"/>
          <w:szCs w:val="32"/>
          <w:lang w:val="en-US" w:eastAsia="zh-CN"/>
        </w:rPr>
        <w:t>4.59</w:t>
      </w:r>
      <w:r>
        <w:rPr>
          <w:rFonts w:hint="eastAsia" w:ascii="华文仿宋" w:hAnsi="华文仿宋" w:eastAsia="华文仿宋" w:cs="华文仿宋"/>
          <w:color w:val="auto"/>
          <w:sz w:val="32"/>
          <w:szCs w:val="32"/>
        </w:rPr>
        <w:t>万元，福利费</w:t>
      </w:r>
      <w:r>
        <w:rPr>
          <w:rFonts w:hint="eastAsia" w:ascii="华文仿宋" w:hAnsi="华文仿宋" w:eastAsia="华文仿宋" w:cs="华文仿宋"/>
          <w:color w:val="auto"/>
          <w:sz w:val="32"/>
          <w:szCs w:val="32"/>
          <w:lang w:val="en-US" w:eastAsia="zh-CN"/>
        </w:rPr>
        <w:t>0</w:t>
      </w:r>
      <w:r>
        <w:rPr>
          <w:rFonts w:hint="eastAsia" w:ascii="华文仿宋" w:hAnsi="华文仿宋" w:eastAsia="华文仿宋" w:cs="华文仿宋"/>
          <w:color w:val="auto"/>
          <w:sz w:val="32"/>
          <w:szCs w:val="32"/>
        </w:rPr>
        <w:t>万元，公务用车运行维护费0万元，其他交通费</w:t>
      </w:r>
      <w:r>
        <w:rPr>
          <w:rFonts w:hint="eastAsia" w:ascii="华文仿宋" w:hAnsi="华文仿宋" w:eastAsia="华文仿宋" w:cs="华文仿宋"/>
          <w:color w:val="auto"/>
          <w:sz w:val="32"/>
          <w:szCs w:val="32"/>
          <w:lang w:val="en-US" w:eastAsia="zh-CN"/>
        </w:rPr>
        <w:t>13.01</w:t>
      </w:r>
      <w:r>
        <w:rPr>
          <w:rFonts w:hint="eastAsia" w:ascii="华文仿宋" w:hAnsi="华文仿宋" w:eastAsia="华文仿宋" w:cs="华文仿宋"/>
          <w:color w:val="auto"/>
          <w:sz w:val="32"/>
          <w:szCs w:val="32"/>
        </w:rPr>
        <w:t>万元，其他商品和服务支出</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lang w:val="en-US" w:eastAsia="zh-CN"/>
        </w:rPr>
        <w:t>含餐补）30.88</w:t>
      </w:r>
      <w:r>
        <w:rPr>
          <w:rFonts w:hint="eastAsia" w:ascii="华文仿宋" w:hAnsi="华文仿宋" w:eastAsia="华文仿宋" w:cs="华文仿宋"/>
          <w:color w:val="auto"/>
          <w:sz w:val="32"/>
          <w:szCs w:val="32"/>
        </w:rPr>
        <w:t>万元。</w:t>
      </w:r>
    </w:p>
    <w:p w14:paraId="0DF83CF2">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五、一般公共预算“三公”经费及增减变化情况</w:t>
      </w:r>
    </w:p>
    <w:p w14:paraId="0D1DFF71">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2026年“三公”经费财政拨款预算总额0.5万元，与上年度持平。分别如下：</w:t>
      </w:r>
    </w:p>
    <w:p w14:paraId="48405B55">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1.公务接待费0.5万元，与上年度持平。主要原因是严格执行中央八项规定和省委“六条意见”，压缩年度公务接待费用。</w:t>
      </w:r>
    </w:p>
    <w:p w14:paraId="71BFBD9E">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 xml:space="preserve">2.公务用车购置及运行费 0万元，与上年持平，其中，一般公共预算公务用车购置费为0万元；公务用车运行费0万元，与上年持平。主要原因：公务用车移交市机关事务服务中心统一调度、管理。 </w:t>
      </w:r>
    </w:p>
    <w:p w14:paraId="4C148605">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3.因公出国（境）费0万元，比上年增加或减少0万元，增加或减少0%，主要原因是2026年本部门没有安排人员出国（境）。</w:t>
      </w:r>
    </w:p>
    <w:p w14:paraId="5886DC5D">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六、政府采购预算安排情况</w:t>
      </w:r>
    </w:p>
    <w:p w14:paraId="3EF10282">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根据政府采购法律法规和政策要求，2026年部门编制政府采购预算3万元，比上年减少4万元，减少57.14%，主要原因：减少货物类4万元，主要用于购买办公用品等支出。其中：货物类政府采购预算0万元；工程类政府采购预算0万元；服务类政府采购预算3万元，主要是用于文件资料印刷等支出。</w:t>
      </w:r>
    </w:p>
    <w:p w14:paraId="67F7F2D1">
      <w:pPr>
        <w:keepNext w:val="0"/>
        <w:keepLines w:val="0"/>
        <w:pageBreakBefore w:val="0"/>
        <w:numPr>
          <w:ilvl w:val="0"/>
          <w:numId w:val="1"/>
        </w:numPr>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国有资产占用情况</w:t>
      </w:r>
    </w:p>
    <w:p w14:paraId="39A47774">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2025年末国有固定资产总额105.27万元；其中：占有房屋面积800平方米，由市机关事务服务中心统一调配，公务用车1辆，金额25.50万元；通用设备116件，金额68.88万元，家具99件，金额10.88万元。</w:t>
      </w:r>
    </w:p>
    <w:p w14:paraId="7BA0929D">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预计2026年本部门新增资产情况：无。</w:t>
      </w:r>
    </w:p>
    <w:p w14:paraId="68893579">
      <w:pPr>
        <w:keepNext w:val="0"/>
        <w:keepLines w:val="0"/>
        <w:pageBreakBefore w:val="0"/>
        <w:kinsoku/>
        <w:wordWrap/>
        <w:overflowPunct/>
        <w:topLinePunct w:val="0"/>
        <w:autoSpaceDE/>
        <w:bidi w:val="0"/>
        <w:spacing w:line="600" w:lineRule="exact"/>
        <w:ind w:firstLine="640" w:firstLineChars="200"/>
        <w:rPr>
          <w:rFonts w:hint="default"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val="en-US" w:eastAsia="zh-CN"/>
        </w:rPr>
        <w:t>2026年本部门计划处置资产情况：无。</w:t>
      </w:r>
      <w:bookmarkStart w:id="0" w:name="_GoBack"/>
      <w:bookmarkEnd w:id="0"/>
    </w:p>
    <w:p w14:paraId="7FD38C8D">
      <w:pPr>
        <w:keepNext w:val="0"/>
        <w:keepLines w:val="0"/>
        <w:pageBreakBefore w:val="0"/>
        <w:kinsoku/>
        <w:wordWrap/>
        <w:overflowPunct/>
        <w:topLinePunct w:val="0"/>
        <w:autoSpaceDE/>
        <w:bidi w:val="0"/>
        <w:spacing w:line="600" w:lineRule="exact"/>
        <w:ind w:firstLine="640" w:firstLineChars="200"/>
        <w:rPr>
          <w:rFonts w:hint="eastAsia" w:ascii="仿宋_GB2312" w:hAnsi="仿宋_GB2312" w:eastAsia="仿宋_GB2312" w:cs="仿宋_GB2312"/>
          <w:color w:val="FF0000"/>
          <w:sz w:val="32"/>
          <w:szCs w:val="32"/>
          <w:lang w:val="en-US" w:eastAsia="zh-CN"/>
        </w:rPr>
      </w:pPr>
      <w:r>
        <w:rPr>
          <w:rFonts w:hint="eastAsia" w:ascii="黑体" w:hAnsi="黑体" w:eastAsia="黑体" w:cs="黑体"/>
          <w:sz w:val="32"/>
          <w:szCs w:val="32"/>
        </w:rPr>
        <w:t>八、重点项目预算绩效情况</w:t>
      </w:r>
    </w:p>
    <w:p w14:paraId="62EF5BCD">
      <w:pPr>
        <w:keepNext w:val="0"/>
        <w:keepLines w:val="0"/>
        <w:pageBreakBefore w:val="0"/>
        <w:pBdr>
          <w:bottom w:val="none" w:color="auto" w:sz="0" w:space="11"/>
        </w:pBdr>
        <w:kinsoku/>
        <w:wordWrap/>
        <w:overflowPunct/>
        <w:topLinePunct w:val="0"/>
        <w:autoSpaceDE/>
        <w:autoSpaceDN w:val="0"/>
        <w:bidi w:val="0"/>
        <w:adjustRightInd w:val="0"/>
        <w:snapToGrid w:val="0"/>
        <w:spacing w:line="600" w:lineRule="exact"/>
        <w:ind w:firstLine="640" w:firstLineChars="200"/>
        <w:jc w:val="left"/>
        <w:textAlignment w:val="auto"/>
        <w:outlineLvl w:val="1"/>
        <w:rPr>
          <w:rFonts w:hint="eastAsia" w:ascii="华文仿宋" w:hAnsi="华文仿宋" w:eastAsia="华文仿宋" w:cs="华文仿宋"/>
          <w:color w:val="000000" w:themeColor="text1"/>
          <w:sz w:val="32"/>
          <w:szCs w:val="32"/>
          <w14:textFill>
            <w14:solidFill>
              <w14:schemeClr w14:val="tx1"/>
            </w14:solidFill>
          </w14:textFill>
        </w:rPr>
      </w:pPr>
      <w:r>
        <w:rPr>
          <w:rFonts w:hint="eastAsia" w:ascii="华文仿宋" w:hAnsi="华文仿宋" w:eastAsia="华文仿宋" w:cs="华文仿宋"/>
          <w:color w:val="000000" w:themeColor="text1"/>
          <w:sz w:val="32"/>
          <w:szCs w:val="32"/>
          <w14:textFill>
            <w14:solidFill>
              <w14:schemeClr w14:val="tx1"/>
            </w14:solidFill>
          </w14:textFill>
        </w:rPr>
        <w:t>1.“</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信访专项</w:t>
      </w:r>
      <w:r>
        <w:rPr>
          <w:rFonts w:hint="eastAsia" w:ascii="华文仿宋" w:hAnsi="华文仿宋" w:eastAsia="华文仿宋" w:cs="华文仿宋"/>
          <w:color w:val="000000" w:themeColor="text1"/>
          <w:sz w:val="32"/>
          <w:szCs w:val="32"/>
          <w14:textFill>
            <w14:solidFill>
              <w14:schemeClr w14:val="tx1"/>
            </w14:solidFill>
          </w14:textFill>
        </w:rPr>
        <w:t>”主要内容是统筹协调和指导督促检查全市信访工作，及时通报情况，深入开展调研分析，研究改进工作；统筹协调我市信访事项复查复核活动，审议、决定复查复核工作的重大事项，组织全国、全省和全市重大活动和敏感时段信访安全保障工作；保障驻京、赴汉专班正常开展工作，及时、稳妥处置群众来访。确保全年不发生规模性聚集、不发生涉访个人极端行为、不发生因信访问题引发的负面炒作、不发生重大影响的恶性事件。</w:t>
      </w:r>
      <w:r>
        <w:rPr>
          <w:rFonts w:hint="eastAsia" w:ascii="华文仿宋" w:hAnsi="华文仿宋" w:eastAsia="华文仿宋" w:cs="华文仿宋"/>
          <w:color w:val="000000" w:themeColor="text1"/>
          <w:sz w:val="32"/>
          <w:szCs w:val="32"/>
          <w:lang w:eastAsia="zh-CN"/>
          <w14:textFill>
            <w14:solidFill>
              <w14:schemeClr w14:val="tx1"/>
            </w14:solidFill>
          </w14:textFill>
        </w:rPr>
        <w:t>2026</w:t>
      </w:r>
      <w:r>
        <w:rPr>
          <w:rFonts w:hint="eastAsia" w:ascii="华文仿宋" w:hAnsi="华文仿宋" w:eastAsia="华文仿宋" w:cs="华文仿宋"/>
          <w:color w:val="000000" w:themeColor="text1"/>
          <w:sz w:val="32"/>
          <w:szCs w:val="32"/>
          <w14:textFill>
            <w14:solidFill>
              <w14:schemeClr w14:val="tx1"/>
            </w14:solidFill>
          </w14:textFill>
        </w:rPr>
        <w:t>年预算安排</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126.5</w:t>
      </w:r>
      <w:r>
        <w:rPr>
          <w:rFonts w:hint="eastAsia" w:ascii="华文仿宋" w:hAnsi="华文仿宋" w:eastAsia="华文仿宋" w:cs="华文仿宋"/>
          <w:color w:val="000000" w:themeColor="text1"/>
          <w:sz w:val="32"/>
          <w:szCs w:val="32"/>
          <w14:textFill>
            <w14:solidFill>
              <w14:schemeClr w14:val="tx1"/>
            </w14:solidFill>
          </w14:textFill>
        </w:rPr>
        <w:t>万元，其中：</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126.5</w:t>
      </w:r>
      <w:r>
        <w:rPr>
          <w:rFonts w:hint="eastAsia" w:ascii="华文仿宋" w:hAnsi="华文仿宋" w:eastAsia="华文仿宋" w:cs="华文仿宋"/>
          <w:color w:val="000000" w:themeColor="text1"/>
          <w:sz w:val="32"/>
          <w:szCs w:val="32"/>
          <w14:textFill>
            <w14:solidFill>
              <w14:schemeClr w14:val="tx1"/>
            </w14:solidFill>
          </w14:textFill>
        </w:rPr>
        <w:t>万元资金来源为</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一般公共预算当年财政拨款。</w:t>
      </w:r>
    </w:p>
    <w:p w14:paraId="50F51E2C">
      <w:pPr>
        <w:keepNext w:val="0"/>
        <w:keepLines w:val="0"/>
        <w:pageBreakBefore w:val="0"/>
        <w:pBdr>
          <w:bottom w:val="none" w:color="auto" w:sz="0" w:space="11"/>
        </w:pBdr>
        <w:kinsoku/>
        <w:wordWrap/>
        <w:overflowPunct/>
        <w:topLinePunct w:val="0"/>
        <w:autoSpaceDE/>
        <w:autoSpaceDN w:val="0"/>
        <w:bidi w:val="0"/>
        <w:adjustRightInd w:val="0"/>
        <w:snapToGrid w:val="0"/>
        <w:spacing w:line="600" w:lineRule="exact"/>
        <w:ind w:firstLine="640" w:firstLineChars="200"/>
        <w:jc w:val="left"/>
        <w:textAlignment w:val="auto"/>
        <w:outlineLvl w:val="1"/>
        <w:rPr>
          <w:rFonts w:hint="eastAsia" w:ascii="华文仿宋" w:hAnsi="华文仿宋" w:eastAsia="华文仿宋" w:cs="华文仿宋"/>
          <w:color w:val="000000" w:themeColor="text1"/>
          <w:sz w:val="32"/>
          <w:szCs w:val="32"/>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2026</w:t>
      </w:r>
      <w:r>
        <w:rPr>
          <w:rFonts w:hint="eastAsia" w:ascii="华文仿宋" w:hAnsi="华文仿宋" w:eastAsia="华文仿宋" w:cs="华文仿宋"/>
          <w:color w:val="000000" w:themeColor="text1"/>
          <w:sz w:val="32"/>
          <w:szCs w:val="32"/>
          <w14:textFill>
            <w14:solidFill>
              <w14:schemeClr w14:val="tx1"/>
            </w14:solidFill>
          </w14:textFill>
        </w:rPr>
        <w:t>年度项目绩效总目标是：确保市信访工作联席会议办公室、市复查复核办公室、市群众来访接待中心各项工作正常运转，进京、赴省上访人员能够得到及时劝返。及时组织信访安全保障工作，全年不发生规模性聚集、不发生涉访个人极端行为、不发生因信访问题引发的负面炒作、不发生重大影响的恶性事件。</w:t>
      </w:r>
    </w:p>
    <w:p w14:paraId="69CF83C7">
      <w:pPr>
        <w:keepNext w:val="0"/>
        <w:keepLines w:val="0"/>
        <w:pageBreakBefore w:val="0"/>
        <w:numPr>
          <w:ilvl w:val="0"/>
          <w:numId w:val="0"/>
        </w:numPr>
        <w:pBdr>
          <w:bottom w:val="none" w:color="auto" w:sz="0" w:space="11"/>
        </w:pBdr>
        <w:kinsoku/>
        <w:wordWrap/>
        <w:overflowPunct/>
        <w:topLinePunct w:val="0"/>
        <w:autoSpaceDE/>
        <w:autoSpaceDN w:val="0"/>
        <w:bidi w:val="0"/>
        <w:adjustRightInd w:val="0"/>
        <w:snapToGrid w:val="0"/>
        <w:spacing w:line="600" w:lineRule="exact"/>
        <w:ind w:firstLine="640" w:firstLineChars="200"/>
        <w:jc w:val="left"/>
        <w:textAlignment w:val="auto"/>
        <w:outlineLvl w:val="1"/>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2.</w:t>
      </w:r>
      <w:r>
        <w:rPr>
          <w:rFonts w:hint="eastAsia" w:ascii="华文仿宋" w:hAnsi="华文仿宋" w:eastAsia="华文仿宋" w:cs="华文仿宋"/>
          <w:color w:val="000000" w:themeColor="text1"/>
          <w:sz w:val="32"/>
          <w:szCs w:val="32"/>
          <w14:textFill>
            <w14:solidFill>
              <w14:schemeClr w14:val="tx1"/>
            </w14:solidFill>
          </w14:textFill>
        </w:rPr>
        <w:t>“</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法律顾问</w:t>
      </w:r>
      <w:r>
        <w:rPr>
          <w:rFonts w:hint="eastAsia" w:ascii="华文仿宋" w:hAnsi="华文仿宋" w:eastAsia="华文仿宋" w:cs="华文仿宋"/>
          <w:color w:val="000000" w:themeColor="text1"/>
          <w:sz w:val="32"/>
          <w:szCs w:val="32"/>
          <w14:textFill>
            <w14:solidFill>
              <w14:schemeClr w14:val="tx1"/>
            </w14:solidFill>
          </w14:textFill>
        </w:rPr>
        <w:t>”主要内容是</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通过法律顾问提供高质量、高效率的专业服务，有效应对单位日常运营中的法律需求，成功处理重点法律事务，在风险控制、权益保障、决策支持、能力建设四个方面取得可量化、可评估的显著成效，确保法律顾问经费投入产出比最优。</w:t>
      </w:r>
      <w:r>
        <w:rPr>
          <w:rFonts w:hint="eastAsia" w:ascii="华文仿宋" w:hAnsi="华文仿宋" w:eastAsia="华文仿宋" w:cs="华文仿宋"/>
          <w:color w:val="000000" w:themeColor="text1"/>
          <w:sz w:val="32"/>
          <w:szCs w:val="32"/>
          <w:lang w:eastAsia="zh-CN"/>
          <w14:textFill>
            <w14:solidFill>
              <w14:schemeClr w14:val="tx1"/>
            </w14:solidFill>
          </w14:textFill>
        </w:rPr>
        <w:t>2026</w:t>
      </w:r>
      <w:r>
        <w:rPr>
          <w:rFonts w:hint="eastAsia" w:ascii="华文仿宋" w:hAnsi="华文仿宋" w:eastAsia="华文仿宋" w:cs="华文仿宋"/>
          <w:color w:val="000000" w:themeColor="text1"/>
          <w:sz w:val="32"/>
          <w:szCs w:val="32"/>
          <w14:textFill>
            <w14:solidFill>
              <w14:schemeClr w14:val="tx1"/>
            </w14:solidFill>
          </w14:textFill>
        </w:rPr>
        <w:t>年预算安排</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3</w:t>
      </w:r>
      <w:r>
        <w:rPr>
          <w:rFonts w:hint="eastAsia" w:ascii="华文仿宋" w:hAnsi="华文仿宋" w:eastAsia="华文仿宋" w:cs="华文仿宋"/>
          <w:color w:val="000000" w:themeColor="text1"/>
          <w:sz w:val="32"/>
          <w:szCs w:val="32"/>
          <w14:textFill>
            <w14:solidFill>
              <w14:schemeClr w14:val="tx1"/>
            </w14:solidFill>
          </w14:textFill>
        </w:rPr>
        <w:t>万元，其中：</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3</w:t>
      </w:r>
      <w:r>
        <w:rPr>
          <w:rFonts w:hint="eastAsia" w:ascii="华文仿宋" w:hAnsi="华文仿宋" w:eastAsia="华文仿宋" w:cs="华文仿宋"/>
          <w:color w:val="000000" w:themeColor="text1"/>
          <w:sz w:val="32"/>
          <w:szCs w:val="32"/>
          <w14:textFill>
            <w14:solidFill>
              <w14:schemeClr w14:val="tx1"/>
            </w14:solidFill>
          </w14:textFill>
        </w:rPr>
        <w:t>万元资金来源为</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一般公共预算当年财政拨款</w:t>
      </w:r>
      <w:r>
        <w:rPr>
          <w:rFonts w:hint="eastAsia" w:ascii="华文仿宋" w:hAnsi="华文仿宋" w:eastAsia="华文仿宋" w:cs="华文仿宋"/>
          <w:color w:val="000000" w:themeColor="text1"/>
          <w:sz w:val="32"/>
          <w:szCs w:val="32"/>
          <w14:textFill>
            <w14:solidFill>
              <w14:schemeClr w14:val="tx1"/>
            </w14:solidFill>
          </w14:textFill>
        </w:rPr>
        <w:t>。</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2026</w:t>
      </w:r>
      <w:r>
        <w:rPr>
          <w:rFonts w:hint="eastAsia" w:ascii="华文仿宋" w:hAnsi="华文仿宋" w:eastAsia="华文仿宋" w:cs="华文仿宋"/>
          <w:color w:val="000000" w:themeColor="text1"/>
          <w:sz w:val="32"/>
          <w:szCs w:val="32"/>
          <w14:textFill>
            <w14:solidFill>
              <w14:schemeClr w14:val="tx1"/>
            </w14:solidFill>
          </w14:textFill>
        </w:rPr>
        <w:t>年度项目绩效总目标是：</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2026年全年市信访工作联席会议办公室、市信访事项复查复核办公室、市群众来访接待中心各项工作正常运转；通过法律顾问提供高质量、高效率的专业服务，有效应对单位日常运营中的法律需求，成功处理重点法律事务，在风险控制、权益保障、决策支持、能力建设四个方面取得可量化、可评估的显著成效，确保法律顾问经费投入产出比最优。统筹协调市政府信访事项复查复核活动。受理智慧信访系统网上投诉信访量、来信、来电访，全市信访总量持平，形势平稳可控。协调推动解决重要信访问题。</w:t>
      </w:r>
    </w:p>
    <w:p w14:paraId="0B68C7C3">
      <w:pPr>
        <w:keepNext w:val="0"/>
        <w:keepLines w:val="0"/>
        <w:pageBreakBefore w:val="0"/>
        <w:numPr>
          <w:ilvl w:val="0"/>
          <w:numId w:val="0"/>
        </w:numPr>
        <w:pBdr>
          <w:bottom w:val="none" w:color="auto" w:sz="0" w:space="11"/>
        </w:pBdr>
        <w:kinsoku/>
        <w:wordWrap/>
        <w:overflowPunct/>
        <w:topLinePunct w:val="0"/>
        <w:autoSpaceDE/>
        <w:autoSpaceDN w:val="0"/>
        <w:bidi w:val="0"/>
        <w:adjustRightInd w:val="0"/>
        <w:snapToGrid w:val="0"/>
        <w:spacing w:line="600" w:lineRule="exact"/>
        <w:ind w:firstLine="640" w:firstLineChars="200"/>
        <w:jc w:val="left"/>
        <w:textAlignment w:val="auto"/>
        <w:outlineLvl w:val="1"/>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3.</w:t>
      </w:r>
      <w:r>
        <w:rPr>
          <w:rFonts w:hint="eastAsia" w:ascii="华文仿宋" w:hAnsi="华文仿宋" w:eastAsia="华文仿宋" w:cs="华文仿宋"/>
          <w:color w:val="000000" w:themeColor="text1"/>
          <w:sz w:val="32"/>
          <w:szCs w:val="32"/>
          <w14:textFill>
            <w14:solidFill>
              <w14:schemeClr w14:val="tx1"/>
            </w14:solidFill>
          </w14:textFill>
        </w:rPr>
        <w:t>“</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援疆对口社区帮扶</w:t>
      </w:r>
      <w:r>
        <w:rPr>
          <w:rFonts w:hint="eastAsia" w:ascii="华文仿宋" w:hAnsi="华文仿宋" w:eastAsia="华文仿宋" w:cs="华文仿宋"/>
          <w:color w:val="000000" w:themeColor="text1"/>
          <w:sz w:val="32"/>
          <w:szCs w:val="32"/>
          <w14:textFill>
            <w14:solidFill>
              <w14:schemeClr w14:val="tx1"/>
            </w14:solidFill>
          </w14:textFill>
        </w:rPr>
        <w:t>”主要内容是</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联点共建社区及结对帮扶村工作经费，</w:t>
      </w:r>
      <w:r>
        <w:rPr>
          <w:rFonts w:hint="eastAsia" w:ascii="华文仿宋" w:hAnsi="华文仿宋" w:eastAsia="华文仿宋" w:cs="华文仿宋"/>
          <w:color w:val="000000" w:themeColor="text1"/>
          <w:sz w:val="32"/>
          <w:szCs w:val="32"/>
          <w:lang w:eastAsia="zh-CN"/>
          <w14:textFill>
            <w14:solidFill>
              <w14:schemeClr w14:val="tx1"/>
            </w14:solidFill>
          </w14:textFill>
        </w:rPr>
        <w:t>2026</w:t>
      </w:r>
      <w:r>
        <w:rPr>
          <w:rFonts w:hint="eastAsia" w:ascii="华文仿宋" w:hAnsi="华文仿宋" w:eastAsia="华文仿宋" w:cs="华文仿宋"/>
          <w:color w:val="000000" w:themeColor="text1"/>
          <w:sz w:val="32"/>
          <w:szCs w:val="32"/>
          <w14:textFill>
            <w14:solidFill>
              <w14:schemeClr w14:val="tx1"/>
            </w14:solidFill>
          </w14:textFill>
        </w:rPr>
        <w:t>年预算安排</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2</w:t>
      </w:r>
      <w:r>
        <w:rPr>
          <w:rFonts w:hint="eastAsia" w:ascii="华文仿宋" w:hAnsi="华文仿宋" w:eastAsia="华文仿宋" w:cs="华文仿宋"/>
          <w:color w:val="000000" w:themeColor="text1"/>
          <w:sz w:val="32"/>
          <w:szCs w:val="32"/>
          <w14:textFill>
            <w14:solidFill>
              <w14:schemeClr w14:val="tx1"/>
            </w14:solidFill>
          </w14:textFill>
        </w:rPr>
        <w:t>万元，其中：</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2</w:t>
      </w:r>
      <w:r>
        <w:rPr>
          <w:rFonts w:hint="eastAsia" w:ascii="华文仿宋" w:hAnsi="华文仿宋" w:eastAsia="华文仿宋" w:cs="华文仿宋"/>
          <w:color w:val="000000" w:themeColor="text1"/>
          <w:sz w:val="32"/>
          <w:szCs w:val="32"/>
          <w14:textFill>
            <w14:solidFill>
              <w14:schemeClr w14:val="tx1"/>
            </w14:solidFill>
          </w14:textFill>
        </w:rPr>
        <w:t>万元资金来源为</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一般公共预算当年财政拨款</w:t>
      </w:r>
      <w:r>
        <w:rPr>
          <w:rFonts w:hint="eastAsia" w:ascii="华文仿宋" w:hAnsi="华文仿宋" w:eastAsia="华文仿宋" w:cs="华文仿宋"/>
          <w:color w:val="000000" w:themeColor="text1"/>
          <w:sz w:val="32"/>
          <w:szCs w:val="32"/>
          <w14:textFill>
            <w14:solidFill>
              <w14:schemeClr w14:val="tx1"/>
            </w14:solidFill>
          </w14:textFill>
        </w:rPr>
        <w:t>。</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2026</w:t>
      </w:r>
      <w:r>
        <w:rPr>
          <w:rFonts w:hint="eastAsia" w:ascii="华文仿宋" w:hAnsi="华文仿宋" w:eastAsia="华文仿宋" w:cs="华文仿宋"/>
          <w:color w:val="000000" w:themeColor="text1"/>
          <w:sz w:val="32"/>
          <w:szCs w:val="32"/>
          <w14:textFill>
            <w14:solidFill>
              <w14:schemeClr w14:val="tx1"/>
            </w14:solidFill>
          </w14:textFill>
        </w:rPr>
        <w:t>年度项目绩效总目标是：</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通过实施一系列具体、可操作的共建活动，初步建立起高效顺畅的共建工作机制，在组织共建、产业共兴、服务共促、文明共创四个方面取得阶段性显著成果，为总目标的实现奠定坚实基础，使帮扶村（社区）居民获得实实在在的幸福感与获得感。</w:t>
      </w:r>
    </w:p>
    <w:p w14:paraId="1894A3BD">
      <w:pPr>
        <w:keepNext w:val="0"/>
        <w:keepLines w:val="0"/>
        <w:pageBreakBefore w:val="0"/>
        <w:numPr>
          <w:ilvl w:val="0"/>
          <w:numId w:val="0"/>
        </w:numPr>
        <w:pBdr>
          <w:bottom w:val="none" w:color="auto" w:sz="0" w:space="11"/>
        </w:pBdr>
        <w:kinsoku/>
        <w:wordWrap/>
        <w:overflowPunct/>
        <w:topLinePunct w:val="0"/>
        <w:autoSpaceDE/>
        <w:autoSpaceDN w:val="0"/>
        <w:bidi w:val="0"/>
        <w:adjustRightInd w:val="0"/>
        <w:snapToGrid w:val="0"/>
        <w:spacing w:line="600" w:lineRule="exact"/>
        <w:ind w:firstLine="640" w:firstLineChars="200"/>
        <w:jc w:val="left"/>
        <w:textAlignment w:val="auto"/>
        <w:outlineLvl w:val="1"/>
        <w:rPr>
          <w:rFonts w:hint="eastAsia" w:ascii="华文仿宋" w:hAnsi="华文仿宋" w:eastAsia="华文仿宋" w:cs="华文仿宋"/>
          <w:color w:val="000000" w:themeColor="text1"/>
          <w:sz w:val="32"/>
          <w:szCs w:val="32"/>
          <w:lang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各项目预算绩效目标批复情况见附件。</w:t>
      </w:r>
    </w:p>
    <w:p w14:paraId="41693C01">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九、其他需要说明的情况</w:t>
      </w:r>
    </w:p>
    <w:p w14:paraId="008F8D05">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1.对空表的说明：</w:t>
      </w:r>
    </w:p>
    <w:p w14:paraId="180A3AB4">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本部门无政府性基金预算财政拨款支出预算。</w:t>
      </w:r>
    </w:p>
    <w:p w14:paraId="6ED306BC">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2.部门管理的对下转移支付项目预算情况：</w:t>
      </w:r>
    </w:p>
    <w:p w14:paraId="2C231F91">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2026年我部门无对下转移支付项目预算情况。</w:t>
      </w:r>
    </w:p>
    <w:p w14:paraId="169F1104">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十、专业名词解释</w:t>
      </w:r>
    </w:p>
    <w:p w14:paraId="1FF9D91A">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1.运行经费：指为保障单位运行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14:paraId="02AB0F96">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2.“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牌照费)、燃料费、维修费、过桥过路费、保险费、安全奖励费用等支出；公务接待费反映单位按规定开支的各类公务接待(含外宾接待)费用。</w:t>
      </w:r>
    </w:p>
    <w:p w14:paraId="5EF70835">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3.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14:paraId="25410066">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4.财政拨款(补助)收入：指从同级财政部门取得的财政预算资金。</w:t>
      </w:r>
    </w:p>
    <w:p w14:paraId="34434526">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5.其他收入：指除上述“</w:t>
      </w:r>
      <w:r>
        <w:rPr>
          <w:rFonts w:hint="eastAsia" w:ascii="华文仿宋" w:hAnsi="华文仿宋" w:eastAsia="华文仿宋" w:cs="华文仿宋"/>
          <w:sz w:val="32"/>
          <w:szCs w:val="32"/>
        </w:rPr>
        <w:t>财政拨款(补助)收入</w:t>
      </w:r>
      <w:r>
        <w:rPr>
          <w:rFonts w:hint="eastAsia" w:ascii="华文仿宋" w:hAnsi="华文仿宋" w:eastAsia="华文仿宋" w:cs="华文仿宋"/>
          <w:sz w:val="32"/>
          <w:szCs w:val="32"/>
          <w:lang w:val="en-US" w:eastAsia="zh-CN"/>
        </w:rPr>
        <w:t>”以外的资金。</w:t>
      </w:r>
    </w:p>
    <w:p w14:paraId="4D12E53C">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6</w:t>
      </w:r>
      <w:r>
        <w:rPr>
          <w:rFonts w:hint="eastAsia" w:ascii="华文仿宋" w:hAnsi="华文仿宋" w:eastAsia="华文仿宋" w:cs="华文仿宋"/>
          <w:sz w:val="32"/>
          <w:szCs w:val="32"/>
        </w:rPr>
        <w:t>.基本支出：指为保障机构正常运转、完成日常工作任务而发生的人员支出和公用支出。</w:t>
      </w:r>
    </w:p>
    <w:p w14:paraId="263EB141">
      <w:pPr>
        <w:keepNext w:val="0"/>
        <w:keepLines w:val="0"/>
        <w:pageBreakBefore w:val="0"/>
        <w:kinsoku/>
        <w:wordWrap/>
        <w:overflowPunct/>
        <w:topLinePunct w:val="0"/>
        <w:autoSpaceDE/>
        <w:bidi w:val="0"/>
        <w:spacing w:line="600" w:lineRule="exact"/>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7</w:t>
      </w:r>
      <w:r>
        <w:rPr>
          <w:rFonts w:hint="eastAsia" w:ascii="华文仿宋" w:hAnsi="华文仿宋" w:eastAsia="华文仿宋" w:cs="华文仿宋"/>
          <w:sz w:val="32"/>
          <w:szCs w:val="32"/>
        </w:rPr>
        <w:t>.项目支出：指在基本支出之外为完成特定行政任务和事业发展目标所发生的支出。</w:t>
      </w:r>
    </w:p>
    <w:p w14:paraId="5967CD5F">
      <w:pPr>
        <w:keepNext w:val="0"/>
        <w:keepLines w:val="0"/>
        <w:pageBreakBefore w:val="0"/>
        <w:kinsoku/>
        <w:wordWrap/>
        <w:overflowPunct/>
        <w:topLinePunct w:val="0"/>
        <w:autoSpaceDE/>
        <w:bidi w:val="0"/>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十</w:t>
      </w:r>
      <w:r>
        <w:rPr>
          <w:rFonts w:hint="eastAsia" w:ascii="黑体" w:hAnsi="黑体" w:eastAsia="黑体" w:cs="黑体"/>
          <w:sz w:val="32"/>
          <w:szCs w:val="32"/>
          <w:lang w:eastAsia="zh-CN"/>
        </w:rPr>
        <w:t>一</w:t>
      </w:r>
      <w:r>
        <w:rPr>
          <w:rFonts w:hint="eastAsia" w:ascii="黑体" w:hAnsi="黑体" w:eastAsia="黑体" w:cs="黑体"/>
          <w:sz w:val="32"/>
          <w:szCs w:val="32"/>
        </w:rPr>
        <w:t>、</w:t>
      </w:r>
      <w:r>
        <w:rPr>
          <w:rFonts w:hint="eastAsia" w:ascii="黑体" w:hAnsi="黑体" w:eastAsia="黑体" w:cs="黑体"/>
          <w:sz w:val="32"/>
          <w:szCs w:val="32"/>
          <w:lang w:eastAsia="zh-CN"/>
        </w:rPr>
        <w:t>附件</w:t>
      </w:r>
    </w:p>
    <w:p w14:paraId="180F93C6">
      <w:pPr>
        <w:keepNext w:val="0"/>
        <w:keepLines w:val="0"/>
        <w:pageBreakBefore w:val="0"/>
        <w:kinsoku/>
        <w:wordWrap/>
        <w:overflowPunct/>
        <w:topLinePunct w:val="0"/>
        <w:autoSpaceDE/>
        <w:bidi w:val="0"/>
        <w:spacing w:line="60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鄂州市信访局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-2026年部门整体绩效目标批复</w:t>
      </w:r>
    </w:p>
    <w:p w14:paraId="1E2C0103">
      <w:pPr>
        <w:keepNext w:val="0"/>
        <w:keepLines w:val="0"/>
        <w:pageBreakBefore w:val="0"/>
        <w:widowControl/>
        <w:kinsoku/>
        <w:wordWrap/>
        <w:overflowPunct/>
        <w:topLinePunct w:val="0"/>
        <w:autoSpaceDE/>
        <w:bidi w:val="0"/>
        <w:spacing w:line="600" w:lineRule="exact"/>
        <w:jc w:val="center"/>
        <w:rPr>
          <w:rFonts w:hint="eastAsia" w:ascii="方正小标宋简体" w:hAnsi="Times New Roman" w:eastAsia="方正小标宋简体"/>
          <w:sz w:val="40"/>
          <w:szCs w:val="40"/>
          <w:lang w:eastAsia="zh-CN"/>
        </w:rPr>
      </w:pPr>
      <w:r>
        <w:rPr>
          <w:rFonts w:hint="eastAsia" w:ascii="方正小标宋简体" w:hAnsi="Times New Roman" w:eastAsia="方正小标宋简体"/>
          <w:sz w:val="40"/>
          <w:szCs w:val="40"/>
          <w:lang w:val="en-US" w:eastAsia="zh-CN"/>
        </w:rPr>
        <w:t>2026年</w:t>
      </w:r>
      <w:r>
        <w:rPr>
          <w:rFonts w:hint="eastAsia" w:ascii="方正小标宋简体" w:hAnsi="Times New Roman" w:eastAsia="方正小标宋简体"/>
          <w:sz w:val="40"/>
          <w:szCs w:val="40"/>
        </w:rPr>
        <w:t>部门整体绩效目标</w:t>
      </w:r>
      <w:r>
        <w:rPr>
          <w:rFonts w:hint="eastAsia" w:ascii="方正小标宋简体" w:hAnsi="Times New Roman" w:eastAsia="方正小标宋简体"/>
          <w:sz w:val="40"/>
          <w:szCs w:val="40"/>
          <w:lang w:eastAsia="zh-CN"/>
        </w:rPr>
        <w:t>批复</w:t>
      </w:r>
    </w:p>
    <w:tbl>
      <w:tblPr>
        <w:tblStyle w:val="6"/>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29"/>
        <w:gridCol w:w="794"/>
        <w:gridCol w:w="29"/>
        <w:gridCol w:w="1360"/>
        <w:gridCol w:w="1232"/>
        <w:gridCol w:w="286"/>
        <w:gridCol w:w="644"/>
        <w:gridCol w:w="242"/>
        <w:gridCol w:w="89"/>
        <w:gridCol w:w="841"/>
        <w:gridCol w:w="29"/>
        <w:gridCol w:w="798"/>
        <w:gridCol w:w="160"/>
        <w:gridCol w:w="403"/>
        <w:gridCol w:w="615"/>
      </w:tblGrid>
      <w:tr w14:paraId="79EB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3915409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部门（单位）</w:t>
            </w:r>
          </w:p>
          <w:p w14:paraId="47A9060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名称</w:t>
            </w:r>
          </w:p>
        </w:tc>
        <w:tc>
          <w:tcPr>
            <w:tcW w:w="7522" w:type="dxa"/>
            <w:gridSpan w:val="14"/>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CDE7DCB">
            <w:pPr>
              <w:keepNext w:val="0"/>
              <w:keepLines w:val="0"/>
              <w:pageBreakBefore w:val="0"/>
              <w:widowControl/>
              <w:kinsoku/>
              <w:wordWrap/>
              <w:overflowPunct/>
              <w:topLinePunct w:val="0"/>
              <w:autoSpaceDE/>
              <w:bidi w:val="0"/>
              <w:snapToGrid w:val="0"/>
              <w:spacing w:line="600" w:lineRule="exact"/>
              <w:rPr>
                <w:rFonts w:ascii="仿宋_GB2312" w:hAnsi="宋体" w:eastAsia="仿宋_GB2312"/>
                <w:kern w:val="0"/>
              </w:rPr>
            </w:pPr>
            <w:r>
              <w:rPr>
                <w:rFonts w:hint="eastAsia" w:ascii="仿宋_GB2312" w:hAnsi="宋体" w:eastAsia="仿宋_GB2312"/>
                <w:kern w:val="0"/>
              </w:rPr>
              <w:t>鄂州市信访局</w:t>
            </w:r>
          </w:p>
        </w:tc>
      </w:tr>
      <w:tr w14:paraId="2E94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restart"/>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14:paraId="2173094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部门总体</w:t>
            </w:r>
          </w:p>
          <w:p w14:paraId="7C1396E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资金情况</w:t>
            </w:r>
          </w:p>
        </w:tc>
        <w:tc>
          <w:tcPr>
            <w:tcW w:w="3415" w:type="dxa"/>
            <w:gridSpan w:val="4"/>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7FB03A9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总体资金情况</w:t>
            </w:r>
          </w:p>
        </w:tc>
        <w:tc>
          <w:tcPr>
            <w:tcW w:w="1172" w:type="dxa"/>
            <w:gridSpan w:val="3"/>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2C2F42C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当年金额</w:t>
            </w:r>
          </w:p>
        </w:tc>
        <w:tc>
          <w:tcPr>
            <w:tcW w:w="959" w:type="dxa"/>
            <w:gridSpan w:val="3"/>
            <w:tcBorders>
              <w:top w:val="nil"/>
              <w:left w:val="nil"/>
              <w:bottom w:val="single" w:color="auto" w:sz="4" w:space="0"/>
              <w:right w:val="single" w:color="auto" w:sz="4" w:space="0"/>
            </w:tcBorders>
            <w:tcMar>
              <w:top w:w="0" w:type="dxa"/>
              <w:left w:w="28" w:type="dxa"/>
              <w:bottom w:w="0" w:type="dxa"/>
              <w:right w:w="28" w:type="dxa"/>
            </w:tcMar>
            <w:vAlign w:val="center"/>
          </w:tcPr>
          <w:p w14:paraId="558131E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占比</w:t>
            </w:r>
          </w:p>
        </w:tc>
        <w:tc>
          <w:tcPr>
            <w:tcW w:w="1976" w:type="dxa"/>
            <w:gridSpan w:val="4"/>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919E18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近两年收支金额</w:t>
            </w:r>
          </w:p>
        </w:tc>
      </w:tr>
      <w:tr w14:paraId="1128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2559BC1C">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3415" w:type="dxa"/>
            <w:gridSpan w:val="4"/>
            <w:vMerge w:val="continue"/>
            <w:tcBorders>
              <w:top w:val="nil"/>
              <w:left w:val="nil"/>
              <w:bottom w:val="single" w:color="auto" w:sz="4" w:space="0"/>
              <w:right w:val="single" w:color="auto" w:sz="4" w:space="0"/>
            </w:tcBorders>
            <w:vAlign w:val="center"/>
          </w:tcPr>
          <w:p w14:paraId="7B1AD0E8">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1172" w:type="dxa"/>
            <w:gridSpan w:val="3"/>
            <w:vMerge w:val="continue"/>
            <w:tcBorders>
              <w:top w:val="nil"/>
              <w:left w:val="nil"/>
              <w:bottom w:val="single" w:color="auto" w:sz="4" w:space="0"/>
              <w:right w:val="single" w:color="auto" w:sz="4" w:space="0"/>
            </w:tcBorders>
            <w:vAlign w:val="center"/>
          </w:tcPr>
          <w:p w14:paraId="1B9349E8">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959" w:type="dxa"/>
            <w:gridSpan w:val="3"/>
            <w:tcBorders>
              <w:top w:val="nil"/>
              <w:left w:val="nil"/>
              <w:bottom w:val="single" w:color="auto" w:sz="4" w:space="0"/>
              <w:right w:val="single" w:color="auto" w:sz="4" w:space="0"/>
            </w:tcBorders>
            <w:vAlign w:val="center"/>
          </w:tcPr>
          <w:p w14:paraId="36E3A27B">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1D3115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kern w:val="0"/>
                <w:u w:val="single"/>
              </w:rPr>
              <w:t>2024</w:t>
            </w:r>
            <w:r>
              <w:rPr>
                <w:rFonts w:hint="eastAsia" w:ascii="仿宋_GB2312" w:hAnsi="宋体" w:eastAsia="仿宋_GB2312"/>
                <w:kern w:val="0"/>
              </w:rPr>
              <w:t>年</w:t>
            </w: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C40514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kern w:val="0"/>
                <w:u w:val="single"/>
              </w:rPr>
              <w:t>2025</w:t>
            </w:r>
            <w:r>
              <w:rPr>
                <w:rFonts w:hint="eastAsia" w:ascii="仿宋_GB2312" w:hAnsi="宋体" w:eastAsia="仿宋_GB2312"/>
                <w:kern w:val="0"/>
              </w:rPr>
              <w:t>年</w:t>
            </w:r>
          </w:p>
        </w:tc>
      </w:tr>
      <w:tr w14:paraId="7FFC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40D29CA5">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1AF2A39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收入</w:t>
            </w:r>
          </w:p>
          <w:p w14:paraId="184154C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构成</w:t>
            </w: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351FDC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财政拨款</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1248CBE">
            <w:pPr>
              <w:keepNext w:val="0"/>
              <w:keepLines w:val="0"/>
              <w:pageBreakBefore w:val="0"/>
              <w:kinsoku/>
              <w:wordWrap/>
              <w:overflowPunct/>
              <w:topLinePunct w:val="0"/>
              <w:autoSpaceDE/>
              <w:bidi w:val="0"/>
              <w:spacing w:line="600" w:lineRule="exact"/>
              <w:jc w:val="center"/>
              <w:rPr>
                <w:rFonts w:hint="eastAsia" w:ascii="仿宋_GB2312" w:eastAsia="仿宋_GB2312"/>
                <w:color w:val="000000"/>
                <w:szCs w:val="21"/>
              </w:rPr>
            </w:pPr>
            <w:r>
              <w:rPr>
                <w:rFonts w:hint="default" w:ascii="仿宋_GB2312" w:eastAsia="仿宋_GB2312"/>
                <w:color w:val="000000"/>
                <w:szCs w:val="21"/>
                <w:lang w:val="en-US" w:eastAsia="zh-CN"/>
              </w:rPr>
              <w:t>512.06</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442C35B">
            <w:pPr>
              <w:keepNext w:val="0"/>
              <w:keepLines w:val="0"/>
              <w:pageBreakBefore w:val="0"/>
              <w:kinsoku/>
              <w:wordWrap/>
              <w:overflowPunct/>
              <w:topLinePunct w:val="0"/>
              <w:autoSpaceDE/>
              <w:bidi w:val="0"/>
              <w:spacing w:line="600" w:lineRule="exact"/>
              <w:jc w:val="center"/>
              <w:rPr>
                <w:rFonts w:hint="eastAsia" w:ascii="仿宋_GB2312" w:eastAsia="仿宋_GB2312"/>
                <w:color w:val="000000"/>
                <w:szCs w:val="21"/>
              </w:rPr>
            </w:pPr>
            <w:r>
              <w:rPr>
                <w:rFonts w:hint="default" w:ascii="仿宋_GB2312" w:eastAsia="仿宋_GB2312"/>
                <w:color w:val="000000"/>
                <w:szCs w:val="21"/>
                <w:lang w:val="en-US" w:eastAsia="zh-CN"/>
              </w:rPr>
              <w:t>100.0%</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6B30187">
            <w:pPr>
              <w:keepNext w:val="0"/>
              <w:keepLines w:val="0"/>
              <w:pageBreakBefore w:val="0"/>
              <w:kinsoku/>
              <w:wordWrap/>
              <w:overflowPunct/>
              <w:topLinePunct w:val="0"/>
              <w:autoSpaceDE/>
              <w:bidi w:val="0"/>
              <w:spacing w:line="600" w:lineRule="exact"/>
              <w:jc w:val="center"/>
              <w:rPr>
                <w:rFonts w:ascii="仿宋_GB2312" w:hAnsi="宋体" w:eastAsia="仿宋_GB2312" w:cs="宋体"/>
                <w:color w:val="000000"/>
                <w:szCs w:val="21"/>
              </w:rPr>
            </w:pPr>
            <w:r>
              <w:rPr>
                <w:rFonts w:hint="eastAsia" w:ascii="仿宋_GB2312" w:eastAsia="仿宋_GB2312"/>
                <w:color w:val="000000"/>
                <w:szCs w:val="21"/>
              </w:rPr>
              <w:t>422.62</w:t>
            </w: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DBC944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440.51</w:t>
            </w:r>
          </w:p>
        </w:tc>
      </w:tr>
      <w:tr w14:paraId="30AE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4444F4ED">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117DE862">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0DA076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财政专户管理资金</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D2431A9">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C0664B8">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72212A3">
            <w:pPr>
              <w:keepNext w:val="0"/>
              <w:keepLines w:val="0"/>
              <w:pageBreakBefore w:val="0"/>
              <w:kinsoku/>
              <w:wordWrap/>
              <w:overflowPunct/>
              <w:topLinePunct w:val="0"/>
              <w:autoSpaceDE/>
              <w:bidi w:val="0"/>
              <w:spacing w:line="600" w:lineRule="exact"/>
              <w:jc w:val="center"/>
              <w:rPr>
                <w:rFonts w:hint="eastAsia" w:ascii="仿宋_GB2312" w:hAnsi="宋体" w:eastAsia="仿宋_GB2312" w:cs="宋体"/>
                <w:color w:val="000000"/>
                <w:szCs w:val="21"/>
                <w:lang w:eastAsia="zh-CN"/>
              </w:rPr>
            </w:pP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9DD0F5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r>
      <w:tr w14:paraId="5C16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32E3618F">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71268F89">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B41586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单位资金</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BFA45C4">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5B26819">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31AE694">
            <w:pPr>
              <w:keepNext w:val="0"/>
              <w:keepLines w:val="0"/>
              <w:pageBreakBefore w:val="0"/>
              <w:kinsoku/>
              <w:wordWrap/>
              <w:overflowPunct/>
              <w:topLinePunct w:val="0"/>
              <w:autoSpaceDE/>
              <w:bidi w:val="0"/>
              <w:spacing w:line="600" w:lineRule="exact"/>
              <w:jc w:val="center"/>
              <w:rPr>
                <w:rFonts w:hint="eastAsia" w:ascii="仿宋_GB2312" w:hAnsi="宋体" w:eastAsia="仿宋_GB2312" w:cs="宋体"/>
                <w:color w:val="000000"/>
                <w:szCs w:val="21"/>
                <w:lang w:eastAsia="zh-CN"/>
              </w:rPr>
            </w:pP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140CB8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r>
      <w:tr w14:paraId="43DC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1AA152F8">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2D097DA1">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CAA1B8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合计</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5BA2E94">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512.06</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0E0E997">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100.0%</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5253985">
            <w:pPr>
              <w:keepNext w:val="0"/>
              <w:keepLines w:val="0"/>
              <w:pageBreakBefore w:val="0"/>
              <w:kinsoku/>
              <w:wordWrap/>
              <w:overflowPunct/>
              <w:topLinePunct w:val="0"/>
              <w:autoSpaceDE/>
              <w:bidi w:val="0"/>
              <w:spacing w:line="600" w:lineRule="exact"/>
              <w:jc w:val="center"/>
              <w:rPr>
                <w:rFonts w:hint="eastAsia" w:ascii="仿宋_GB2312" w:hAnsi="宋体" w:eastAsia="仿宋_GB2312" w:cs="宋体"/>
                <w:color w:val="000000"/>
                <w:szCs w:val="21"/>
                <w:lang w:eastAsia="zh-CN"/>
              </w:rPr>
            </w:pP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21EF37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r>
      <w:tr w14:paraId="7739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09E2B2E7">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04EEFF9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支出</w:t>
            </w:r>
          </w:p>
          <w:p w14:paraId="7048299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构成</w:t>
            </w: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700BFD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人员类项目支出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B4F9395">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320.08</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4D2961A">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62.5%</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4264011">
            <w:pPr>
              <w:keepNext w:val="0"/>
              <w:keepLines w:val="0"/>
              <w:pageBreakBefore w:val="0"/>
              <w:kinsoku/>
              <w:wordWrap/>
              <w:overflowPunct/>
              <w:topLinePunct w:val="0"/>
              <w:autoSpaceDE/>
              <w:bidi w:val="0"/>
              <w:spacing w:line="600" w:lineRule="exact"/>
              <w:jc w:val="center"/>
              <w:rPr>
                <w:rFonts w:ascii="仿宋_GB2312" w:hAnsi="宋体" w:eastAsia="仿宋_GB2312" w:cs="宋体"/>
                <w:color w:val="000000"/>
                <w:szCs w:val="21"/>
              </w:rPr>
            </w:pPr>
            <w:r>
              <w:rPr>
                <w:rFonts w:hint="eastAsia" w:ascii="仿宋_GB2312" w:eastAsia="仿宋_GB2312"/>
                <w:color w:val="000000"/>
                <w:szCs w:val="21"/>
              </w:rPr>
              <w:t>296.85</w:t>
            </w: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E5E03A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318.53</w:t>
            </w:r>
          </w:p>
        </w:tc>
      </w:tr>
      <w:tr w14:paraId="3D83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742EB64E">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6FD4A218">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224D05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运转类项目支出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FF80304">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63.48</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BCAA7CE">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12.4%</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D771C1A">
            <w:pPr>
              <w:keepNext w:val="0"/>
              <w:keepLines w:val="0"/>
              <w:pageBreakBefore w:val="0"/>
              <w:kinsoku/>
              <w:wordWrap/>
              <w:overflowPunct/>
              <w:topLinePunct w:val="0"/>
              <w:autoSpaceDE/>
              <w:bidi w:val="0"/>
              <w:spacing w:line="600" w:lineRule="exact"/>
              <w:jc w:val="center"/>
              <w:rPr>
                <w:rFonts w:ascii="仿宋_GB2312" w:hAnsi="宋体" w:eastAsia="仿宋_GB2312" w:cs="宋体"/>
                <w:color w:val="000000"/>
                <w:szCs w:val="21"/>
              </w:rPr>
            </w:pPr>
            <w:r>
              <w:rPr>
                <w:rFonts w:hint="eastAsia" w:ascii="仿宋_GB2312" w:eastAsia="仿宋_GB2312"/>
                <w:color w:val="000000"/>
                <w:szCs w:val="21"/>
              </w:rPr>
              <w:t>41.36</w:t>
            </w: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66E55C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55.44</w:t>
            </w:r>
          </w:p>
        </w:tc>
      </w:tr>
      <w:tr w14:paraId="070A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113DCE5E">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3DB804E7">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E4EF57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特定目标类项目支出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7E37E2A">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128.50</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4E9ECC5">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25.1%</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AEB1EE6">
            <w:pPr>
              <w:keepNext w:val="0"/>
              <w:keepLines w:val="0"/>
              <w:pageBreakBefore w:val="0"/>
              <w:kinsoku/>
              <w:wordWrap/>
              <w:overflowPunct/>
              <w:topLinePunct w:val="0"/>
              <w:autoSpaceDE/>
              <w:bidi w:val="0"/>
              <w:spacing w:line="600" w:lineRule="exact"/>
              <w:jc w:val="center"/>
              <w:rPr>
                <w:rFonts w:ascii="仿宋_GB2312" w:hAnsi="宋体" w:eastAsia="仿宋_GB2312" w:cs="宋体"/>
                <w:color w:val="000000"/>
                <w:szCs w:val="21"/>
              </w:rPr>
            </w:pPr>
            <w:r>
              <w:rPr>
                <w:rFonts w:hint="eastAsia" w:ascii="仿宋_GB2312" w:eastAsia="仿宋_GB2312"/>
                <w:color w:val="000000"/>
                <w:szCs w:val="21"/>
              </w:rPr>
              <w:t>84.41</w:t>
            </w: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867A7D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66.54</w:t>
            </w:r>
          </w:p>
        </w:tc>
      </w:tr>
      <w:tr w14:paraId="46A7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vMerge w:val="continue"/>
            <w:tcBorders>
              <w:top w:val="nil"/>
              <w:left w:val="single" w:color="auto" w:sz="4" w:space="0"/>
              <w:bottom w:val="single" w:color="auto" w:sz="4" w:space="0"/>
              <w:right w:val="single" w:color="auto" w:sz="4" w:space="0"/>
            </w:tcBorders>
            <w:vAlign w:val="center"/>
          </w:tcPr>
          <w:p w14:paraId="09D4D2BF">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4E3BECD7">
            <w:pPr>
              <w:keepNext w:val="0"/>
              <w:keepLines w:val="0"/>
              <w:pageBreakBefore w:val="0"/>
              <w:widowControl/>
              <w:kinsoku/>
              <w:wordWrap/>
              <w:overflowPunct/>
              <w:topLinePunct w:val="0"/>
              <w:autoSpaceDE/>
              <w:bidi w:val="0"/>
              <w:spacing w:line="600" w:lineRule="exact"/>
              <w:jc w:val="left"/>
              <w:rPr>
                <w:rFonts w:ascii="仿宋_GB2312" w:hAnsi="宋体" w:eastAsia="仿宋_GB2312"/>
                <w:kern w:val="0"/>
              </w:rPr>
            </w:pPr>
          </w:p>
        </w:tc>
        <w:tc>
          <w:tcPr>
            <w:tcW w:w="259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7D3CBB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合计</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4692EFD">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512.06</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D0E2465">
            <w:pPr>
              <w:keepNext w:val="0"/>
              <w:keepLines w:val="0"/>
              <w:pageBreakBefore w:val="0"/>
              <w:kinsoku/>
              <w:wordWrap/>
              <w:overflowPunct/>
              <w:topLinePunct w:val="0"/>
              <w:autoSpaceDE/>
              <w:bidi w:val="0"/>
              <w:spacing w:line="600" w:lineRule="exact"/>
              <w:jc w:val="center"/>
              <w:rPr>
                <w:rFonts w:hint="eastAsia" w:ascii="仿宋_GB2312" w:hAnsi="Calibri" w:eastAsia="仿宋_GB2312" w:cs="Times New Roman"/>
                <w:color w:val="000000"/>
                <w:kern w:val="2"/>
                <w:sz w:val="21"/>
                <w:szCs w:val="21"/>
                <w:lang w:val="en-US" w:eastAsia="zh-CN" w:bidi="ar-SA"/>
              </w:rPr>
            </w:pPr>
            <w:r>
              <w:rPr>
                <w:rFonts w:hint="default" w:ascii="仿宋_GB2312" w:hAnsi="Calibri" w:eastAsia="仿宋_GB2312" w:cs="Times New Roman"/>
                <w:color w:val="000000"/>
                <w:kern w:val="2"/>
                <w:sz w:val="21"/>
                <w:szCs w:val="21"/>
                <w:lang w:val="en-US" w:eastAsia="zh-CN" w:bidi="ar-SA"/>
              </w:rPr>
              <w:t>100.0%</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BAF9E9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422.62</w:t>
            </w:r>
          </w:p>
        </w:tc>
        <w:tc>
          <w:tcPr>
            <w:tcW w:w="101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DF715E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440.51</w:t>
            </w:r>
          </w:p>
        </w:tc>
      </w:tr>
      <w:tr w14:paraId="0F9D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0B3F363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部门职能概述</w:t>
            </w:r>
          </w:p>
        </w:tc>
        <w:tc>
          <w:tcPr>
            <w:tcW w:w="7522" w:type="dxa"/>
            <w:gridSpan w:val="14"/>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DEE8F09">
            <w:pPr>
              <w:keepNext w:val="0"/>
              <w:keepLines w:val="0"/>
              <w:pageBreakBefore w:val="0"/>
              <w:widowControl/>
              <w:kinsoku/>
              <w:wordWrap/>
              <w:overflowPunct/>
              <w:topLinePunct w:val="0"/>
              <w:autoSpaceDE/>
              <w:bidi w:val="0"/>
              <w:snapToGrid w:val="0"/>
              <w:spacing w:line="600" w:lineRule="exact"/>
              <w:rPr>
                <w:rFonts w:ascii="仿宋_GB2312" w:hAnsi="宋体" w:eastAsia="仿宋_GB2312"/>
                <w:kern w:val="0"/>
              </w:rPr>
            </w:pPr>
            <w:r>
              <w:rPr>
                <w:rFonts w:hint="eastAsia" w:ascii="宋体" w:hAnsi="宋体"/>
                <w:kern w:val="0"/>
              </w:rPr>
              <w:t> </w:t>
            </w:r>
            <w:r>
              <w:rPr>
                <w:rFonts w:hint="eastAsia" w:ascii="仿宋_GB2312" w:hAnsi="宋体" w:eastAsia="仿宋_GB2312"/>
                <w:kern w:val="0"/>
              </w:rPr>
              <w:t xml:space="preserve">   统筹协调和指导督促检查全市信访工作，及时通报情况，深入开展调研分析，研究改进工作；统筹协调我市信访事项复查复核活动，审议、决定复查复核工作的重大事项，组织全国、全省和全市重大活动和敏感时段信访安全保障工作；保障驻京、赴汉专班正常开展工作，及时、稳妥处置群众来访。确保不发生极端恶性事件，不发生较大影响的群体性事件，不发生因工作不当而引发的网上炒作事件，营造和谐安定的社会环境。</w:t>
            </w:r>
          </w:p>
        </w:tc>
      </w:tr>
      <w:tr w14:paraId="7C7F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6"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03EC99E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年度工作任务</w:t>
            </w:r>
          </w:p>
        </w:tc>
        <w:tc>
          <w:tcPr>
            <w:tcW w:w="7522" w:type="dxa"/>
            <w:gridSpan w:val="14"/>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24EC626">
            <w:pPr>
              <w:keepNext w:val="0"/>
              <w:keepLines w:val="0"/>
              <w:pageBreakBefore w:val="0"/>
              <w:widowControl/>
              <w:kinsoku/>
              <w:wordWrap/>
              <w:overflowPunct/>
              <w:topLinePunct w:val="0"/>
              <w:autoSpaceDE/>
              <w:bidi w:val="0"/>
              <w:snapToGrid w:val="0"/>
              <w:spacing w:line="600" w:lineRule="exact"/>
              <w:rPr>
                <w:rFonts w:ascii="仿宋_GB2312" w:hAnsi="宋体" w:eastAsia="仿宋_GB2312"/>
                <w:kern w:val="0"/>
              </w:rPr>
            </w:pPr>
            <w:r>
              <w:rPr>
                <w:rFonts w:hint="eastAsia" w:ascii="宋体" w:hAnsi="宋体"/>
                <w:kern w:val="0"/>
              </w:rPr>
              <w:t> </w:t>
            </w:r>
            <w:r>
              <w:rPr>
                <w:rFonts w:hint="eastAsia" w:ascii="仿宋_GB2312" w:hAnsi="宋体" w:eastAsia="仿宋_GB2312" w:cs="仿宋_GB2312"/>
                <w:kern w:val="0"/>
              </w:rPr>
              <w:t xml:space="preserve">  确保市信访工作领导小组办公室、市复查复核办公室、市群众来访接待中心各项工作正常运转，进京、赴省上访人员能够得到及时劝返。及时组织信访安全保障工作，全年不发生规模性聚集、不发生涉访个人极端行为、不发生因信访问题引发的负面炒作、不发生重大影响的恶性事件。</w:t>
            </w:r>
          </w:p>
        </w:tc>
      </w:tr>
      <w:tr w14:paraId="2F30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tcMar>
              <w:left w:w="57" w:type="dxa"/>
              <w:right w:w="57" w:type="dxa"/>
            </w:tcMar>
            <w:vAlign w:val="center"/>
          </w:tcPr>
          <w:p w14:paraId="05393D1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b/>
                <w:bCs/>
                <w:kern w:val="0"/>
              </w:rPr>
            </w:pPr>
            <w:r>
              <w:rPr>
                <w:rFonts w:hint="eastAsia" w:ascii="仿宋_GB2312" w:hAnsi="宋体" w:eastAsia="仿宋_GB2312" w:cs="仿宋_GB2312"/>
                <w:b/>
                <w:bCs/>
                <w:kern w:val="0"/>
              </w:rPr>
              <w:t>长期目标：</w:t>
            </w:r>
          </w:p>
          <w:p w14:paraId="61849AE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b/>
                <w:bCs/>
                <w:kern w:val="0"/>
              </w:rPr>
            </w:pPr>
            <w:r>
              <w:rPr>
                <w:rFonts w:ascii="仿宋_GB2312" w:hAnsi="宋体" w:eastAsia="仿宋_GB2312" w:cs="仿宋_GB2312"/>
                <w:kern w:val="0"/>
              </w:rPr>
              <w:t>（</w:t>
            </w:r>
            <w:r>
              <w:rPr>
                <w:rFonts w:hint="eastAsia" w:ascii="仿宋_GB2312" w:hAnsi="宋体" w:eastAsia="仿宋_GB2312" w:cs="仿宋_GB2312"/>
                <w:kern w:val="0"/>
              </w:rPr>
              <w:t>截止</w:t>
            </w:r>
            <w:r>
              <w:rPr>
                <w:rFonts w:ascii="仿宋_GB2312" w:hAnsi="宋体" w:eastAsia="仿宋_GB2312" w:cs="仿宋_GB2312"/>
                <w:kern w:val="0"/>
              </w:rPr>
              <w:t xml:space="preserve"> </w:t>
            </w:r>
            <w:r>
              <w:rPr>
                <w:rFonts w:hint="eastAsia" w:ascii="仿宋_GB2312" w:hAnsi="宋体" w:eastAsia="仿宋_GB2312" w:cs="仿宋_GB2312"/>
                <w:kern w:val="0"/>
              </w:rPr>
              <w:t>年）</w:t>
            </w:r>
          </w:p>
        </w:tc>
        <w:tc>
          <w:tcPr>
            <w:tcW w:w="7551" w:type="dxa"/>
            <w:gridSpan w:val="15"/>
            <w:tcMar>
              <w:left w:w="57" w:type="dxa"/>
              <w:right w:w="57" w:type="dxa"/>
            </w:tcMar>
            <w:vAlign w:val="center"/>
          </w:tcPr>
          <w:p w14:paraId="787ED04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r>
              <w:rPr>
                <w:rFonts w:hint="eastAsia" w:ascii="仿宋_GB2312" w:hAnsi="宋体" w:eastAsia="仿宋_GB2312" w:cs="仿宋_GB2312"/>
                <w:kern w:val="0"/>
              </w:rPr>
              <w:t xml:space="preserve">  确保市信访工作领导小组办公室、市复查复核办公室、市群众来访接待中心各项工作正常运转，进京、赴省上访人员能够得到及时劝返。及时组织信访安全保障工作，全年不发生规模性聚集、不发生涉访个人极端行为、不发生因信访问题引发的负面炒作、不发生重大影响的恶性事件。</w:t>
            </w:r>
          </w:p>
        </w:tc>
      </w:tr>
      <w:tr w14:paraId="4EDF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restart"/>
            <w:tcMar>
              <w:left w:w="57" w:type="dxa"/>
              <w:right w:w="57" w:type="dxa"/>
            </w:tcMar>
            <w:vAlign w:val="center"/>
          </w:tcPr>
          <w:p w14:paraId="56D6212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长期绩</w:t>
            </w:r>
          </w:p>
          <w:p w14:paraId="18BECE1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效指标</w:t>
            </w:r>
          </w:p>
        </w:tc>
        <w:tc>
          <w:tcPr>
            <w:tcW w:w="823" w:type="dxa"/>
            <w:gridSpan w:val="2"/>
            <w:tcMar>
              <w:left w:w="57" w:type="dxa"/>
              <w:right w:w="57" w:type="dxa"/>
            </w:tcMar>
            <w:vAlign w:val="center"/>
          </w:tcPr>
          <w:p w14:paraId="496C6CA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一级</w:t>
            </w:r>
          </w:p>
          <w:p w14:paraId="3309F3A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指标</w:t>
            </w:r>
          </w:p>
        </w:tc>
        <w:tc>
          <w:tcPr>
            <w:tcW w:w="1389" w:type="dxa"/>
            <w:gridSpan w:val="2"/>
            <w:tcMar>
              <w:left w:w="57" w:type="dxa"/>
              <w:right w:w="57" w:type="dxa"/>
            </w:tcMar>
            <w:vAlign w:val="center"/>
          </w:tcPr>
          <w:p w14:paraId="5EEDAC7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二级指标</w:t>
            </w:r>
          </w:p>
        </w:tc>
        <w:tc>
          <w:tcPr>
            <w:tcW w:w="1518" w:type="dxa"/>
            <w:gridSpan w:val="2"/>
            <w:tcMar>
              <w:left w:w="57" w:type="dxa"/>
              <w:right w:w="57" w:type="dxa"/>
            </w:tcMar>
            <w:vAlign w:val="center"/>
          </w:tcPr>
          <w:p w14:paraId="623EC1D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三级指标</w:t>
            </w:r>
          </w:p>
        </w:tc>
        <w:tc>
          <w:tcPr>
            <w:tcW w:w="1816" w:type="dxa"/>
            <w:gridSpan w:val="4"/>
            <w:tcMar>
              <w:left w:w="57" w:type="dxa"/>
              <w:right w:w="57" w:type="dxa"/>
            </w:tcMar>
            <w:vAlign w:val="center"/>
          </w:tcPr>
          <w:p w14:paraId="4E7DC6A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指标值</w:t>
            </w:r>
          </w:p>
        </w:tc>
        <w:tc>
          <w:tcPr>
            <w:tcW w:w="987" w:type="dxa"/>
            <w:gridSpan w:val="3"/>
            <w:tcMar>
              <w:left w:w="57" w:type="dxa"/>
              <w:right w:w="57" w:type="dxa"/>
            </w:tcMar>
            <w:vAlign w:val="center"/>
          </w:tcPr>
          <w:p w14:paraId="12BD55D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指标值确定依据</w:t>
            </w:r>
          </w:p>
        </w:tc>
        <w:tc>
          <w:tcPr>
            <w:tcW w:w="1018" w:type="dxa"/>
            <w:gridSpan w:val="2"/>
            <w:tcMar>
              <w:left w:w="57" w:type="dxa"/>
              <w:right w:w="57" w:type="dxa"/>
            </w:tcMar>
            <w:vAlign w:val="center"/>
          </w:tcPr>
          <w:p w14:paraId="47C8D4C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指标分类</w:t>
            </w:r>
          </w:p>
        </w:tc>
      </w:tr>
      <w:tr w14:paraId="3CDD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45CD28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2A32026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运行</w:t>
            </w:r>
          </w:p>
          <w:p w14:paraId="16F532E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成本</w:t>
            </w:r>
          </w:p>
        </w:tc>
        <w:tc>
          <w:tcPr>
            <w:tcW w:w="1389" w:type="dxa"/>
            <w:gridSpan w:val="2"/>
            <w:tcMar>
              <w:left w:w="57" w:type="dxa"/>
              <w:right w:w="57" w:type="dxa"/>
            </w:tcMar>
            <w:vAlign w:val="center"/>
          </w:tcPr>
          <w:p w14:paraId="73483CB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rPr>
              <w:t>公用经费控制</w:t>
            </w:r>
          </w:p>
        </w:tc>
        <w:tc>
          <w:tcPr>
            <w:tcW w:w="1518" w:type="dxa"/>
            <w:gridSpan w:val="2"/>
            <w:tcMar>
              <w:left w:w="57" w:type="dxa"/>
              <w:right w:w="57" w:type="dxa"/>
            </w:tcMar>
            <w:vAlign w:val="center"/>
          </w:tcPr>
          <w:p w14:paraId="6746B08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公用经费控制率</w:t>
            </w:r>
          </w:p>
        </w:tc>
        <w:tc>
          <w:tcPr>
            <w:tcW w:w="1816" w:type="dxa"/>
            <w:gridSpan w:val="4"/>
            <w:tcMar>
              <w:left w:w="57" w:type="dxa"/>
              <w:right w:w="57" w:type="dxa"/>
            </w:tcMar>
            <w:vAlign w:val="center"/>
          </w:tcPr>
          <w:p w14:paraId="6433A01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2E748D2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123EBFF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4AE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7A6B64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3967D1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47D0E70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rPr>
              <w:t>在职人员控制</w:t>
            </w:r>
          </w:p>
        </w:tc>
        <w:tc>
          <w:tcPr>
            <w:tcW w:w="1518" w:type="dxa"/>
            <w:gridSpan w:val="2"/>
            <w:tcMar>
              <w:left w:w="57" w:type="dxa"/>
              <w:right w:w="57" w:type="dxa"/>
            </w:tcMar>
            <w:vAlign w:val="center"/>
          </w:tcPr>
          <w:p w14:paraId="61238DE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在职人员控制率</w:t>
            </w:r>
          </w:p>
        </w:tc>
        <w:tc>
          <w:tcPr>
            <w:tcW w:w="1816" w:type="dxa"/>
            <w:gridSpan w:val="4"/>
            <w:tcMar>
              <w:left w:w="57" w:type="dxa"/>
              <w:right w:w="57" w:type="dxa"/>
            </w:tcMar>
            <w:vAlign w:val="center"/>
          </w:tcPr>
          <w:p w14:paraId="24BC722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bCs/>
                <w:color w:val="000000"/>
                <w:kern w:val="0"/>
                <w:szCs w:val="21"/>
              </w:rPr>
              <w:t>≤100%</w:t>
            </w:r>
          </w:p>
        </w:tc>
        <w:tc>
          <w:tcPr>
            <w:tcW w:w="987" w:type="dxa"/>
            <w:gridSpan w:val="3"/>
            <w:tcMar>
              <w:left w:w="57" w:type="dxa"/>
              <w:right w:w="57" w:type="dxa"/>
            </w:tcMar>
            <w:vAlign w:val="center"/>
          </w:tcPr>
          <w:p w14:paraId="183471C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444A7E6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AA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B634DC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B82124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1812101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项目支出成本控制</w:t>
            </w:r>
          </w:p>
        </w:tc>
        <w:tc>
          <w:tcPr>
            <w:tcW w:w="1518" w:type="dxa"/>
            <w:gridSpan w:val="2"/>
            <w:tcMar>
              <w:left w:w="57" w:type="dxa"/>
              <w:right w:w="57" w:type="dxa"/>
            </w:tcMar>
            <w:vAlign w:val="center"/>
          </w:tcPr>
          <w:p w14:paraId="24A040E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会议费控制率</w:t>
            </w:r>
          </w:p>
        </w:tc>
        <w:tc>
          <w:tcPr>
            <w:tcW w:w="1816" w:type="dxa"/>
            <w:gridSpan w:val="4"/>
            <w:tcMar>
              <w:left w:w="57" w:type="dxa"/>
              <w:right w:w="57" w:type="dxa"/>
            </w:tcMar>
            <w:vAlign w:val="center"/>
          </w:tcPr>
          <w:p w14:paraId="136E868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27384B9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5E69468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3A45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2003A6B">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54138C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5FD4125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22D0F14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“三公经费”变动率</w:t>
            </w:r>
          </w:p>
        </w:tc>
        <w:tc>
          <w:tcPr>
            <w:tcW w:w="1816" w:type="dxa"/>
            <w:gridSpan w:val="4"/>
            <w:tcMar>
              <w:left w:w="57" w:type="dxa"/>
              <w:right w:w="57" w:type="dxa"/>
            </w:tcMar>
            <w:vAlign w:val="center"/>
          </w:tcPr>
          <w:p w14:paraId="27EB4C4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987" w:type="dxa"/>
            <w:gridSpan w:val="3"/>
            <w:tcMar>
              <w:left w:w="57" w:type="dxa"/>
              <w:right w:w="57" w:type="dxa"/>
            </w:tcMar>
            <w:vAlign w:val="center"/>
          </w:tcPr>
          <w:p w14:paraId="72FD13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42BB071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C60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6673AB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B80F7C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1FAC302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104F6E9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成本控制率</w:t>
            </w:r>
          </w:p>
        </w:tc>
        <w:tc>
          <w:tcPr>
            <w:tcW w:w="1816" w:type="dxa"/>
            <w:gridSpan w:val="4"/>
            <w:tcMar>
              <w:left w:w="57" w:type="dxa"/>
              <w:right w:w="57" w:type="dxa"/>
            </w:tcMar>
            <w:vAlign w:val="center"/>
          </w:tcPr>
          <w:p w14:paraId="66D4822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1E43078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7935D1B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6FD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88C582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7314CFB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管理</w:t>
            </w:r>
          </w:p>
          <w:p w14:paraId="3E1D47D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效率</w:t>
            </w:r>
          </w:p>
        </w:tc>
        <w:tc>
          <w:tcPr>
            <w:tcW w:w="1389" w:type="dxa"/>
            <w:gridSpan w:val="2"/>
            <w:vMerge w:val="restart"/>
            <w:tcMar>
              <w:left w:w="57" w:type="dxa"/>
              <w:right w:w="57" w:type="dxa"/>
            </w:tcMar>
            <w:vAlign w:val="center"/>
          </w:tcPr>
          <w:p w14:paraId="16288C5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rPr>
              <w:t>战略管理</w:t>
            </w:r>
          </w:p>
        </w:tc>
        <w:tc>
          <w:tcPr>
            <w:tcW w:w="1518" w:type="dxa"/>
            <w:gridSpan w:val="2"/>
            <w:tcMar>
              <w:left w:w="57" w:type="dxa"/>
              <w:right w:w="57" w:type="dxa"/>
            </w:tcMar>
            <w:vAlign w:val="center"/>
          </w:tcPr>
          <w:p w14:paraId="10B5713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中长期规划相符性</w:t>
            </w:r>
          </w:p>
        </w:tc>
        <w:tc>
          <w:tcPr>
            <w:tcW w:w="1816" w:type="dxa"/>
            <w:gridSpan w:val="4"/>
            <w:tcMar>
              <w:left w:w="57" w:type="dxa"/>
              <w:right w:w="57" w:type="dxa"/>
            </w:tcMar>
            <w:vAlign w:val="center"/>
          </w:tcPr>
          <w:p w14:paraId="297122A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完全相符</w:t>
            </w:r>
          </w:p>
        </w:tc>
        <w:tc>
          <w:tcPr>
            <w:tcW w:w="987" w:type="dxa"/>
            <w:gridSpan w:val="3"/>
            <w:tcMar>
              <w:left w:w="57" w:type="dxa"/>
              <w:right w:w="57" w:type="dxa"/>
            </w:tcMar>
            <w:vAlign w:val="center"/>
          </w:tcPr>
          <w:p w14:paraId="2889420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4E04070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E18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289950F">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1DC43F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0611F8E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45B3644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工作计划健全性</w:t>
            </w:r>
          </w:p>
        </w:tc>
        <w:tc>
          <w:tcPr>
            <w:tcW w:w="1816" w:type="dxa"/>
            <w:gridSpan w:val="4"/>
            <w:tcMar>
              <w:left w:w="57" w:type="dxa"/>
              <w:right w:w="57" w:type="dxa"/>
            </w:tcMar>
            <w:vAlign w:val="center"/>
          </w:tcPr>
          <w:p w14:paraId="1A7A6FE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987" w:type="dxa"/>
            <w:gridSpan w:val="3"/>
            <w:tcMar>
              <w:left w:w="57" w:type="dxa"/>
              <w:right w:w="57" w:type="dxa"/>
            </w:tcMar>
            <w:vAlign w:val="center"/>
          </w:tcPr>
          <w:p w14:paraId="01ED18E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35F36A6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E4D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5B5ED3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D890C3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CD59BA3">
            <w:pPr>
              <w:keepNext w:val="0"/>
              <w:keepLines w:val="0"/>
              <w:pageBreakBefore w:val="0"/>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预算编制</w:t>
            </w:r>
          </w:p>
        </w:tc>
        <w:tc>
          <w:tcPr>
            <w:tcW w:w="1518" w:type="dxa"/>
            <w:gridSpan w:val="2"/>
            <w:tcMar>
              <w:left w:w="57" w:type="dxa"/>
              <w:right w:w="57" w:type="dxa"/>
            </w:tcMar>
            <w:vAlign w:val="center"/>
          </w:tcPr>
          <w:p w14:paraId="0439551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预算编制科学性</w:t>
            </w:r>
          </w:p>
        </w:tc>
        <w:tc>
          <w:tcPr>
            <w:tcW w:w="1816" w:type="dxa"/>
            <w:gridSpan w:val="4"/>
            <w:tcMar>
              <w:left w:w="57" w:type="dxa"/>
              <w:right w:w="57" w:type="dxa"/>
            </w:tcMar>
            <w:vAlign w:val="center"/>
          </w:tcPr>
          <w:p w14:paraId="5E9B94F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olor w:val="FF0000"/>
                <w:kern w:val="0"/>
              </w:rPr>
            </w:pPr>
            <w:r>
              <w:rPr>
                <w:rFonts w:hint="eastAsia" w:ascii="仿宋_GB2312" w:hAnsi="宋体" w:eastAsia="仿宋_GB2312"/>
                <w:kern w:val="0"/>
              </w:rPr>
              <w:t>科学</w:t>
            </w:r>
          </w:p>
        </w:tc>
        <w:tc>
          <w:tcPr>
            <w:tcW w:w="987" w:type="dxa"/>
            <w:gridSpan w:val="3"/>
            <w:tcMar>
              <w:left w:w="57" w:type="dxa"/>
              <w:right w:w="57" w:type="dxa"/>
            </w:tcMar>
            <w:vAlign w:val="center"/>
          </w:tcPr>
          <w:p w14:paraId="6E56E35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490D101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66B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2C54DC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712BA7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54CB254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p>
        </w:tc>
        <w:tc>
          <w:tcPr>
            <w:tcW w:w="1518" w:type="dxa"/>
            <w:gridSpan w:val="2"/>
            <w:tcMar>
              <w:left w:w="57" w:type="dxa"/>
              <w:right w:w="57" w:type="dxa"/>
            </w:tcMar>
            <w:vAlign w:val="center"/>
          </w:tcPr>
          <w:p w14:paraId="052925F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预算编制合理性</w:t>
            </w:r>
          </w:p>
        </w:tc>
        <w:tc>
          <w:tcPr>
            <w:tcW w:w="1816" w:type="dxa"/>
            <w:gridSpan w:val="4"/>
            <w:tcMar>
              <w:left w:w="57" w:type="dxa"/>
              <w:right w:w="57" w:type="dxa"/>
            </w:tcMar>
            <w:vAlign w:val="center"/>
          </w:tcPr>
          <w:p w14:paraId="29C7BBD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olor w:val="FF0000"/>
                <w:kern w:val="0"/>
              </w:rPr>
            </w:pPr>
            <w:r>
              <w:rPr>
                <w:rFonts w:hint="eastAsia" w:ascii="仿宋_GB2312" w:hAnsi="宋体" w:eastAsia="仿宋_GB2312"/>
                <w:kern w:val="0"/>
              </w:rPr>
              <w:t>合理</w:t>
            </w:r>
          </w:p>
        </w:tc>
        <w:tc>
          <w:tcPr>
            <w:tcW w:w="987" w:type="dxa"/>
            <w:gridSpan w:val="3"/>
            <w:tcMar>
              <w:left w:w="57" w:type="dxa"/>
              <w:right w:w="57" w:type="dxa"/>
            </w:tcMar>
            <w:vAlign w:val="center"/>
          </w:tcPr>
          <w:p w14:paraId="12D58BD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24B3C9E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E83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225EC33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424DB1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00F5465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2DC21BF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立项规范性</w:t>
            </w:r>
          </w:p>
        </w:tc>
        <w:tc>
          <w:tcPr>
            <w:tcW w:w="1816" w:type="dxa"/>
            <w:gridSpan w:val="4"/>
            <w:tcMar>
              <w:left w:w="57" w:type="dxa"/>
              <w:right w:w="57" w:type="dxa"/>
            </w:tcMar>
            <w:vAlign w:val="center"/>
          </w:tcPr>
          <w:p w14:paraId="4B673A9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olor w:val="FF0000"/>
                <w:kern w:val="0"/>
              </w:rPr>
            </w:pPr>
            <w:r>
              <w:rPr>
                <w:rFonts w:hint="eastAsia" w:ascii="仿宋_GB2312" w:hAnsi="宋体" w:eastAsia="仿宋_GB2312"/>
                <w:kern w:val="0"/>
              </w:rPr>
              <w:t>规范</w:t>
            </w:r>
          </w:p>
        </w:tc>
        <w:tc>
          <w:tcPr>
            <w:tcW w:w="987" w:type="dxa"/>
            <w:gridSpan w:val="3"/>
            <w:tcMar>
              <w:left w:w="57" w:type="dxa"/>
              <w:right w:w="57" w:type="dxa"/>
            </w:tcMar>
            <w:vAlign w:val="center"/>
          </w:tcPr>
          <w:p w14:paraId="5D5D34E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27BCEA3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194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57A664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09E132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9E8288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28B3723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预算调整率</w:t>
            </w:r>
          </w:p>
        </w:tc>
        <w:tc>
          <w:tcPr>
            <w:tcW w:w="1816" w:type="dxa"/>
            <w:gridSpan w:val="4"/>
            <w:tcMar>
              <w:left w:w="57" w:type="dxa"/>
              <w:right w:w="57" w:type="dxa"/>
            </w:tcMar>
            <w:vAlign w:val="center"/>
          </w:tcPr>
          <w:p w14:paraId="35704C0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987" w:type="dxa"/>
            <w:gridSpan w:val="3"/>
            <w:tcMar>
              <w:left w:w="57" w:type="dxa"/>
              <w:right w:w="57" w:type="dxa"/>
            </w:tcMar>
            <w:vAlign w:val="center"/>
          </w:tcPr>
          <w:p w14:paraId="2777EDF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28EDAB9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F7D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29E018F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FF245B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39415D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预算执行</w:t>
            </w:r>
          </w:p>
        </w:tc>
        <w:tc>
          <w:tcPr>
            <w:tcW w:w="1518" w:type="dxa"/>
            <w:gridSpan w:val="2"/>
            <w:tcMar>
              <w:left w:w="57" w:type="dxa"/>
              <w:right w:w="57" w:type="dxa"/>
            </w:tcMar>
            <w:vAlign w:val="center"/>
          </w:tcPr>
          <w:p w14:paraId="5FF6762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预算执行率</w:t>
            </w:r>
          </w:p>
        </w:tc>
        <w:tc>
          <w:tcPr>
            <w:tcW w:w="1816" w:type="dxa"/>
            <w:gridSpan w:val="4"/>
            <w:tcMar>
              <w:left w:w="57" w:type="dxa"/>
              <w:right w:w="57" w:type="dxa"/>
            </w:tcMar>
            <w:vAlign w:val="center"/>
          </w:tcPr>
          <w:p w14:paraId="5D09727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79FEA1E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5DC2F21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1F1D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4DAD72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66D5F0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1CD2918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1B6F968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结转结余率</w:t>
            </w:r>
          </w:p>
        </w:tc>
        <w:tc>
          <w:tcPr>
            <w:tcW w:w="1816" w:type="dxa"/>
            <w:gridSpan w:val="4"/>
            <w:tcMar>
              <w:left w:w="57" w:type="dxa"/>
              <w:right w:w="57" w:type="dxa"/>
            </w:tcMar>
            <w:vAlign w:val="center"/>
          </w:tcPr>
          <w:p w14:paraId="5F0876A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987" w:type="dxa"/>
            <w:gridSpan w:val="3"/>
            <w:tcMar>
              <w:left w:w="57" w:type="dxa"/>
              <w:right w:w="57" w:type="dxa"/>
            </w:tcMar>
            <w:vAlign w:val="center"/>
          </w:tcPr>
          <w:p w14:paraId="4DDD193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1F1397D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443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1CA7D9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8263D6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272487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3AC6803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政府采购执行率</w:t>
            </w:r>
          </w:p>
        </w:tc>
        <w:tc>
          <w:tcPr>
            <w:tcW w:w="1816" w:type="dxa"/>
            <w:gridSpan w:val="4"/>
            <w:tcMar>
              <w:left w:w="57" w:type="dxa"/>
              <w:right w:w="57" w:type="dxa"/>
            </w:tcMar>
            <w:vAlign w:val="center"/>
          </w:tcPr>
          <w:p w14:paraId="295CE5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≥98%</w:t>
            </w:r>
          </w:p>
        </w:tc>
        <w:tc>
          <w:tcPr>
            <w:tcW w:w="987" w:type="dxa"/>
            <w:gridSpan w:val="3"/>
            <w:tcMar>
              <w:left w:w="57" w:type="dxa"/>
              <w:right w:w="57" w:type="dxa"/>
            </w:tcMar>
            <w:vAlign w:val="center"/>
          </w:tcPr>
          <w:p w14:paraId="7E75FAD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50A3389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348A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D71D3B7">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63DB94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37A3FD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6D4BC0A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非税收入预算完成率</w:t>
            </w:r>
          </w:p>
        </w:tc>
        <w:tc>
          <w:tcPr>
            <w:tcW w:w="1816" w:type="dxa"/>
            <w:gridSpan w:val="4"/>
            <w:tcMar>
              <w:left w:w="57" w:type="dxa"/>
              <w:right w:w="57" w:type="dxa"/>
            </w:tcMar>
            <w:vAlign w:val="center"/>
          </w:tcPr>
          <w:p w14:paraId="5706E19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679E1C5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797CBE8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B06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C36BAB2">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EDA7CD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2094C4A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绩效管理</w:t>
            </w:r>
          </w:p>
        </w:tc>
        <w:tc>
          <w:tcPr>
            <w:tcW w:w="1518" w:type="dxa"/>
            <w:gridSpan w:val="2"/>
            <w:tcMar>
              <w:left w:w="57" w:type="dxa"/>
              <w:right w:w="57" w:type="dxa"/>
            </w:tcMar>
            <w:vAlign w:val="center"/>
          </w:tcPr>
          <w:p w14:paraId="00A8176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事前绩效评估完成率</w:t>
            </w:r>
          </w:p>
        </w:tc>
        <w:tc>
          <w:tcPr>
            <w:tcW w:w="1816" w:type="dxa"/>
            <w:gridSpan w:val="4"/>
            <w:tcMar>
              <w:left w:w="57" w:type="dxa"/>
              <w:right w:w="57" w:type="dxa"/>
            </w:tcMar>
            <w:vAlign w:val="center"/>
          </w:tcPr>
          <w:p w14:paraId="4FEAE2B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2C44DCE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4D8A198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C53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DACB2E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39B9C3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33DD73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11E3467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绩效目标合理性</w:t>
            </w:r>
          </w:p>
        </w:tc>
        <w:tc>
          <w:tcPr>
            <w:tcW w:w="1816" w:type="dxa"/>
            <w:gridSpan w:val="4"/>
            <w:tcMar>
              <w:left w:w="57" w:type="dxa"/>
              <w:right w:w="57" w:type="dxa"/>
            </w:tcMar>
            <w:vAlign w:val="center"/>
          </w:tcPr>
          <w:p w14:paraId="0A89509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372F7E1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53D6E91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FE7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037402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C19587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5965CB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00181E8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绩效监控开展率</w:t>
            </w:r>
          </w:p>
        </w:tc>
        <w:tc>
          <w:tcPr>
            <w:tcW w:w="1816" w:type="dxa"/>
            <w:gridSpan w:val="4"/>
            <w:tcMar>
              <w:left w:w="57" w:type="dxa"/>
              <w:right w:w="57" w:type="dxa"/>
            </w:tcMar>
            <w:vAlign w:val="center"/>
          </w:tcPr>
          <w:p w14:paraId="51C586B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4259F9C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01025C4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DC6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8D9B7D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388216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077CFAF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2D2D706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绩效评价覆盖率</w:t>
            </w:r>
          </w:p>
        </w:tc>
        <w:tc>
          <w:tcPr>
            <w:tcW w:w="1816" w:type="dxa"/>
            <w:gridSpan w:val="4"/>
            <w:tcMar>
              <w:left w:w="57" w:type="dxa"/>
              <w:right w:w="57" w:type="dxa"/>
            </w:tcMar>
            <w:vAlign w:val="center"/>
          </w:tcPr>
          <w:p w14:paraId="7CA65FC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5A78B85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1BE4297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A37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30F04E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43388E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2FF86E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6DC64EB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评价结果应用率</w:t>
            </w:r>
          </w:p>
        </w:tc>
        <w:tc>
          <w:tcPr>
            <w:tcW w:w="1816" w:type="dxa"/>
            <w:gridSpan w:val="4"/>
            <w:tcMar>
              <w:left w:w="57" w:type="dxa"/>
              <w:right w:w="57" w:type="dxa"/>
            </w:tcMar>
            <w:vAlign w:val="center"/>
          </w:tcPr>
          <w:p w14:paraId="0E6F381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987" w:type="dxa"/>
            <w:gridSpan w:val="3"/>
            <w:tcMar>
              <w:left w:w="57" w:type="dxa"/>
              <w:right w:w="57" w:type="dxa"/>
            </w:tcMar>
            <w:vAlign w:val="center"/>
          </w:tcPr>
          <w:p w14:paraId="612D51A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538109E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0F53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7F67D64">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2A70FA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206663A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资产管理</w:t>
            </w:r>
          </w:p>
        </w:tc>
        <w:tc>
          <w:tcPr>
            <w:tcW w:w="1518" w:type="dxa"/>
            <w:gridSpan w:val="2"/>
            <w:tcMar>
              <w:left w:w="57" w:type="dxa"/>
              <w:right w:w="57" w:type="dxa"/>
            </w:tcMar>
            <w:vAlign w:val="center"/>
          </w:tcPr>
          <w:p w14:paraId="396E269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资产管理制度健全性</w:t>
            </w:r>
          </w:p>
        </w:tc>
        <w:tc>
          <w:tcPr>
            <w:tcW w:w="1816" w:type="dxa"/>
            <w:gridSpan w:val="4"/>
            <w:tcMar>
              <w:left w:w="57" w:type="dxa"/>
              <w:right w:w="57" w:type="dxa"/>
            </w:tcMar>
            <w:vAlign w:val="center"/>
          </w:tcPr>
          <w:p w14:paraId="2335408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987" w:type="dxa"/>
            <w:gridSpan w:val="3"/>
            <w:tcMar>
              <w:left w:w="57" w:type="dxa"/>
              <w:right w:w="57" w:type="dxa"/>
            </w:tcMar>
            <w:vAlign w:val="center"/>
          </w:tcPr>
          <w:p w14:paraId="69D6748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2CD9B60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9DD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D6AB882">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907DBF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1DEAC7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49D0F63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资产管理规范性</w:t>
            </w:r>
          </w:p>
        </w:tc>
        <w:tc>
          <w:tcPr>
            <w:tcW w:w="1816" w:type="dxa"/>
            <w:gridSpan w:val="4"/>
            <w:tcMar>
              <w:left w:w="57" w:type="dxa"/>
              <w:right w:w="57" w:type="dxa"/>
            </w:tcMar>
            <w:vAlign w:val="center"/>
          </w:tcPr>
          <w:p w14:paraId="252BBF2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987" w:type="dxa"/>
            <w:gridSpan w:val="3"/>
            <w:tcMar>
              <w:left w:w="57" w:type="dxa"/>
              <w:right w:w="57" w:type="dxa"/>
            </w:tcMar>
            <w:vAlign w:val="center"/>
          </w:tcPr>
          <w:p w14:paraId="3AB7B7D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2033D53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0181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4B6EC6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E6A28D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0189A64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财务管理</w:t>
            </w:r>
          </w:p>
        </w:tc>
        <w:tc>
          <w:tcPr>
            <w:tcW w:w="1518" w:type="dxa"/>
            <w:gridSpan w:val="2"/>
            <w:tcMar>
              <w:left w:w="57" w:type="dxa"/>
              <w:right w:w="57" w:type="dxa"/>
            </w:tcMar>
            <w:vAlign w:val="center"/>
          </w:tcPr>
          <w:p w14:paraId="7FA6AF4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财务管理制度健全性</w:t>
            </w:r>
          </w:p>
        </w:tc>
        <w:tc>
          <w:tcPr>
            <w:tcW w:w="1816" w:type="dxa"/>
            <w:gridSpan w:val="4"/>
            <w:tcMar>
              <w:left w:w="57" w:type="dxa"/>
              <w:right w:w="57" w:type="dxa"/>
            </w:tcMar>
            <w:vAlign w:val="center"/>
          </w:tcPr>
          <w:p w14:paraId="131E0EC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987" w:type="dxa"/>
            <w:gridSpan w:val="3"/>
            <w:tcMar>
              <w:left w:w="57" w:type="dxa"/>
              <w:right w:w="57" w:type="dxa"/>
            </w:tcMar>
            <w:vAlign w:val="center"/>
          </w:tcPr>
          <w:p w14:paraId="50AB85B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791A69B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C99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6766B05F">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103BDF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ECF1E8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5D89B03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会计核算规范性</w:t>
            </w:r>
          </w:p>
        </w:tc>
        <w:tc>
          <w:tcPr>
            <w:tcW w:w="1816" w:type="dxa"/>
            <w:gridSpan w:val="4"/>
            <w:tcMar>
              <w:left w:w="57" w:type="dxa"/>
              <w:right w:w="57" w:type="dxa"/>
            </w:tcMar>
            <w:vAlign w:val="center"/>
          </w:tcPr>
          <w:p w14:paraId="73B7472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987" w:type="dxa"/>
            <w:gridSpan w:val="3"/>
            <w:tcMar>
              <w:left w:w="57" w:type="dxa"/>
              <w:right w:w="57" w:type="dxa"/>
            </w:tcMar>
            <w:vAlign w:val="center"/>
          </w:tcPr>
          <w:p w14:paraId="35ED366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6B0AE3F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FB2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4FE5CB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A643E2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B5D99B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1CCDB7C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资金使用合规性</w:t>
            </w:r>
          </w:p>
        </w:tc>
        <w:tc>
          <w:tcPr>
            <w:tcW w:w="1816" w:type="dxa"/>
            <w:gridSpan w:val="4"/>
            <w:tcMar>
              <w:left w:w="57" w:type="dxa"/>
              <w:right w:w="57" w:type="dxa"/>
            </w:tcMar>
            <w:vAlign w:val="center"/>
          </w:tcPr>
          <w:p w14:paraId="4C35DAA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完全合规</w:t>
            </w:r>
          </w:p>
        </w:tc>
        <w:tc>
          <w:tcPr>
            <w:tcW w:w="987" w:type="dxa"/>
            <w:gridSpan w:val="3"/>
            <w:tcMar>
              <w:left w:w="57" w:type="dxa"/>
              <w:right w:w="57" w:type="dxa"/>
            </w:tcMar>
            <w:vAlign w:val="center"/>
          </w:tcPr>
          <w:p w14:paraId="48505B3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1018" w:type="dxa"/>
            <w:gridSpan w:val="2"/>
            <w:tcMar>
              <w:left w:w="57" w:type="dxa"/>
              <w:right w:w="57" w:type="dxa"/>
            </w:tcMar>
            <w:vAlign w:val="center"/>
          </w:tcPr>
          <w:p w14:paraId="3ACA1CA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03B1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8E5F49D">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7C15D7F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履职</w:t>
            </w:r>
          </w:p>
          <w:p w14:paraId="0383F5E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效能</w:t>
            </w:r>
          </w:p>
        </w:tc>
        <w:tc>
          <w:tcPr>
            <w:tcW w:w="1389" w:type="dxa"/>
            <w:gridSpan w:val="2"/>
            <w:vMerge w:val="restart"/>
            <w:tcMar>
              <w:left w:w="57" w:type="dxa"/>
              <w:right w:w="57" w:type="dxa"/>
            </w:tcMar>
            <w:vAlign w:val="center"/>
          </w:tcPr>
          <w:p w14:paraId="5A544E1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数量指标</w:t>
            </w:r>
          </w:p>
          <w:p w14:paraId="4655645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5627DDD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常态化驻京专班</w:t>
            </w:r>
          </w:p>
        </w:tc>
        <w:tc>
          <w:tcPr>
            <w:tcW w:w="1816" w:type="dxa"/>
            <w:gridSpan w:val="4"/>
            <w:tcMar>
              <w:left w:w="57" w:type="dxa"/>
              <w:right w:w="57" w:type="dxa"/>
            </w:tcMar>
            <w:vAlign w:val="center"/>
          </w:tcPr>
          <w:p w14:paraId="65A33A8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1人次</w:t>
            </w:r>
          </w:p>
        </w:tc>
        <w:tc>
          <w:tcPr>
            <w:tcW w:w="987" w:type="dxa"/>
            <w:gridSpan w:val="3"/>
            <w:tcMar>
              <w:left w:w="57" w:type="dxa"/>
              <w:right w:w="57" w:type="dxa"/>
            </w:tcMar>
            <w:vAlign w:val="center"/>
          </w:tcPr>
          <w:p w14:paraId="6618490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58F6CD4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334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BB6B6D7">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B62FDF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269A73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2C46CC3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信访件及时受理率</w:t>
            </w:r>
          </w:p>
        </w:tc>
        <w:tc>
          <w:tcPr>
            <w:tcW w:w="1816" w:type="dxa"/>
            <w:gridSpan w:val="4"/>
            <w:tcMar>
              <w:left w:w="57" w:type="dxa"/>
              <w:right w:w="57" w:type="dxa"/>
            </w:tcMar>
            <w:vAlign w:val="center"/>
          </w:tcPr>
          <w:p w14:paraId="7873377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987" w:type="dxa"/>
            <w:gridSpan w:val="3"/>
            <w:tcMar>
              <w:left w:w="57" w:type="dxa"/>
              <w:right w:w="57" w:type="dxa"/>
            </w:tcMar>
            <w:vAlign w:val="center"/>
          </w:tcPr>
          <w:p w14:paraId="25FAEE9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56F4999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2F5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89EF36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0AAEE85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9747B7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63AA9D9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信访件按期办结率</w:t>
            </w:r>
          </w:p>
        </w:tc>
        <w:tc>
          <w:tcPr>
            <w:tcW w:w="1816" w:type="dxa"/>
            <w:gridSpan w:val="4"/>
            <w:tcMar>
              <w:left w:w="57" w:type="dxa"/>
              <w:right w:w="57" w:type="dxa"/>
            </w:tcMar>
            <w:vAlign w:val="center"/>
          </w:tcPr>
          <w:p w14:paraId="326FE43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987" w:type="dxa"/>
            <w:gridSpan w:val="3"/>
            <w:tcMar>
              <w:left w:w="57" w:type="dxa"/>
              <w:right w:w="57" w:type="dxa"/>
            </w:tcMar>
            <w:vAlign w:val="center"/>
          </w:tcPr>
          <w:p w14:paraId="0F42DDF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4F8034E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612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397" w:type="dxa"/>
            <w:vMerge w:val="continue"/>
            <w:tcMar>
              <w:left w:w="57" w:type="dxa"/>
              <w:right w:w="57" w:type="dxa"/>
            </w:tcMar>
            <w:vAlign w:val="center"/>
          </w:tcPr>
          <w:p w14:paraId="4F505F8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0C60541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社会</w:t>
            </w:r>
          </w:p>
          <w:p w14:paraId="0C2ED88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效应</w:t>
            </w:r>
          </w:p>
        </w:tc>
        <w:tc>
          <w:tcPr>
            <w:tcW w:w="1389" w:type="dxa"/>
            <w:gridSpan w:val="2"/>
            <w:tcMar>
              <w:left w:w="57" w:type="dxa"/>
              <w:right w:w="57" w:type="dxa"/>
            </w:tcMar>
            <w:vAlign w:val="center"/>
          </w:tcPr>
          <w:p w14:paraId="2CFFEBF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经济效益</w:t>
            </w:r>
          </w:p>
        </w:tc>
        <w:tc>
          <w:tcPr>
            <w:tcW w:w="1518" w:type="dxa"/>
            <w:gridSpan w:val="2"/>
            <w:tcMar>
              <w:left w:w="57" w:type="dxa"/>
              <w:right w:w="57" w:type="dxa"/>
            </w:tcMar>
            <w:vAlign w:val="center"/>
          </w:tcPr>
          <w:p w14:paraId="44609257">
            <w:pPr>
              <w:keepNext w:val="0"/>
              <w:keepLines w:val="0"/>
              <w:pageBreakBefore w:val="0"/>
              <w:widowControl/>
              <w:kinsoku/>
              <w:wordWrap/>
              <w:overflowPunct/>
              <w:topLinePunct w:val="0"/>
              <w:autoSpaceDE/>
              <w:bidi w:val="0"/>
              <w:spacing w:line="600" w:lineRule="exact"/>
              <w:jc w:val="left"/>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营商环境</w:t>
            </w:r>
            <w:r>
              <w:rPr>
                <w:rFonts w:hint="eastAsia" w:ascii="宋体" w:hAnsi="宋体" w:cs="宋体"/>
                <w:color w:val="000000"/>
                <w:kern w:val="0"/>
                <w:sz w:val="20"/>
                <w:szCs w:val="20"/>
                <w:lang w:eastAsia="zh-CN"/>
              </w:rPr>
              <w:t>投诉量产上年下降</w:t>
            </w:r>
          </w:p>
        </w:tc>
        <w:tc>
          <w:tcPr>
            <w:tcW w:w="1816" w:type="dxa"/>
            <w:gridSpan w:val="4"/>
            <w:tcMar>
              <w:left w:w="57" w:type="dxa"/>
              <w:right w:w="57" w:type="dxa"/>
            </w:tcMar>
            <w:vAlign w:val="center"/>
          </w:tcPr>
          <w:p w14:paraId="374C417D">
            <w:pPr>
              <w:keepNext w:val="0"/>
              <w:keepLines w:val="0"/>
              <w:pageBreakBefore w:val="0"/>
              <w:widowControl/>
              <w:kinsoku/>
              <w:wordWrap/>
              <w:overflowPunct/>
              <w:topLinePunct w:val="0"/>
              <w:autoSpaceDE/>
              <w:bidi w:val="0"/>
              <w:spacing w:line="600" w:lineRule="exact"/>
              <w:jc w:val="left"/>
              <w:textAlignment w:val="center"/>
              <w:rPr>
                <w:rFonts w:ascii="宋体" w:hAnsi="宋体" w:cs="宋体"/>
                <w:color w:val="000000"/>
                <w:kern w:val="0"/>
                <w:sz w:val="20"/>
                <w:szCs w:val="20"/>
              </w:rPr>
            </w:pPr>
            <w:r>
              <w:rPr>
                <w:rFonts w:hint="eastAsia" w:ascii="仿宋_GB2312" w:hAnsi="宋体" w:eastAsia="仿宋_GB2312" w:cs="仿宋_GB2312"/>
                <w:kern w:val="0"/>
              </w:rPr>
              <w:t>对经济建设工作产生良好的社会影响</w:t>
            </w:r>
          </w:p>
        </w:tc>
        <w:tc>
          <w:tcPr>
            <w:tcW w:w="987" w:type="dxa"/>
            <w:gridSpan w:val="3"/>
            <w:tcMar>
              <w:left w:w="57" w:type="dxa"/>
              <w:right w:w="57" w:type="dxa"/>
            </w:tcMar>
            <w:vAlign w:val="center"/>
          </w:tcPr>
          <w:p w14:paraId="14E55A2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26591A32">
            <w:pPr>
              <w:keepNext w:val="0"/>
              <w:keepLines w:val="0"/>
              <w:pageBreakBefore w:val="0"/>
              <w:widowControl/>
              <w:kinsoku/>
              <w:wordWrap/>
              <w:overflowPunct/>
              <w:topLinePunct w:val="0"/>
              <w:autoSpaceDE/>
              <w:bidi w:val="0"/>
              <w:snapToGrid w:val="0"/>
              <w:spacing w:line="600" w:lineRule="exact"/>
              <w:jc w:val="both"/>
              <w:rPr>
                <w:rFonts w:hint="eastAsia" w:ascii="仿宋_GB2312" w:hAnsi="宋体" w:eastAsia="仿宋_GB2312" w:cs="仿宋_GB2312"/>
                <w:kern w:val="0"/>
                <w:lang w:eastAsia="zh-CN"/>
              </w:rPr>
            </w:pPr>
            <w:r>
              <w:rPr>
                <w:rFonts w:hint="eastAsia" w:ascii="仿宋_GB2312" w:hAnsi="宋体" w:eastAsia="仿宋_GB2312" w:cs="仿宋_GB2312"/>
                <w:kern w:val="0"/>
                <w:lang w:eastAsia="zh-CN"/>
              </w:rPr>
              <w:t>计划标准</w:t>
            </w:r>
          </w:p>
        </w:tc>
      </w:tr>
      <w:tr w14:paraId="460B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397" w:type="dxa"/>
            <w:vMerge w:val="continue"/>
            <w:tcMar>
              <w:left w:w="57" w:type="dxa"/>
              <w:right w:w="57" w:type="dxa"/>
            </w:tcMar>
            <w:vAlign w:val="center"/>
          </w:tcPr>
          <w:p w14:paraId="6646728D">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87F812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2B6496B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社会效益</w:t>
            </w:r>
          </w:p>
        </w:tc>
        <w:tc>
          <w:tcPr>
            <w:tcW w:w="1518" w:type="dxa"/>
            <w:gridSpan w:val="2"/>
            <w:tcMar>
              <w:left w:w="57" w:type="dxa"/>
              <w:right w:w="57" w:type="dxa"/>
            </w:tcMar>
            <w:vAlign w:val="center"/>
          </w:tcPr>
          <w:p w14:paraId="227BC619">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宋体" w:hAnsi="宋体" w:cs="宋体"/>
                <w:color w:val="000000"/>
                <w:kern w:val="0"/>
                <w:sz w:val="20"/>
                <w:szCs w:val="20"/>
              </w:rPr>
              <w:t>全市信访量</w:t>
            </w:r>
          </w:p>
        </w:tc>
        <w:tc>
          <w:tcPr>
            <w:tcW w:w="1816" w:type="dxa"/>
            <w:gridSpan w:val="4"/>
            <w:tcMar>
              <w:left w:w="57" w:type="dxa"/>
              <w:right w:w="57" w:type="dxa"/>
            </w:tcMar>
            <w:vAlign w:val="center"/>
          </w:tcPr>
          <w:p w14:paraId="03FC9489">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宋体" w:hAnsi="宋体" w:cs="宋体"/>
                <w:color w:val="000000"/>
                <w:kern w:val="0"/>
                <w:sz w:val="20"/>
                <w:szCs w:val="20"/>
              </w:rPr>
              <w:t>信访总量持平，形势平稳可控</w:t>
            </w:r>
          </w:p>
        </w:tc>
        <w:tc>
          <w:tcPr>
            <w:tcW w:w="987" w:type="dxa"/>
            <w:gridSpan w:val="3"/>
            <w:tcMar>
              <w:left w:w="57" w:type="dxa"/>
              <w:right w:w="57" w:type="dxa"/>
            </w:tcMar>
            <w:vAlign w:val="center"/>
          </w:tcPr>
          <w:p w14:paraId="02442FB3">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746ED108">
            <w:pPr>
              <w:keepNext w:val="0"/>
              <w:keepLines w:val="0"/>
              <w:pageBreakBefore w:val="0"/>
              <w:kinsoku/>
              <w:wordWrap/>
              <w:overflowPunct/>
              <w:topLinePunct w:val="0"/>
              <w:autoSpaceDE/>
              <w:bidi w:val="0"/>
              <w:spacing w:line="600" w:lineRule="exact"/>
              <w:rPr>
                <w:rFonts w:ascii="仿宋_GB2312" w:hAnsi="宋体" w:eastAsia="仿宋_GB2312" w:cs="仿宋_GB2312"/>
                <w:kern w:val="0"/>
              </w:rPr>
            </w:pPr>
            <w:r>
              <w:rPr>
                <w:rFonts w:hint="eastAsia" w:ascii="仿宋_GB2312" w:hAnsi="宋体" w:eastAsia="仿宋_GB2312" w:cs="仿宋_GB2312"/>
                <w:kern w:val="0"/>
                <w:lang w:eastAsia="zh-CN"/>
              </w:rPr>
              <w:t>计划标准</w:t>
            </w:r>
          </w:p>
        </w:tc>
      </w:tr>
      <w:tr w14:paraId="2A1E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5478235">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0C6910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33B289E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生态效益</w:t>
            </w:r>
          </w:p>
        </w:tc>
        <w:tc>
          <w:tcPr>
            <w:tcW w:w="1518" w:type="dxa"/>
            <w:gridSpan w:val="2"/>
            <w:tcMar>
              <w:left w:w="57" w:type="dxa"/>
              <w:right w:w="57" w:type="dxa"/>
            </w:tcMar>
            <w:vAlign w:val="center"/>
          </w:tcPr>
          <w:p w14:paraId="1256E6C1">
            <w:pPr>
              <w:keepNext w:val="0"/>
              <w:keepLines w:val="0"/>
              <w:pageBreakBefore w:val="0"/>
              <w:widowControl/>
              <w:kinsoku/>
              <w:wordWrap/>
              <w:overflowPunct/>
              <w:topLinePunct w:val="0"/>
              <w:autoSpaceDE/>
              <w:bidi w:val="0"/>
              <w:snapToGrid w:val="0"/>
              <w:spacing w:line="600" w:lineRule="exact"/>
              <w:jc w:val="center"/>
              <w:rPr>
                <w:rFonts w:hint="eastAsia" w:ascii="仿宋_GB2312" w:hAnsi="宋体" w:eastAsia="仿宋_GB2312" w:cs="仿宋_GB2312"/>
                <w:kern w:val="0"/>
                <w:lang w:eastAsia="zh-CN"/>
              </w:rPr>
            </w:pPr>
            <w:r>
              <w:rPr>
                <w:rFonts w:hint="eastAsia" w:ascii="仿宋_GB2312" w:hAnsi="宋体" w:eastAsia="仿宋_GB2312" w:cs="仿宋_GB2312"/>
                <w:kern w:val="0"/>
                <w:lang w:eastAsia="zh-CN"/>
              </w:rPr>
              <w:t>生态环境相关信访量较上年下降</w:t>
            </w:r>
          </w:p>
        </w:tc>
        <w:tc>
          <w:tcPr>
            <w:tcW w:w="1816" w:type="dxa"/>
            <w:gridSpan w:val="4"/>
            <w:tcMar>
              <w:left w:w="57" w:type="dxa"/>
              <w:right w:w="57" w:type="dxa"/>
            </w:tcMar>
            <w:vAlign w:val="center"/>
          </w:tcPr>
          <w:p w14:paraId="20DAA08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987" w:type="dxa"/>
            <w:gridSpan w:val="3"/>
            <w:tcMar>
              <w:left w:w="57" w:type="dxa"/>
              <w:right w:w="57" w:type="dxa"/>
            </w:tcMar>
            <w:vAlign w:val="center"/>
          </w:tcPr>
          <w:p w14:paraId="6B9E529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3734255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lang w:eastAsia="zh-CN"/>
              </w:rPr>
              <w:t>计划标准</w:t>
            </w:r>
          </w:p>
        </w:tc>
      </w:tr>
      <w:tr w14:paraId="6484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3A62452">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7EFAD98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可持续发展能力</w:t>
            </w:r>
          </w:p>
        </w:tc>
        <w:tc>
          <w:tcPr>
            <w:tcW w:w="1389" w:type="dxa"/>
            <w:gridSpan w:val="2"/>
            <w:vMerge w:val="restart"/>
            <w:tcMar>
              <w:left w:w="57" w:type="dxa"/>
              <w:right w:w="57" w:type="dxa"/>
            </w:tcMar>
            <w:vAlign w:val="center"/>
          </w:tcPr>
          <w:p w14:paraId="5A08FEA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体制机制改革</w:t>
            </w:r>
          </w:p>
        </w:tc>
        <w:tc>
          <w:tcPr>
            <w:tcW w:w="1518" w:type="dxa"/>
            <w:gridSpan w:val="2"/>
            <w:tcMar>
              <w:left w:w="57" w:type="dxa"/>
              <w:right w:w="57" w:type="dxa"/>
            </w:tcMar>
            <w:vAlign w:val="center"/>
          </w:tcPr>
          <w:p w14:paraId="51BF9A9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服务体制改革成效</w:t>
            </w:r>
          </w:p>
        </w:tc>
        <w:tc>
          <w:tcPr>
            <w:tcW w:w="1816" w:type="dxa"/>
            <w:gridSpan w:val="4"/>
            <w:tcMar>
              <w:left w:w="57" w:type="dxa"/>
              <w:right w:w="57" w:type="dxa"/>
            </w:tcMar>
            <w:vAlign w:val="center"/>
          </w:tcPr>
          <w:p w14:paraId="24877C0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服务体制改革成效</w:t>
            </w:r>
          </w:p>
        </w:tc>
        <w:tc>
          <w:tcPr>
            <w:tcW w:w="987" w:type="dxa"/>
            <w:gridSpan w:val="3"/>
            <w:tcMar>
              <w:left w:w="57" w:type="dxa"/>
              <w:right w:w="57" w:type="dxa"/>
            </w:tcMar>
            <w:vAlign w:val="center"/>
          </w:tcPr>
          <w:p w14:paraId="2112C9E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1018" w:type="dxa"/>
            <w:gridSpan w:val="2"/>
            <w:tcMar>
              <w:left w:w="57" w:type="dxa"/>
              <w:right w:w="57" w:type="dxa"/>
            </w:tcMar>
            <w:vAlign w:val="center"/>
          </w:tcPr>
          <w:p w14:paraId="3DB958A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r>
      <w:tr w14:paraId="26BB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CD09D5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843A89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509BF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0FDBF1C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行政管理体制改革成效</w:t>
            </w:r>
          </w:p>
        </w:tc>
        <w:tc>
          <w:tcPr>
            <w:tcW w:w="1816" w:type="dxa"/>
            <w:gridSpan w:val="4"/>
            <w:tcMar>
              <w:left w:w="57" w:type="dxa"/>
              <w:right w:w="57" w:type="dxa"/>
            </w:tcMar>
            <w:vAlign w:val="center"/>
          </w:tcPr>
          <w:p w14:paraId="3C2570C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行政管理体制改革成效</w:t>
            </w:r>
          </w:p>
        </w:tc>
        <w:tc>
          <w:tcPr>
            <w:tcW w:w="987" w:type="dxa"/>
            <w:gridSpan w:val="3"/>
            <w:tcMar>
              <w:left w:w="57" w:type="dxa"/>
              <w:right w:w="57" w:type="dxa"/>
            </w:tcMar>
            <w:vAlign w:val="center"/>
          </w:tcPr>
          <w:p w14:paraId="1597E1C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明显</w:t>
            </w:r>
          </w:p>
        </w:tc>
        <w:tc>
          <w:tcPr>
            <w:tcW w:w="1018" w:type="dxa"/>
            <w:gridSpan w:val="2"/>
            <w:tcMar>
              <w:left w:w="57" w:type="dxa"/>
              <w:right w:w="57" w:type="dxa"/>
            </w:tcMar>
            <w:vAlign w:val="center"/>
          </w:tcPr>
          <w:p w14:paraId="56F8050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r>
      <w:tr w14:paraId="3E14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24E63B6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B1D47B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753D521">
            <w:pPr>
              <w:keepNext w:val="0"/>
              <w:keepLines w:val="0"/>
              <w:pageBreakBefore w:val="0"/>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人才支撑</w:t>
            </w:r>
          </w:p>
        </w:tc>
        <w:tc>
          <w:tcPr>
            <w:tcW w:w="1518" w:type="dxa"/>
            <w:gridSpan w:val="2"/>
            <w:tcMar>
              <w:left w:w="57" w:type="dxa"/>
              <w:right w:w="57" w:type="dxa"/>
            </w:tcMar>
            <w:vAlign w:val="center"/>
          </w:tcPr>
          <w:p w14:paraId="0AE34CD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业务学习与培训完成率</w:t>
            </w:r>
          </w:p>
        </w:tc>
        <w:tc>
          <w:tcPr>
            <w:tcW w:w="1816" w:type="dxa"/>
            <w:gridSpan w:val="4"/>
            <w:tcMar>
              <w:left w:w="57" w:type="dxa"/>
              <w:right w:w="57" w:type="dxa"/>
            </w:tcMar>
            <w:vAlign w:val="center"/>
          </w:tcPr>
          <w:p w14:paraId="598353A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987" w:type="dxa"/>
            <w:gridSpan w:val="3"/>
            <w:tcMar>
              <w:left w:w="57" w:type="dxa"/>
              <w:right w:w="57" w:type="dxa"/>
            </w:tcMar>
            <w:vAlign w:val="center"/>
          </w:tcPr>
          <w:p w14:paraId="0D4080F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1018" w:type="dxa"/>
            <w:gridSpan w:val="2"/>
            <w:tcMar>
              <w:left w:w="57" w:type="dxa"/>
              <w:right w:w="57" w:type="dxa"/>
            </w:tcMar>
            <w:vAlign w:val="center"/>
          </w:tcPr>
          <w:p w14:paraId="0096B37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7547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D1D32E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848064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58DCDE5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4F0C404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干部队伍体系建设规划情况</w:t>
            </w:r>
          </w:p>
        </w:tc>
        <w:tc>
          <w:tcPr>
            <w:tcW w:w="1816" w:type="dxa"/>
            <w:gridSpan w:val="4"/>
            <w:tcMar>
              <w:left w:w="57" w:type="dxa"/>
              <w:right w:w="57" w:type="dxa"/>
            </w:tcMar>
            <w:vAlign w:val="center"/>
          </w:tcPr>
          <w:p w14:paraId="15D1ECD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987" w:type="dxa"/>
            <w:gridSpan w:val="3"/>
            <w:tcMar>
              <w:left w:w="57" w:type="dxa"/>
              <w:right w:w="57" w:type="dxa"/>
            </w:tcMar>
            <w:vAlign w:val="center"/>
          </w:tcPr>
          <w:p w14:paraId="522ECCC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1018" w:type="dxa"/>
            <w:gridSpan w:val="2"/>
            <w:tcMar>
              <w:left w:w="57" w:type="dxa"/>
              <w:right w:w="57" w:type="dxa"/>
            </w:tcMar>
            <w:vAlign w:val="center"/>
          </w:tcPr>
          <w:p w14:paraId="24BBD12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FE9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228DC1A5">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1E950F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40497E5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4635666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高学历、高层次人才储备率</w:t>
            </w:r>
          </w:p>
        </w:tc>
        <w:tc>
          <w:tcPr>
            <w:tcW w:w="1816" w:type="dxa"/>
            <w:gridSpan w:val="4"/>
            <w:tcMar>
              <w:left w:w="57" w:type="dxa"/>
              <w:right w:w="57" w:type="dxa"/>
            </w:tcMar>
            <w:vAlign w:val="center"/>
          </w:tcPr>
          <w:p w14:paraId="21594DC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≥70%</w:t>
            </w:r>
          </w:p>
        </w:tc>
        <w:tc>
          <w:tcPr>
            <w:tcW w:w="987" w:type="dxa"/>
            <w:gridSpan w:val="3"/>
            <w:tcMar>
              <w:left w:w="57" w:type="dxa"/>
              <w:right w:w="57" w:type="dxa"/>
            </w:tcMar>
            <w:vAlign w:val="center"/>
          </w:tcPr>
          <w:p w14:paraId="2B94CEF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1018" w:type="dxa"/>
            <w:gridSpan w:val="2"/>
            <w:tcMar>
              <w:left w:w="57" w:type="dxa"/>
              <w:right w:w="57" w:type="dxa"/>
            </w:tcMar>
            <w:vAlign w:val="center"/>
          </w:tcPr>
          <w:p w14:paraId="263F276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1491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97" w:type="dxa"/>
            <w:vMerge w:val="continue"/>
            <w:tcMar>
              <w:left w:w="57" w:type="dxa"/>
              <w:right w:w="57" w:type="dxa"/>
            </w:tcMar>
            <w:vAlign w:val="center"/>
          </w:tcPr>
          <w:p w14:paraId="4A02590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44DC7E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6C4541F2">
            <w:pPr>
              <w:keepNext w:val="0"/>
              <w:keepLines w:val="0"/>
              <w:pageBreakBefore w:val="0"/>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科技支撑</w:t>
            </w:r>
          </w:p>
        </w:tc>
        <w:tc>
          <w:tcPr>
            <w:tcW w:w="1518" w:type="dxa"/>
            <w:gridSpan w:val="2"/>
            <w:tcMar>
              <w:left w:w="57" w:type="dxa"/>
              <w:right w:w="57" w:type="dxa"/>
            </w:tcMar>
            <w:vAlign w:val="center"/>
          </w:tcPr>
          <w:p w14:paraId="12D7243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信息化建设情况</w:t>
            </w:r>
          </w:p>
        </w:tc>
        <w:tc>
          <w:tcPr>
            <w:tcW w:w="1816" w:type="dxa"/>
            <w:gridSpan w:val="4"/>
            <w:tcMar>
              <w:left w:w="57" w:type="dxa"/>
              <w:right w:w="57" w:type="dxa"/>
            </w:tcMar>
            <w:vAlign w:val="center"/>
          </w:tcPr>
          <w:p w14:paraId="1ABF7F7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完全合规</w:t>
            </w:r>
          </w:p>
        </w:tc>
        <w:tc>
          <w:tcPr>
            <w:tcW w:w="987" w:type="dxa"/>
            <w:gridSpan w:val="3"/>
            <w:tcMar>
              <w:left w:w="57" w:type="dxa"/>
              <w:right w:w="57" w:type="dxa"/>
            </w:tcMar>
            <w:vAlign w:val="center"/>
          </w:tcPr>
          <w:p w14:paraId="396EE10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1018" w:type="dxa"/>
            <w:gridSpan w:val="2"/>
            <w:tcMar>
              <w:left w:w="57" w:type="dxa"/>
              <w:right w:w="57" w:type="dxa"/>
            </w:tcMar>
            <w:vAlign w:val="center"/>
          </w:tcPr>
          <w:p w14:paraId="68CD4C9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BF3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DB1DB8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4608C34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满意度</w:t>
            </w:r>
          </w:p>
        </w:tc>
        <w:tc>
          <w:tcPr>
            <w:tcW w:w="1389" w:type="dxa"/>
            <w:gridSpan w:val="2"/>
            <w:tcMar>
              <w:left w:w="57" w:type="dxa"/>
              <w:right w:w="57" w:type="dxa"/>
            </w:tcMar>
            <w:vAlign w:val="center"/>
          </w:tcPr>
          <w:p w14:paraId="5FD53FF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服务对象满意度</w:t>
            </w:r>
          </w:p>
        </w:tc>
        <w:tc>
          <w:tcPr>
            <w:tcW w:w="1518" w:type="dxa"/>
            <w:gridSpan w:val="2"/>
            <w:tcMar>
              <w:left w:w="57" w:type="dxa"/>
              <w:right w:w="57" w:type="dxa"/>
            </w:tcMar>
            <w:vAlign w:val="center"/>
          </w:tcPr>
          <w:p w14:paraId="570FAAA6">
            <w:pPr>
              <w:keepNext w:val="0"/>
              <w:keepLines w:val="0"/>
              <w:pageBreakBefore w:val="0"/>
              <w:widowControl/>
              <w:kinsoku/>
              <w:wordWrap/>
              <w:overflowPunct/>
              <w:topLinePunct w:val="0"/>
              <w:autoSpaceDE/>
              <w:bidi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信访群众满意率</w:t>
            </w:r>
          </w:p>
        </w:tc>
        <w:tc>
          <w:tcPr>
            <w:tcW w:w="1816" w:type="dxa"/>
            <w:gridSpan w:val="4"/>
            <w:tcMar>
              <w:left w:w="57" w:type="dxa"/>
              <w:right w:w="57" w:type="dxa"/>
            </w:tcMar>
            <w:vAlign w:val="center"/>
          </w:tcPr>
          <w:p w14:paraId="0604C862">
            <w:pPr>
              <w:keepNext w:val="0"/>
              <w:keepLines w:val="0"/>
              <w:pageBreakBefore w:val="0"/>
              <w:widowControl/>
              <w:kinsoku/>
              <w:wordWrap/>
              <w:overflowPunct/>
              <w:topLinePunct w:val="0"/>
              <w:autoSpaceDE/>
              <w:bidi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95%</w:t>
            </w:r>
          </w:p>
        </w:tc>
        <w:tc>
          <w:tcPr>
            <w:tcW w:w="987" w:type="dxa"/>
            <w:gridSpan w:val="3"/>
            <w:tcMar>
              <w:left w:w="57" w:type="dxa"/>
              <w:right w:w="57" w:type="dxa"/>
            </w:tcMar>
            <w:vAlign w:val="center"/>
          </w:tcPr>
          <w:p w14:paraId="320B8CB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2F6EE13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359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DD1B5B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BBBA84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08A9F06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联系部门满意度</w:t>
            </w:r>
          </w:p>
        </w:tc>
        <w:tc>
          <w:tcPr>
            <w:tcW w:w="1518" w:type="dxa"/>
            <w:gridSpan w:val="2"/>
            <w:tcMar>
              <w:left w:w="57" w:type="dxa"/>
              <w:right w:w="57" w:type="dxa"/>
            </w:tcMar>
            <w:vAlign w:val="center"/>
          </w:tcPr>
          <w:p w14:paraId="6EBDE55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包保企业满意率</w:t>
            </w:r>
          </w:p>
        </w:tc>
        <w:tc>
          <w:tcPr>
            <w:tcW w:w="1816" w:type="dxa"/>
            <w:gridSpan w:val="4"/>
            <w:tcMar>
              <w:left w:w="57" w:type="dxa"/>
              <w:right w:w="57" w:type="dxa"/>
            </w:tcMar>
            <w:vAlign w:val="center"/>
          </w:tcPr>
          <w:p w14:paraId="1947189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95%</w:t>
            </w:r>
          </w:p>
        </w:tc>
        <w:tc>
          <w:tcPr>
            <w:tcW w:w="987" w:type="dxa"/>
            <w:gridSpan w:val="3"/>
            <w:tcMar>
              <w:left w:w="57" w:type="dxa"/>
              <w:right w:w="57" w:type="dxa"/>
            </w:tcMar>
            <w:vAlign w:val="center"/>
          </w:tcPr>
          <w:p w14:paraId="3842012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1018" w:type="dxa"/>
            <w:gridSpan w:val="2"/>
            <w:tcMar>
              <w:left w:w="57" w:type="dxa"/>
              <w:right w:w="57" w:type="dxa"/>
            </w:tcMar>
            <w:vAlign w:val="center"/>
          </w:tcPr>
          <w:p w14:paraId="50D8BE8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21F6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97" w:type="dxa"/>
            <w:tcMar>
              <w:left w:w="57" w:type="dxa"/>
              <w:right w:w="57" w:type="dxa"/>
            </w:tcMar>
            <w:vAlign w:val="center"/>
          </w:tcPr>
          <w:p w14:paraId="1CB6003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b/>
                <w:bCs/>
                <w:kern w:val="0"/>
              </w:rPr>
            </w:pPr>
            <w:r>
              <w:rPr>
                <w:rFonts w:hint="eastAsia" w:ascii="仿宋_GB2312" w:hAnsi="宋体" w:eastAsia="仿宋_GB2312" w:cs="仿宋_GB2312"/>
                <w:b/>
                <w:bCs/>
                <w:kern w:val="0"/>
              </w:rPr>
              <w:t>年度目标：</w:t>
            </w:r>
          </w:p>
        </w:tc>
        <w:tc>
          <w:tcPr>
            <w:tcW w:w="7551" w:type="dxa"/>
            <w:gridSpan w:val="15"/>
            <w:tcMar>
              <w:left w:w="57" w:type="dxa"/>
              <w:right w:w="57" w:type="dxa"/>
            </w:tcMar>
            <w:vAlign w:val="center"/>
          </w:tcPr>
          <w:p w14:paraId="5FBEB6D5">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r>
              <w:rPr>
                <w:rFonts w:hint="eastAsia" w:ascii="仿宋_GB2312" w:hAnsi="宋体" w:eastAsia="仿宋_GB2312" w:cs="仿宋_GB2312"/>
                <w:kern w:val="0"/>
              </w:rPr>
              <w:t xml:space="preserve"> 确保市信访工作领导小组办公室、市复查复核办公室、市群众来访接待中心各项工作正常运转，进京、赴省上访人员能够得到及时劝返。及时组织信访安全保障工作，全年不发生规模性聚集、不发生涉访个人极端行为、不发生因信访问题引发的负面炒作、不发生重大影响的恶性事件。</w:t>
            </w:r>
          </w:p>
        </w:tc>
      </w:tr>
      <w:tr w14:paraId="235A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restart"/>
            <w:tcMar>
              <w:left w:w="57" w:type="dxa"/>
              <w:right w:w="57" w:type="dxa"/>
            </w:tcMar>
            <w:vAlign w:val="center"/>
          </w:tcPr>
          <w:p w14:paraId="2DB5F73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年度绩效指标</w:t>
            </w:r>
          </w:p>
        </w:tc>
        <w:tc>
          <w:tcPr>
            <w:tcW w:w="823" w:type="dxa"/>
            <w:gridSpan w:val="2"/>
            <w:vMerge w:val="restart"/>
            <w:tcMar>
              <w:left w:w="57" w:type="dxa"/>
              <w:right w:w="57" w:type="dxa"/>
            </w:tcMar>
            <w:vAlign w:val="center"/>
          </w:tcPr>
          <w:p w14:paraId="5B9C30E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一级</w:t>
            </w:r>
          </w:p>
          <w:p w14:paraId="52E883B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指标</w:t>
            </w:r>
          </w:p>
        </w:tc>
        <w:tc>
          <w:tcPr>
            <w:tcW w:w="1389" w:type="dxa"/>
            <w:gridSpan w:val="2"/>
            <w:vMerge w:val="restart"/>
            <w:tcMar>
              <w:left w:w="57" w:type="dxa"/>
              <w:right w:w="57" w:type="dxa"/>
            </w:tcMar>
            <w:vAlign w:val="center"/>
          </w:tcPr>
          <w:p w14:paraId="2C97E38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二级指标</w:t>
            </w:r>
          </w:p>
        </w:tc>
        <w:tc>
          <w:tcPr>
            <w:tcW w:w="1518" w:type="dxa"/>
            <w:gridSpan w:val="2"/>
            <w:vMerge w:val="restart"/>
            <w:tcMar>
              <w:left w:w="57" w:type="dxa"/>
              <w:right w:w="57" w:type="dxa"/>
            </w:tcMar>
            <w:vAlign w:val="center"/>
          </w:tcPr>
          <w:p w14:paraId="3AE538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三级指标</w:t>
            </w:r>
          </w:p>
        </w:tc>
        <w:tc>
          <w:tcPr>
            <w:tcW w:w="644" w:type="dxa"/>
            <w:tcBorders>
              <w:right w:val="nil"/>
            </w:tcBorders>
            <w:tcMar>
              <w:left w:w="57" w:type="dxa"/>
              <w:right w:w="57" w:type="dxa"/>
            </w:tcMar>
            <w:vAlign w:val="center"/>
          </w:tcPr>
          <w:p w14:paraId="674E595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999" w:type="dxa"/>
            <w:gridSpan w:val="5"/>
            <w:tcBorders>
              <w:left w:val="nil"/>
            </w:tcBorders>
            <w:tcMar>
              <w:left w:w="57" w:type="dxa"/>
              <w:right w:w="57" w:type="dxa"/>
            </w:tcMar>
            <w:vAlign w:val="center"/>
          </w:tcPr>
          <w:p w14:paraId="4DC592C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指标值</w:t>
            </w:r>
          </w:p>
        </w:tc>
        <w:tc>
          <w:tcPr>
            <w:tcW w:w="563" w:type="dxa"/>
            <w:gridSpan w:val="2"/>
            <w:vMerge w:val="restart"/>
            <w:tcMar>
              <w:left w:w="57" w:type="dxa"/>
              <w:right w:w="57" w:type="dxa"/>
            </w:tcMar>
            <w:vAlign w:val="center"/>
          </w:tcPr>
          <w:p w14:paraId="395D85F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指标值确定依据</w:t>
            </w:r>
          </w:p>
        </w:tc>
        <w:tc>
          <w:tcPr>
            <w:tcW w:w="615" w:type="dxa"/>
            <w:vMerge w:val="restart"/>
            <w:tcMar>
              <w:left w:w="57" w:type="dxa"/>
              <w:right w:w="57" w:type="dxa"/>
            </w:tcMar>
            <w:vAlign w:val="center"/>
          </w:tcPr>
          <w:p w14:paraId="2961DD0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指标分类</w:t>
            </w:r>
          </w:p>
        </w:tc>
      </w:tr>
      <w:tr w14:paraId="1025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A1753F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C8A84A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03BC692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vMerge w:val="continue"/>
            <w:tcMar>
              <w:left w:w="57" w:type="dxa"/>
              <w:right w:w="57" w:type="dxa"/>
            </w:tcMar>
            <w:vAlign w:val="center"/>
          </w:tcPr>
          <w:p w14:paraId="04768B0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816" w:type="dxa"/>
            <w:gridSpan w:val="4"/>
            <w:tcMar>
              <w:left w:w="57" w:type="dxa"/>
              <w:right w:w="57" w:type="dxa"/>
            </w:tcMar>
            <w:vAlign w:val="center"/>
          </w:tcPr>
          <w:p w14:paraId="5F7BB6A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近两年指标值</w:t>
            </w:r>
          </w:p>
        </w:tc>
        <w:tc>
          <w:tcPr>
            <w:tcW w:w="827" w:type="dxa"/>
            <w:gridSpan w:val="2"/>
            <w:vMerge w:val="restart"/>
            <w:tcMar>
              <w:left w:w="57" w:type="dxa"/>
              <w:right w:w="57" w:type="dxa"/>
            </w:tcMar>
            <w:vAlign w:val="center"/>
          </w:tcPr>
          <w:p w14:paraId="7DE2DC2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预期当年实现值</w:t>
            </w:r>
          </w:p>
        </w:tc>
        <w:tc>
          <w:tcPr>
            <w:tcW w:w="563" w:type="dxa"/>
            <w:gridSpan w:val="2"/>
            <w:vMerge w:val="continue"/>
            <w:tcMar>
              <w:left w:w="57" w:type="dxa"/>
              <w:right w:w="57" w:type="dxa"/>
            </w:tcMar>
            <w:vAlign w:val="center"/>
          </w:tcPr>
          <w:p w14:paraId="716B48F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615" w:type="dxa"/>
            <w:vMerge w:val="continue"/>
            <w:tcMar>
              <w:left w:w="57" w:type="dxa"/>
              <w:right w:w="57" w:type="dxa"/>
            </w:tcMar>
            <w:vAlign w:val="center"/>
          </w:tcPr>
          <w:p w14:paraId="2689268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r>
      <w:tr w14:paraId="3C8C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A09564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0AB0A0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C91FF0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vMerge w:val="continue"/>
            <w:tcMar>
              <w:left w:w="57" w:type="dxa"/>
              <w:right w:w="57" w:type="dxa"/>
            </w:tcMar>
            <w:vAlign w:val="center"/>
          </w:tcPr>
          <w:p w14:paraId="107FBC9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975" w:type="dxa"/>
            <w:gridSpan w:val="3"/>
            <w:tcMar>
              <w:left w:w="57" w:type="dxa"/>
              <w:right w:w="57" w:type="dxa"/>
            </w:tcMar>
            <w:vAlign w:val="center"/>
          </w:tcPr>
          <w:p w14:paraId="39BE90B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u w:val="single"/>
              </w:rPr>
              <w:t>2024</w:t>
            </w:r>
            <w:r>
              <w:rPr>
                <w:rFonts w:ascii="仿宋_GB2312" w:hAnsi="宋体" w:eastAsia="仿宋_GB2312" w:cs="仿宋_GB2312"/>
                <w:kern w:val="0"/>
                <w:u w:val="single"/>
              </w:rPr>
              <w:t xml:space="preserve"> </w:t>
            </w:r>
            <w:r>
              <w:rPr>
                <w:rFonts w:hint="eastAsia" w:ascii="仿宋_GB2312" w:hAnsi="宋体" w:eastAsia="仿宋_GB2312" w:cs="仿宋_GB2312"/>
                <w:kern w:val="0"/>
              </w:rPr>
              <w:t>年</w:t>
            </w:r>
          </w:p>
        </w:tc>
        <w:tc>
          <w:tcPr>
            <w:tcW w:w="841" w:type="dxa"/>
            <w:tcMar>
              <w:left w:w="57" w:type="dxa"/>
              <w:right w:w="57" w:type="dxa"/>
            </w:tcMar>
            <w:vAlign w:val="center"/>
          </w:tcPr>
          <w:p w14:paraId="3BE6920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u w:val="single"/>
              </w:rPr>
              <w:t>2025</w:t>
            </w:r>
            <w:r>
              <w:rPr>
                <w:rFonts w:ascii="仿宋_GB2312" w:hAnsi="宋体" w:eastAsia="仿宋_GB2312" w:cs="仿宋_GB2312"/>
                <w:kern w:val="0"/>
                <w:u w:val="single"/>
              </w:rPr>
              <w:t xml:space="preserve"> </w:t>
            </w:r>
            <w:r>
              <w:rPr>
                <w:rFonts w:hint="eastAsia" w:ascii="仿宋_GB2312" w:hAnsi="宋体" w:eastAsia="仿宋_GB2312" w:cs="仿宋_GB2312"/>
                <w:kern w:val="0"/>
              </w:rPr>
              <w:t>年</w:t>
            </w:r>
          </w:p>
        </w:tc>
        <w:tc>
          <w:tcPr>
            <w:tcW w:w="827" w:type="dxa"/>
            <w:gridSpan w:val="2"/>
            <w:vMerge w:val="continue"/>
            <w:tcMar>
              <w:left w:w="57" w:type="dxa"/>
              <w:right w:w="57" w:type="dxa"/>
            </w:tcMar>
            <w:vAlign w:val="center"/>
          </w:tcPr>
          <w:p w14:paraId="1D645EA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563" w:type="dxa"/>
            <w:gridSpan w:val="2"/>
            <w:vMerge w:val="continue"/>
            <w:tcMar>
              <w:left w:w="57" w:type="dxa"/>
              <w:right w:w="57" w:type="dxa"/>
            </w:tcMar>
            <w:vAlign w:val="center"/>
          </w:tcPr>
          <w:p w14:paraId="76E98D2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615" w:type="dxa"/>
            <w:vMerge w:val="continue"/>
            <w:tcBorders>
              <w:left w:val="nil"/>
            </w:tcBorders>
            <w:tcMar>
              <w:left w:w="57" w:type="dxa"/>
              <w:right w:w="57" w:type="dxa"/>
            </w:tcMar>
            <w:vAlign w:val="center"/>
          </w:tcPr>
          <w:p w14:paraId="45CC32B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r>
      <w:tr w14:paraId="411C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4CDC9D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2403347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运行</w:t>
            </w:r>
          </w:p>
          <w:p w14:paraId="0C3A72E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成本</w:t>
            </w:r>
          </w:p>
        </w:tc>
        <w:tc>
          <w:tcPr>
            <w:tcW w:w="1389" w:type="dxa"/>
            <w:gridSpan w:val="2"/>
            <w:tcMar>
              <w:left w:w="57" w:type="dxa"/>
              <w:right w:w="57" w:type="dxa"/>
            </w:tcMar>
            <w:vAlign w:val="center"/>
          </w:tcPr>
          <w:p w14:paraId="70C96BA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rPr>
              <w:t>公用经费控制</w:t>
            </w:r>
          </w:p>
        </w:tc>
        <w:tc>
          <w:tcPr>
            <w:tcW w:w="1518" w:type="dxa"/>
            <w:gridSpan w:val="2"/>
            <w:tcMar>
              <w:left w:w="57" w:type="dxa"/>
              <w:right w:w="57" w:type="dxa"/>
            </w:tcMar>
            <w:vAlign w:val="center"/>
          </w:tcPr>
          <w:p w14:paraId="13F1BAD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公用经费控制率</w:t>
            </w:r>
          </w:p>
        </w:tc>
        <w:tc>
          <w:tcPr>
            <w:tcW w:w="975" w:type="dxa"/>
            <w:gridSpan w:val="3"/>
            <w:tcMar>
              <w:left w:w="57" w:type="dxa"/>
              <w:right w:w="57" w:type="dxa"/>
            </w:tcMar>
            <w:vAlign w:val="center"/>
          </w:tcPr>
          <w:p w14:paraId="2C7AE03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05D8910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7C8FF19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5F6B753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2D41CBE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0324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AC771D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AB35C5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6FD8821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rPr>
              <w:t>在职人员控制</w:t>
            </w:r>
          </w:p>
        </w:tc>
        <w:tc>
          <w:tcPr>
            <w:tcW w:w="1518" w:type="dxa"/>
            <w:gridSpan w:val="2"/>
            <w:tcMar>
              <w:left w:w="57" w:type="dxa"/>
              <w:right w:w="57" w:type="dxa"/>
            </w:tcMar>
            <w:vAlign w:val="center"/>
          </w:tcPr>
          <w:p w14:paraId="6449A52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在职人员控制率</w:t>
            </w:r>
          </w:p>
        </w:tc>
        <w:tc>
          <w:tcPr>
            <w:tcW w:w="975" w:type="dxa"/>
            <w:gridSpan w:val="3"/>
            <w:tcMar>
              <w:left w:w="57" w:type="dxa"/>
              <w:right w:w="57" w:type="dxa"/>
            </w:tcMar>
            <w:vAlign w:val="center"/>
          </w:tcPr>
          <w:p w14:paraId="258A070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bCs/>
                <w:color w:val="000000"/>
                <w:kern w:val="0"/>
                <w:szCs w:val="21"/>
              </w:rPr>
              <w:t>100%</w:t>
            </w:r>
          </w:p>
        </w:tc>
        <w:tc>
          <w:tcPr>
            <w:tcW w:w="841" w:type="dxa"/>
            <w:tcMar>
              <w:left w:w="57" w:type="dxa"/>
              <w:right w:w="57" w:type="dxa"/>
            </w:tcMar>
            <w:vAlign w:val="center"/>
          </w:tcPr>
          <w:p w14:paraId="41E6A36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bCs/>
                <w:color w:val="000000"/>
                <w:kern w:val="0"/>
                <w:szCs w:val="21"/>
              </w:rPr>
              <w:t>100%</w:t>
            </w:r>
          </w:p>
        </w:tc>
        <w:tc>
          <w:tcPr>
            <w:tcW w:w="827" w:type="dxa"/>
            <w:gridSpan w:val="2"/>
            <w:tcMar>
              <w:left w:w="57" w:type="dxa"/>
              <w:right w:w="57" w:type="dxa"/>
            </w:tcMar>
            <w:vAlign w:val="center"/>
          </w:tcPr>
          <w:p w14:paraId="2CF36D7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bCs/>
                <w:color w:val="000000"/>
                <w:kern w:val="0"/>
                <w:szCs w:val="21"/>
              </w:rPr>
              <w:t>≤100%</w:t>
            </w:r>
          </w:p>
        </w:tc>
        <w:tc>
          <w:tcPr>
            <w:tcW w:w="563" w:type="dxa"/>
            <w:gridSpan w:val="2"/>
            <w:tcMar>
              <w:left w:w="57" w:type="dxa"/>
              <w:right w:w="57" w:type="dxa"/>
            </w:tcMar>
            <w:vAlign w:val="center"/>
          </w:tcPr>
          <w:p w14:paraId="0D603DA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8BBE90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373C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ED66E84">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82B30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4F77656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项目支出成本控制</w:t>
            </w:r>
          </w:p>
        </w:tc>
        <w:tc>
          <w:tcPr>
            <w:tcW w:w="1518" w:type="dxa"/>
            <w:gridSpan w:val="2"/>
            <w:tcMar>
              <w:left w:w="57" w:type="dxa"/>
              <w:right w:w="57" w:type="dxa"/>
            </w:tcMar>
            <w:vAlign w:val="center"/>
          </w:tcPr>
          <w:p w14:paraId="0FBB8C9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会议费控制率</w:t>
            </w:r>
          </w:p>
        </w:tc>
        <w:tc>
          <w:tcPr>
            <w:tcW w:w="975" w:type="dxa"/>
            <w:gridSpan w:val="3"/>
            <w:tcMar>
              <w:left w:w="57" w:type="dxa"/>
              <w:right w:w="57" w:type="dxa"/>
            </w:tcMar>
            <w:vAlign w:val="center"/>
          </w:tcPr>
          <w:p w14:paraId="2A54D76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2B602BB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0249AE1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0F60463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44EDA12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72EA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17544CB">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B82390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5F9058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77C5768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“三公经费”变动率</w:t>
            </w:r>
          </w:p>
        </w:tc>
        <w:tc>
          <w:tcPr>
            <w:tcW w:w="975" w:type="dxa"/>
            <w:gridSpan w:val="3"/>
            <w:tcMar>
              <w:left w:w="57" w:type="dxa"/>
              <w:right w:w="57" w:type="dxa"/>
            </w:tcMar>
            <w:vAlign w:val="center"/>
          </w:tcPr>
          <w:p w14:paraId="5D41669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841" w:type="dxa"/>
            <w:tcMar>
              <w:left w:w="57" w:type="dxa"/>
              <w:right w:w="57" w:type="dxa"/>
            </w:tcMar>
            <w:vAlign w:val="center"/>
          </w:tcPr>
          <w:p w14:paraId="269B179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827" w:type="dxa"/>
            <w:gridSpan w:val="2"/>
            <w:tcMar>
              <w:left w:w="57" w:type="dxa"/>
              <w:right w:w="57" w:type="dxa"/>
            </w:tcMar>
            <w:vAlign w:val="center"/>
          </w:tcPr>
          <w:p w14:paraId="14F6572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563" w:type="dxa"/>
            <w:gridSpan w:val="2"/>
            <w:tcMar>
              <w:left w:w="57" w:type="dxa"/>
              <w:right w:w="57" w:type="dxa"/>
            </w:tcMar>
            <w:vAlign w:val="center"/>
          </w:tcPr>
          <w:p w14:paraId="73C67C4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1BCD1BF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539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701D4E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D72A9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2EFE7C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2784070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成本控制率</w:t>
            </w:r>
          </w:p>
        </w:tc>
        <w:tc>
          <w:tcPr>
            <w:tcW w:w="975" w:type="dxa"/>
            <w:gridSpan w:val="3"/>
            <w:tcMar>
              <w:left w:w="57" w:type="dxa"/>
              <w:right w:w="57" w:type="dxa"/>
            </w:tcMar>
            <w:vAlign w:val="center"/>
          </w:tcPr>
          <w:p w14:paraId="5F4C623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443BFB2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1EB5B63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6B82A5A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357F089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07BD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684C832">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409D63F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管理</w:t>
            </w:r>
          </w:p>
          <w:p w14:paraId="3B151B0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cs="仿宋_GB2312"/>
                <w:kern w:val="0"/>
              </w:rPr>
              <w:t>效率</w:t>
            </w:r>
          </w:p>
        </w:tc>
        <w:tc>
          <w:tcPr>
            <w:tcW w:w="1389" w:type="dxa"/>
            <w:gridSpan w:val="2"/>
            <w:vMerge w:val="restart"/>
            <w:tcMar>
              <w:left w:w="57" w:type="dxa"/>
              <w:right w:w="57" w:type="dxa"/>
            </w:tcMar>
            <w:vAlign w:val="center"/>
          </w:tcPr>
          <w:p w14:paraId="20ABC15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r>
              <w:rPr>
                <w:rFonts w:hint="eastAsia" w:ascii="仿宋_GB2312" w:hAnsi="宋体" w:eastAsia="仿宋_GB2312" w:cs="仿宋_GB2312"/>
                <w:kern w:val="0"/>
              </w:rPr>
              <w:t>战略管理</w:t>
            </w:r>
          </w:p>
        </w:tc>
        <w:tc>
          <w:tcPr>
            <w:tcW w:w="1518" w:type="dxa"/>
            <w:gridSpan w:val="2"/>
            <w:tcMar>
              <w:left w:w="57" w:type="dxa"/>
              <w:right w:w="57" w:type="dxa"/>
            </w:tcMar>
            <w:vAlign w:val="center"/>
          </w:tcPr>
          <w:p w14:paraId="4E71CBB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中长期规划相符性</w:t>
            </w:r>
          </w:p>
        </w:tc>
        <w:tc>
          <w:tcPr>
            <w:tcW w:w="975" w:type="dxa"/>
            <w:gridSpan w:val="3"/>
            <w:tcMar>
              <w:left w:w="57" w:type="dxa"/>
              <w:right w:w="57" w:type="dxa"/>
            </w:tcMar>
            <w:vAlign w:val="center"/>
          </w:tcPr>
          <w:p w14:paraId="608B907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完全相符</w:t>
            </w:r>
          </w:p>
        </w:tc>
        <w:tc>
          <w:tcPr>
            <w:tcW w:w="841" w:type="dxa"/>
            <w:tcMar>
              <w:left w:w="57" w:type="dxa"/>
              <w:right w:w="57" w:type="dxa"/>
            </w:tcMar>
            <w:vAlign w:val="center"/>
          </w:tcPr>
          <w:p w14:paraId="7F5ABA3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完全相符</w:t>
            </w:r>
          </w:p>
        </w:tc>
        <w:tc>
          <w:tcPr>
            <w:tcW w:w="827" w:type="dxa"/>
            <w:gridSpan w:val="2"/>
            <w:tcMar>
              <w:left w:w="57" w:type="dxa"/>
              <w:right w:w="57" w:type="dxa"/>
            </w:tcMar>
            <w:vAlign w:val="center"/>
          </w:tcPr>
          <w:p w14:paraId="6CF7ABA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完全相符</w:t>
            </w:r>
          </w:p>
        </w:tc>
        <w:tc>
          <w:tcPr>
            <w:tcW w:w="563" w:type="dxa"/>
            <w:gridSpan w:val="2"/>
            <w:tcMar>
              <w:left w:w="57" w:type="dxa"/>
              <w:right w:w="57" w:type="dxa"/>
            </w:tcMar>
            <w:vAlign w:val="center"/>
          </w:tcPr>
          <w:p w14:paraId="7CAC401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74C0F8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4A6A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1CB8DD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5E9403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B51725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1DA7019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工作计划健全性</w:t>
            </w:r>
          </w:p>
        </w:tc>
        <w:tc>
          <w:tcPr>
            <w:tcW w:w="975" w:type="dxa"/>
            <w:gridSpan w:val="3"/>
            <w:tcMar>
              <w:left w:w="57" w:type="dxa"/>
              <w:right w:w="57" w:type="dxa"/>
            </w:tcMar>
            <w:vAlign w:val="center"/>
          </w:tcPr>
          <w:p w14:paraId="4F6546E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841" w:type="dxa"/>
            <w:tcMar>
              <w:left w:w="57" w:type="dxa"/>
              <w:right w:w="57" w:type="dxa"/>
            </w:tcMar>
            <w:vAlign w:val="center"/>
          </w:tcPr>
          <w:p w14:paraId="628F80B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827" w:type="dxa"/>
            <w:gridSpan w:val="2"/>
            <w:tcMar>
              <w:left w:w="57" w:type="dxa"/>
              <w:right w:w="57" w:type="dxa"/>
            </w:tcMar>
            <w:vAlign w:val="center"/>
          </w:tcPr>
          <w:p w14:paraId="5C860F8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563" w:type="dxa"/>
            <w:gridSpan w:val="2"/>
            <w:tcMar>
              <w:left w:w="57" w:type="dxa"/>
              <w:right w:w="57" w:type="dxa"/>
            </w:tcMar>
            <w:vAlign w:val="center"/>
          </w:tcPr>
          <w:p w14:paraId="0F77651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11439EE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500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5CC3314">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83F720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3BD8C5D1">
            <w:pPr>
              <w:keepNext w:val="0"/>
              <w:keepLines w:val="0"/>
              <w:pageBreakBefore w:val="0"/>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预算编制</w:t>
            </w:r>
          </w:p>
        </w:tc>
        <w:tc>
          <w:tcPr>
            <w:tcW w:w="1518" w:type="dxa"/>
            <w:gridSpan w:val="2"/>
            <w:tcMar>
              <w:left w:w="57" w:type="dxa"/>
              <w:right w:w="57" w:type="dxa"/>
            </w:tcMar>
            <w:vAlign w:val="center"/>
          </w:tcPr>
          <w:p w14:paraId="50EBE48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预算编制科学性</w:t>
            </w:r>
          </w:p>
        </w:tc>
        <w:tc>
          <w:tcPr>
            <w:tcW w:w="975" w:type="dxa"/>
            <w:gridSpan w:val="3"/>
            <w:tcMar>
              <w:left w:w="57" w:type="dxa"/>
              <w:right w:w="57" w:type="dxa"/>
            </w:tcMar>
            <w:vAlign w:val="center"/>
          </w:tcPr>
          <w:p w14:paraId="437BB25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科学</w:t>
            </w:r>
          </w:p>
        </w:tc>
        <w:tc>
          <w:tcPr>
            <w:tcW w:w="841" w:type="dxa"/>
            <w:tcMar>
              <w:left w:w="57" w:type="dxa"/>
              <w:right w:w="57" w:type="dxa"/>
            </w:tcMar>
            <w:vAlign w:val="center"/>
          </w:tcPr>
          <w:p w14:paraId="6455E12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科学</w:t>
            </w:r>
          </w:p>
        </w:tc>
        <w:tc>
          <w:tcPr>
            <w:tcW w:w="827" w:type="dxa"/>
            <w:gridSpan w:val="2"/>
            <w:tcMar>
              <w:left w:w="57" w:type="dxa"/>
              <w:right w:w="57" w:type="dxa"/>
            </w:tcMar>
            <w:vAlign w:val="center"/>
          </w:tcPr>
          <w:p w14:paraId="6EEA668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科学</w:t>
            </w:r>
          </w:p>
        </w:tc>
        <w:tc>
          <w:tcPr>
            <w:tcW w:w="563" w:type="dxa"/>
            <w:gridSpan w:val="2"/>
            <w:tcMar>
              <w:left w:w="57" w:type="dxa"/>
              <w:right w:w="57" w:type="dxa"/>
            </w:tcMar>
            <w:vAlign w:val="center"/>
          </w:tcPr>
          <w:p w14:paraId="146C265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2BAE90E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1016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2E130A2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168DC7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6D7949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u w:val="single"/>
              </w:rPr>
            </w:pPr>
          </w:p>
        </w:tc>
        <w:tc>
          <w:tcPr>
            <w:tcW w:w="1518" w:type="dxa"/>
            <w:gridSpan w:val="2"/>
            <w:tcMar>
              <w:left w:w="57" w:type="dxa"/>
              <w:right w:w="57" w:type="dxa"/>
            </w:tcMar>
            <w:vAlign w:val="center"/>
          </w:tcPr>
          <w:p w14:paraId="24DF3F9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预算编制合理性</w:t>
            </w:r>
          </w:p>
        </w:tc>
        <w:tc>
          <w:tcPr>
            <w:tcW w:w="975" w:type="dxa"/>
            <w:gridSpan w:val="3"/>
            <w:tcMar>
              <w:left w:w="57" w:type="dxa"/>
              <w:right w:w="57" w:type="dxa"/>
            </w:tcMar>
            <w:vAlign w:val="center"/>
          </w:tcPr>
          <w:p w14:paraId="2D5FB1A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合理</w:t>
            </w:r>
          </w:p>
        </w:tc>
        <w:tc>
          <w:tcPr>
            <w:tcW w:w="841" w:type="dxa"/>
            <w:tcMar>
              <w:left w:w="57" w:type="dxa"/>
              <w:right w:w="57" w:type="dxa"/>
            </w:tcMar>
            <w:vAlign w:val="center"/>
          </w:tcPr>
          <w:p w14:paraId="112E9AC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合理</w:t>
            </w:r>
          </w:p>
        </w:tc>
        <w:tc>
          <w:tcPr>
            <w:tcW w:w="827" w:type="dxa"/>
            <w:gridSpan w:val="2"/>
            <w:tcMar>
              <w:left w:w="57" w:type="dxa"/>
              <w:right w:w="57" w:type="dxa"/>
            </w:tcMar>
            <w:vAlign w:val="center"/>
          </w:tcPr>
          <w:p w14:paraId="75BF6E8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合理</w:t>
            </w:r>
          </w:p>
        </w:tc>
        <w:tc>
          <w:tcPr>
            <w:tcW w:w="563" w:type="dxa"/>
            <w:gridSpan w:val="2"/>
            <w:tcMar>
              <w:left w:w="57" w:type="dxa"/>
              <w:right w:w="57" w:type="dxa"/>
            </w:tcMar>
            <w:vAlign w:val="center"/>
          </w:tcPr>
          <w:p w14:paraId="1F6488D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75CD429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6BEA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397" w:type="dxa"/>
            <w:vMerge w:val="continue"/>
            <w:tcMar>
              <w:left w:w="57" w:type="dxa"/>
              <w:right w:w="57" w:type="dxa"/>
            </w:tcMar>
            <w:vAlign w:val="center"/>
          </w:tcPr>
          <w:p w14:paraId="2471209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927891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2591EB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553CD23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立项规范性</w:t>
            </w:r>
          </w:p>
        </w:tc>
        <w:tc>
          <w:tcPr>
            <w:tcW w:w="975" w:type="dxa"/>
            <w:gridSpan w:val="3"/>
            <w:tcMar>
              <w:left w:w="57" w:type="dxa"/>
              <w:right w:w="57" w:type="dxa"/>
            </w:tcMar>
            <w:vAlign w:val="center"/>
          </w:tcPr>
          <w:p w14:paraId="6620DF9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841" w:type="dxa"/>
            <w:tcMar>
              <w:left w:w="57" w:type="dxa"/>
              <w:right w:w="57" w:type="dxa"/>
            </w:tcMar>
            <w:vAlign w:val="center"/>
          </w:tcPr>
          <w:p w14:paraId="0E67AF4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827" w:type="dxa"/>
            <w:gridSpan w:val="2"/>
            <w:tcMar>
              <w:left w:w="57" w:type="dxa"/>
              <w:right w:w="57" w:type="dxa"/>
            </w:tcMar>
            <w:vAlign w:val="center"/>
          </w:tcPr>
          <w:p w14:paraId="67B8FBD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563" w:type="dxa"/>
            <w:gridSpan w:val="2"/>
            <w:tcMar>
              <w:left w:w="57" w:type="dxa"/>
              <w:right w:w="57" w:type="dxa"/>
            </w:tcMar>
            <w:vAlign w:val="center"/>
          </w:tcPr>
          <w:p w14:paraId="7B4DF79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EB572E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0EF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397" w:type="dxa"/>
            <w:vMerge w:val="continue"/>
            <w:tcMar>
              <w:left w:w="57" w:type="dxa"/>
              <w:right w:w="57" w:type="dxa"/>
            </w:tcMar>
            <w:vAlign w:val="center"/>
          </w:tcPr>
          <w:p w14:paraId="272A75C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589851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951E3D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0047FB3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预算调整率</w:t>
            </w:r>
          </w:p>
        </w:tc>
        <w:tc>
          <w:tcPr>
            <w:tcW w:w="975" w:type="dxa"/>
            <w:gridSpan w:val="3"/>
            <w:tcMar>
              <w:left w:w="57" w:type="dxa"/>
              <w:right w:w="57" w:type="dxa"/>
            </w:tcMar>
            <w:vAlign w:val="center"/>
          </w:tcPr>
          <w:p w14:paraId="5CA1ED4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841" w:type="dxa"/>
            <w:tcMar>
              <w:left w:w="57" w:type="dxa"/>
              <w:right w:w="57" w:type="dxa"/>
            </w:tcMar>
            <w:vAlign w:val="center"/>
          </w:tcPr>
          <w:p w14:paraId="1E7B9BF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827" w:type="dxa"/>
            <w:gridSpan w:val="2"/>
            <w:tcMar>
              <w:left w:w="57" w:type="dxa"/>
              <w:right w:w="57" w:type="dxa"/>
            </w:tcMar>
            <w:vAlign w:val="center"/>
          </w:tcPr>
          <w:p w14:paraId="4C6D7C1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563" w:type="dxa"/>
            <w:gridSpan w:val="2"/>
            <w:tcMar>
              <w:left w:w="57" w:type="dxa"/>
              <w:right w:w="57" w:type="dxa"/>
            </w:tcMar>
            <w:vAlign w:val="center"/>
          </w:tcPr>
          <w:p w14:paraId="2477EE1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48271A4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18CD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97" w:type="dxa"/>
            <w:vMerge w:val="continue"/>
            <w:tcMar>
              <w:left w:w="57" w:type="dxa"/>
              <w:right w:w="57" w:type="dxa"/>
            </w:tcMar>
            <w:vAlign w:val="center"/>
          </w:tcPr>
          <w:p w14:paraId="141A700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5CA19E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CD5F75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预算执行</w:t>
            </w:r>
          </w:p>
        </w:tc>
        <w:tc>
          <w:tcPr>
            <w:tcW w:w="1518" w:type="dxa"/>
            <w:gridSpan w:val="2"/>
            <w:tcMar>
              <w:left w:w="57" w:type="dxa"/>
              <w:right w:w="57" w:type="dxa"/>
            </w:tcMar>
            <w:vAlign w:val="center"/>
          </w:tcPr>
          <w:p w14:paraId="58D274F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预算执行率</w:t>
            </w:r>
          </w:p>
        </w:tc>
        <w:tc>
          <w:tcPr>
            <w:tcW w:w="975" w:type="dxa"/>
            <w:gridSpan w:val="3"/>
            <w:tcMar>
              <w:left w:w="57" w:type="dxa"/>
              <w:right w:w="57" w:type="dxa"/>
            </w:tcMar>
            <w:vAlign w:val="center"/>
          </w:tcPr>
          <w:p w14:paraId="4125B8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62DFDF7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6F2824B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49BA11C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3B68A44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615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6AE4BCDC">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044088D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A1ACF1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6F67A54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结转结余率</w:t>
            </w:r>
          </w:p>
        </w:tc>
        <w:tc>
          <w:tcPr>
            <w:tcW w:w="975" w:type="dxa"/>
            <w:gridSpan w:val="3"/>
            <w:tcMar>
              <w:left w:w="57" w:type="dxa"/>
              <w:right w:w="57" w:type="dxa"/>
            </w:tcMar>
            <w:vAlign w:val="center"/>
          </w:tcPr>
          <w:p w14:paraId="238B822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841" w:type="dxa"/>
            <w:tcMar>
              <w:left w:w="57" w:type="dxa"/>
              <w:right w:w="57" w:type="dxa"/>
            </w:tcMar>
            <w:vAlign w:val="center"/>
          </w:tcPr>
          <w:p w14:paraId="5963F38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827" w:type="dxa"/>
            <w:gridSpan w:val="2"/>
            <w:tcMar>
              <w:left w:w="57" w:type="dxa"/>
              <w:right w:w="57" w:type="dxa"/>
            </w:tcMar>
            <w:vAlign w:val="center"/>
          </w:tcPr>
          <w:p w14:paraId="3D64DD3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0%</w:t>
            </w:r>
          </w:p>
        </w:tc>
        <w:tc>
          <w:tcPr>
            <w:tcW w:w="563" w:type="dxa"/>
            <w:gridSpan w:val="2"/>
            <w:tcMar>
              <w:left w:w="57" w:type="dxa"/>
              <w:right w:w="57" w:type="dxa"/>
            </w:tcMar>
            <w:vAlign w:val="center"/>
          </w:tcPr>
          <w:p w14:paraId="041043E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1BAC1E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36C4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776D4F9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6C2EB8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9BC666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7005BE0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政府采购执行率</w:t>
            </w:r>
          </w:p>
        </w:tc>
        <w:tc>
          <w:tcPr>
            <w:tcW w:w="975" w:type="dxa"/>
            <w:gridSpan w:val="3"/>
            <w:tcMar>
              <w:left w:w="57" w:type="dxa"/>
              <w:right w:w="57" w:type="dxa"/>
            </w:tcMar>
            <w:vAlign w:val="center"/>
          </w:tcPr>
          <w:p w14:paraId="0603ECA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99%</w:t>
            </w:r>
          </w:p>
        </w:tc>
        <w:tc>
          <w:tcPr>
            <w:tcW w:w="841" w:type="dxa"/>
            <w:tcMar>
              <w:left w:w="57" w:type="dxa"/>
              <w:right w:w="57" w:type="dxa"/>
            </w:tcMar>
            <w:vAlign w:val="center"/>
          </w:tcPr>
          <w:p w14:paraId="5D87222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98%</w:t>
            </w:r>
          </w:p>
        </w:tc>
        <w:tc>
          <w:tcPr>
            <w:tcW w:w="827" w:type="dxa"/>
            <w:gridSpan w:val="2"/>
            <w:tcMar>
              <w:left w:w="57" w:type="dxa"/>
              <w:right w:w="57" w:type="dxa"/>
            </w:tcMar>
            <w:vAlign w:val="center"/>
          </w:tcPr>
          <w:p w14:paraId="1DF000F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≥98%</w:t>
            </w:r>
          </w:p>
        </w:tc>
        <w:tc>
          <w:tcPr>
            <w:tcW w:w="563" w:type="dxa"/>
            <w:gridSpan w:val="2"/>
            <w:tcMar>
              <w:left w:w="57" w:type="dxa"/>
              <w:right w:w="57" w:type="dxa"/>
            </w:tcMar>
            <w:vAlign w:val="center"/>
          </w:tcPr>
          <w:p w14:paraId="5893CC6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030FCD3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40B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48AFAC2">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223D6A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F03F4F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607CCBA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非税收入预算完成率</w:t>
            </w:r>
          </w:p>
        </w:tc>
        <w:tc>
          <w:tcPr>
            <w:tcW w:w="975" w:type="dxa"/>
            <w:gridSpan w:val="3"/>
            <w:tcMar>
              <w:left w:w="57" w:type="dxa"/>
              <w:right w:w="57" w:type="dxa"/>
            </w:tcMar>
            <w:vAlign w:val="center"/>
          </w:tcPr>
          <w:p w14:paraId="1A3670B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3BE37D8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16A92F1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2D4F8D8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00302DD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87D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A10E654">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CD4233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149B342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绩效管理</w:t>
            </w:r>
          </w:p>
        </w:tc>
        <w:tc>
          <w:tcPr>
            <w:tcW w:w="1518" w:type="dxa"/>
            <w:gridSpan w:val="2"/>
            <w:tcMar>
              <w:left w:w="57" w:type="dxa"/>
              <w:right w:w="57" w:type="dxa"/>
            </w:tcMar>
            <w:vAlign w:val="center"/>
          </w:tcPr>
          <w:p w14:paraId="6B9D1ED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事前绩效评估完成率</w:t>
            </w:r>
          </w:p>
        </w:tc>
        <w:tc>
          <w:tcPr>
            <w:tcW w:w="975" w:type="dxa"/>
            <w:gridSpan w:val="3"/>
            <w:tcMar>
              <w:left w:w="57" w:type="dxa"/>
              <w:right w:w="57" w:type="dxa"/>
            </w:tcMar>
            <w:vAlign w:val="center"/>
          </w:tcPr>
          <w:p w14:paraId="67C510B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1224EB9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6B42E5C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51E35EC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23DCBFF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0549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6E2F2367">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455ADC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5977BBF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7D4FD2B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绩效目标合理性</w:t>
            </w:r>
          </w:p>
        </w:tc>
        <w:tc>
          <w:tcPr>
            <w:tcW w:w="975" w:type="dxa"/>
            <w:gridSpan w:val="3"/>
            <w:tcMar>
              <w:left w:w="57" w:type="dxa"/>
              <w:right w:w="57" w:type="dxa"/>
            </w:tcMar>
            <w:vAlign w:val="center"/>
          </w:tcPr>
          <w:p w14:paraId="1A8128B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0E90BB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133E67B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34F97E1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6035A5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5362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39E34234">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066250E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964C0B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71D2F35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绩效监控开展率</w:t>
            </w:r>
          </w:p>
        </w:tc>
        <w:tc>
          <w:tcPr>
            <w:tcW w:w="975" w:type="dxa"/>
            <w:gridSpan w:val="3"/>
            <w:tcMar>
              <w:left w:w="57" w:type="dxa"/>
              <w:right w:w="57" w:type="dxa"/>
            </w:tcMar>
            <w:vAlign w:val="center"/>
          </w:tcPr>
          <w:p w14:paraId="2D0340F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2A3431A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701FE92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5E15247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12A196B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420D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0083592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5EB12A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BC125B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2A077BE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绩效评价覆盖率</w:t>
            </w:r>
          </w:p>
        </w:tc>
        <w:tc>
          <w:tcPr>
            <w:tcW w:w="975" w:type="dxa"/>
            <w:gridSpan w:val="3"/>
            <w:tcMar>
              <w:left w:w="57" w:type="dxa"/>
              <w:right w:w="57" w:type="dxa"/>
            </w:tcMar>
            <w:vAlign w:val="center"/>
          </w:tcPr>
          <w:p w14:paraId="22EE1AF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68FE581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70CF54C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0BE85FC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566FE4D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7807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B2C9804">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3AAA3A8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70612B2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374CA4C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评价结果应用率</w:t>
            </w:r>
          </w:p>
        </w:tc>
        <w:tc>
          <w:tcPr>
            <w:tcW w:w="975" w:type="dxa"/>
            <w:gridSpan w:val="3"/>
            <w:tcMar>
              <w:left w:w="57" w:type="dxa"/>
              <w:right w:w="57" w:type="dxa"/>
            </w:tcMar>
            <w:vAlign w:val="center"/>
          </w:tcPr>
          <w:p w14:paraId="0C16E22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41" w:type="dxa"/>
            <w:tcMar>
              <w:left w:w="57" w:type="dxa"/>
              <w:right w:w="57" w:type="dxa"/>
            </w:tcMar>
            <w:vAlign w:val="center"/>
          </w:tcPr>
          <w:p w14:paraId="699D5F1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827" w:type="dxa"/>
            <w:gridSpan w:val="2"/>
            <w:tcMar>
              <w:left w:w="57" w:type="dxa"/>
              <w:right w:w="57" w:type="dxa"/>
            </w:tcMar>
            <w:vAlign w:val="center"/>
          </w:tcPr>
          <w:p w14:paraId="7ADAC2F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100%</w:t>
            </w:r>
          </w:p>
        </w:tc>
        <w:tc>
          <w:tcPr>
            <w:tcW w:w="563" w:type="dxa"/>
            <w:gridSpan w:val="2"/>
            <w:tcMar>
              <w:left w:w="57" w:type="dxa"/>
              <w:right w:w="57" w:type="dxa"/>
            </w:tcMar>
            <w:vAlign w:val="center"/>
          </w:tcPr>
          <w:p w14:paraId="79053B3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49C085B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3873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0C21AA5">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27672B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93AD61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资产管理</w:t>
            </w:r>
          </w:p>
        </w:tc>
        <w:tc>
          <w:tcPr>
            <w:tcW w:w="1518" w:type="dxa"/>
            <w:gridSpan w:val="2"/>
            <w:tcMar>
              <w:left w:w="57" w:type="dxa"/>
              <w:right w:w="57" w:type="dxa"/>
            </w:tcMar>
            <w:vAlign w:val="center"/>
          </w:tcPr>
          <w:p w14:paraId="56832EE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资产管理制度健全性</w:t>
            </w:r>
          </w:p>
        </w:tc>
        <w:tc>
          <w:tcPr>
            <w:tcW w:w="975" w:type="dxa"/>
            <w:gridSpan w:val="3"/>
            <w:tcMar>
              <w:left w:w="57" w:type="dxa"/>
              <w:right w:w="57" w:type="dxa"/>
            </w:tcMar>
            <w:vAlign w:val="center"/>
          </w:tcPr>
          <w:p w14:paraId="66C9E5E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841" w:type="dxa"/>
            <w:tcMar>
              <w:left w:w="57" w:type="dxa"/>
              <w:right w:w="57" w:type="dxa"/>
            </w:tcMar>
            <w:vAlign w:val="center"/>
          </w:tcPr>
          <w:p w14:paraId="5C17348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827" w:type="dxa"/>
            <w:gridSpan w:val="2"/>
            <w:tcMar>
              <w:left w:w="57" w:type="dxa"/>
              <w:right w:w="57" w:type="dxa"/>
            </w:tcMar>
            <w:vAlign w:val="center"/>
          </w:tcPr>
          <w:p w14:paraId="7EBAC06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563" w:type="dxa"/>
            <w:gridSpan w:val="2"/>
            <w:tcMar>
              <w:left w:w="57" w:type="dxa"/>
              <w:right w:w="57" w:type="dxa"/>
            </w:tcMar>
            <w:vAlign w:val="center"/>
          </w:tcPr>
          <w:p w14:paraId="00A6C69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077935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0832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5A671477">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F4946A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2A169C6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63CFF37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资产管理规范性</w:t>
            </w:r>
          </w:p>
        </w:tc>
        <w:tc>
          <w:tcPr>
            <w:tcW w:w="975" w:type="dxa"/>
            <w:gridSpan w:val="3"/>
            <w:tcMar>
              <w:left w:w="57" w:type="dxa"/>
              <w:right w:w="57" w:type="dxa"/>
            </w:tcMar>
            <w:vAlign w:val="center"/>
          </w:tcPr>
          <w:p w14:paraId="75C2354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841" w:type="dxa"/>
            <w:tcMar>
              <w:left w:w="57" w:type="dxa"/>
              <w:right w:w="57" w:type="dxa"/>
            </w:tcMar>
            <w:vAlign w:val="center"/>
          </w:tcPr>
          <w:p w14:paraId="2106FE3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827" w:type="dxa"/>
            <w:gridSpan w:val="2"/>
            <w:tcMar>
              <w:left w:w="57" w:type="dxa"/>
              <w:right w:w="57" w:type="dxa"/>
            </w:tcMar>
            <w:vAlign w:val="center"/>
          </w:tcPr>
          <w:p w14:paraId="580E537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563" w:type="dxa"/>
            <w:gridSpan w:val="2"/>
            <w:tcMar>
              <w:left w:w="57" w:type="dxa"/>
              <w:right w:w="57" w:type="dxa"/>
            </w:tcMar>
            <w:vAlign w:val="center"/>
          </w:tcPr>
          <w:p w14:paraId="0B4BAC0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556E96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7578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485E9881">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0AC2990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7C821C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财务管理</w:t>
            </w:r>
          </w:p>
        </w:tc>
        <w:tc>
          <w:tcPr>
            <w:tcW w:w="1518" w:type="dxa"/>
            <w:gridSpan w:val="2"/>
            <w:tcMar>
              <w:left w:w="57" w:type="dxa"/>
              <w:right w:w="57" w:type="dxa"/>
            </w:tcMar>
            <w:vAlign w:val="center"/>
          </w:tcPr>
          <w:p w14:paraId="34C7095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财务管理制度健全性</w:t>
            </w:r>
          </w:p>
        </w:tc>
        <w:tc>
          <w:tcPr>
            <w:tcW w:w="975" w:type="dxa"/>
            <w:gridSpan w:val="3"/>
            <w:tcMar>
              <w:left w:w="57" w:type="dxa"/>
              <w:right w:w="57" w:type="dxa"/>
            </w:tcMar>
            <w:vAlign w:val="center"/>
          </w:tcPr>
          <w:p w14:paraId="04148F5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841" w:type="dxa"/>
            <w:tcMar>
              <w:left w:w="57" w:type="dxa"/>
              <w:right w:w="57" w:type="dxa"/>
            </w:tcMar>
            <w:vAlign w:val="center"/>
          </w:tcPr>
          <w:p w14:paraId="337EA6F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827" w:type="dxa"/>
            <w:gridSpan w:val="2"/>
            <w:tcMar>
              <w:left w:w="57" w:type="dxa"/>
              <w:right w:w="57" w:type="dxa"/>
            </w:tcMar>
            <w:vAlign w:val="center"/>
          </w:tcPr>
          <w:p w14:paraId="57A3F52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健全</w:t>
            </w:r>
          </w:p>
        </w:tc>
        <w:tc>
          <w:tcPr>
            <w:tcW w:w="563" w:type="dxa"/>
            <w:gridSpan w:val="2"/>
            <w:tcMar>
              <w:left w:w="57" w:type="dxa"/>
              <w:right w:w="57" w:type="dxa"/>
            </w:tcMar>
            <w:vAlign w:val="center"/>
          </w:tcPr>
          <w:p w14:paraId="5A79864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204DCF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16D8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13D3F03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C9B66E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87605B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634D8E0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会计核算规范性</w:t>
            </w:r>
          </w:p>
        </w:tc>
        <w:tc>
          <w:tcPr>
            <w:tcW w:w="975" w:type="dxa"/>
            <w:gridSpan w:val="3"/>
            <w:tcMar>
              <w:left w:w="57" w:type="dxa"/>
              <w:right w:w="57" w:type="dxa"/>
            </w:tcMar>
            <w:vAlign w:val="center"/>
          </w:tcPr>
          <w:p w14:paraId="5B1DCF1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841" w:type="dxa"/>
            <w:tcMar>
              <w:left w:w="57" w:type="dxa"/>
              <w:right w:w="57" w:type="dxa"/>
            </w:tcMar>
            <w:vAlign w:val="center"/>
          </w:tcPr>
          <w:p w14:paraId="55E8A93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827" w:type="dxa"/>
            <w:gridSpan w:val="2"/>
            <w:tcMar>
              <w:left w:w="57" w:type="dxa"/>
              <w:right w:w="57" w:type="dxa"/>
            </w:tcMar>
            <w:vAlign w:val="center"/>
          </w:tcPr>
          <w:p w14:paraId="410E2A6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规范</w:t>
            </w:r>
          </w:p>
        </w:tc>
        <w:tc>
          <w:tcPr>
            <w:tcW w:w="563" w:type="dxa"/>
            <w:gridSpan w:val="2"/>
            <w:tcMar>
              <w:left w:w="57" w:type="dxa"/>
              <w:right w:w="57" w:type="dxa"/>
            </w:tcMar>
            <w:vAlign w:val="center"/>
          </w:tcPr>
          <w:p w14:paraId="1068CD5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50682EF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76B3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7" w:type="dxa"/>
            <w:vMerge w:val="continue"/>
            <w:tcMar>
              <w:left w:w="57" w:type="dxa"/>
              <w:right w:w="57" w:type="dxa"/>
            </w:tcMar>
            <w:vAlign w:val="center"/>
          </w:tcPr>
          <w:p w14:paraId="2053F83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1AE51C1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A1F6A3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518" w:type="dxa"/>
            <w:gridSpan w:val="2"/>
            <w:tcMar>
              <w:left w:w="57" w:type="dxa"/>
              <w:right w:w="57" w:type="dxa"/>
            </w:tcMar>
            <w:vAlign w:val="center"/>
          </w:tcPr>
          <w:p w14:paraId="5C2823A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资金使用合规性</w:t>
            </w:r>
          </w:p>
        </w:tc>
        <w:tc>
          <w:tcPr>
            <w:tcW w:w="975" w:type="dxa"/>
            <w:gridSpan w:val="3"/>
            <w:tcMar>
              <w:left w:w="57" w:type="dxa"/>
              <w:right w:w="57" w:type="dxa"/>
            </w:tcMar>
            <w:vAlign w:val="center"/>
          </w:tcPr>
          <w:p w14:paraId="7290BC8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完全合规</w:t>
            </w:r>
          </w:p>
        </w:tc>
        <w:tc>
          <w:tcPr>
            <w:tcW w:w="841" w:type="dxa"/>
            <w:tcMar>
              <w:left w:w="57" w:type="dxa"/>
              <w:right w:w="57" w:type="dxa"/>
            </w:tcMar>
            <w:vAlign w:val="center"/>
          </w:tcPr>
          <w:p w14:paraId="25DC4F8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完全合规</w:t>
            </w:r>
          </w:p>
        </w:tc>
        <w:tc>
          <w:tcPr>
            <w:tcW w:w="827" w:type="dxa"/>
            <w:gridSpan w:val="2"/>
            <w:tcMar>
              <w:left w:w="57" w:type="dxa"/>
              <w:right w:w="57" w:type="dxa"/>
            </w:tcMar>
            <w:vAlign w:val="center"/>
          </w:tcPr>
          <w:p w14:paraId="11F103F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完全合规</w:t>
            </w:r>
          </w:p>
        </w:tc>
        <w:tc>
          <w:tcPr>
            <w:tcW w:w="563" w:type="dxa"/>
            <w:gridSpan w:val="2"/>
            <w:tcMar>
              <w:left w:w="57" w:type="dxa"/>
              <w:right w:w="57" w:type="dxa"/>
            </w:tcMar>
            <w:vAlign w:val="center"/>
          </w:tcPr>
          <w:p w14:paraId="494DFFD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预算支出标准</w:t>
            </w:r>
          </w:p>
        </w:tc>
        <w:tc>
          <w:tcPr>
            <w:tcW w:w="615" w:type="dxa"/>
            <w:tcMar>
              <w:left w:w="57" w:type="dxa"/>
              <w:right w:w="57" w:type="dxa"/>
            </w:tcMar>
            <w:vAlign w:val="center"/>
          </w:tcPr>
          <w:p w14:paraId="65653E7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绩效基本型</w:t>
            </w:r>
          </w:p>
        </w:tc>
      </w:tr>
      <w:tr w14:paraId="6B92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97" w:type="dxa"/>
            <w:vMerge w:val="continue"/>
            <w:tcMar>
              <w:left w:w="57" w:type="dxa"/>
              <w:right w:w="57" w:type="dxa"/>
            </w:tcMar>
            <w:vAlign w:val="center"/>
          </w:tcPr>
          <w:p w14:paraId="375889B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7E05AED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履职</w:t>
            </w:r>
          </w:p>
          <w:p w14:paraId="6F57D34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效能</w:t>
            </w:r>
          </w:p>
        </w:tc>
        <w:tc>
          <w:tcPr>
            <w:tcW w:w="1389" w:type="dxa"/>
            <w:gridSpan w:val="2"/>
            <w:vMerge w:val="restart"/>
            <w:tcMar>
              <w:left w:w="57" w:type="dxa"/>
              <w:right w:w="57" w:type="dxa"/>
            </w:tcMar>
            <w:vAlign w:val="center"/>
          </w:tcPr>
          <w:p w14:paraId="0402472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数量指标</w:t>
            </w:r>
          </w:p>
        </w:tc>
        <w:tc>
          <w:tcPr>
            <w:tcW w:w="1518" w:type="dxa"/>
            <w:gridSpan w:val="2"/>
            <w:tcMar>
              <w:left w:w="57" w:type="dxa"/>
              <w:right w:w="57" w:type="dxa"/>
            </w:tcMar>
            <w:vAlign w:val="center"/>
          </w:tcPr>
          <w:p w14:paraId="218875E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常态化驻京专班</w:t>
            </w:r>
          </w:p>
        </w:tc>
        <w:tc>
          <w:tcPr>
            <w:tcW w:w="975" w:type="dxa"/>
            <w:gridSpan w:val="3"/>
            <w:tcMar>
              <w:left w:w="57" w:type="dxa"/>
              <w:right w:w="57" w:type="dxa"/>
            </w:tcMar>
            <w:vAlign w:val="center"/>
          </w:tcPr>
          <w:p w14:paraId="6BD8F3A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1人次</w:t>
            </w:r>
          </w:p>
        </w:tc>
        <w:tc>
          <w:tcPr>
            <w:tcW w:w="841" w:type="dxa"/>
            <w:tcMar>
              <w:left w:w="57" w:type="dxa"/>
              <w:right w:w="57" w:type="dxa"/>
            </w:tcMar>
            <w:vAlign w:val="center"/>
          </w:tcPr>
          <w:p w14:paraId="2618FC8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1人次</w:t>
            </w:r>
          </w:p>
        </w:tc>
        <w:tc>
          <w:tcPr>
            <w:tcW w:w="827" w:type="dxa"/>
            <w:gridSpan w:val="2"/>
            <w:tcMar>
              <w:left w:w="57" w:type="dxa"/>
              <w:right w:w="57" w:type="dxa"/>
            </w:tcMar>
            <w:vAlign w:val="center"/>
          </w:tcPr>
          <w:p w14:paraId="20BD2FC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1人次</w:t>
            </w:r>
          </w:p>
        </w:tc>
        <w:tc>
          <w:tcPr>
            <w:tcW w:w="563" w:type="dxa"/>
            <w:gridSpan w:val="2"/>
            <w:tcMar>
              <w:left w:w="57" w:type="dxa"/>
              <w:right w:w="57" w:type="dxa"/>
            </w:tcMar>
            <w:vAlign w:val="center"/>
          </w:tcPr>
          <w:p w14:paraId="3B7E775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4519071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EFD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397" w:type="dxa"/>
            <w:vMerge w:val="continue"/>
            <w:tcMar>
              <w:left w:w="57" w:type="dxa"/>
              <w:right w:w="57" w:type="dxa"/>
            </w:tcMar>
            <w:vAlign w:val="center"/>
          </w:tcPr>
          <w:p w14:paraId="0F75434C">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064BCE2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569D550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3B62BA8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信访件及时受理率</w:t>
            </w:r>
          </w:p>
        </w:tc>
        <w:tc>
          <w:tcPr>
            <w:tcW w:w="975" w:type="dxa"/>
            <w:gridSpan w:val="3"/>
            <w:tcMar>
              <w:left w:w="57" w:type="dxa"/>
              <w:right w:w="57" w:type="dxa"/>
            </w:tcMar>
            <w:vAlign w:val="center"/>
          </w:tcPr>
          <w:p w14:paraId="41A4EA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841" w:type="dxa"/>
            <w:tcMar>
              <w:left w:w="57" w:type="dxa"/>
              <w:right w:w="57" w:type="dxa"/>
            </w:tcMar>
            <w:vAlign w:val="center"/>
          </w:tcPr>
          <w:p w14:paraId="4EE81B1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827" w:type="dxa"/>
            <w:gridSpan w:val="2"/>
            <w:tcMar>
              <w:left w:w="57" w:type="dxa"/>
              <w:right w:w="57" w:type="dxa"/>
            </w:tcMar>
            <w:vAlign w:val="center"/>
          </w:tcPr>
          <w:p w14:paraId="122F52D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563" w:type="dxa"/>
            <w:gridSpan w:val="2"/>
            <w:tcMar>
              <w:left w:w="57" w:type="dxa"/>
              <w:right w:w="57" w:type="dxa"/>
            </w:tcMar>
            <w:vAlign w:val="center"/>
          </w:tcPr>
          <w:p w14:paraId="5B17132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5029EB9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1A6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35A6888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F38AC6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37ABB3B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1FE02A4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信访件按期办结率</w:t>
            </w:r>
          </w:p>
        </w:tc>
        <w:tc>
          <w:tcPr>
            <w:tcW w:w="975" w:type="dxa"/>
            <w:gridSpan w:val="3"/>
            <w:tcMar>
              <w:left w:w="57" w:type="dxa"/>
              <w:right w:w="57" w:type="dxa"/>
            </w:tcMar>
            <w:vAlign w:val="center"/>
          </w:tcPr>
          <w:p w14:paraId="0E34326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841" w:type="dxa"/>
            <w:tcMar>
              <w:left w:w="57" w:type="dxa"/>
              <w:right w:w="57" w:type="dxa"/>
            </w:tcMar>
            <w:vAlign w:val="center"/>
          </w:tcPr>
          <w:p w14:paraId="393C8E5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827" w:type="dxa"/>
            <w:gridSpan w:val="2"/>
            <w:tcMar>
              <w:left w:w="57" w:type="dxa"/>
              <w:right w:w="57" w:type="dxa"/>
            </w:tcMar>
            <w:vAlign w:val="center"/>
          </w:tcPr>
          <w:p w14:paraId="36A3BF4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100%</w:t>
            </w:r>
          </w:p>
        </w:tc>
        <w:tc>
          <w:tcPr>
            <w:tcW w:w="563" w:type="dxa"/>
            <w:gridSpan w:val="2"/>
            <w:tcMar>
              <w:left w:w="57" w:type="dxa"/>
              <w:right w:w="57" w:type="dxa"/>
            </w:tcMar>
            <w:vAlign w:val="center"/>
          </w:tcPr>
          <w:p w14:paraId="21F26C9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2486EE7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351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97" w:type="dxa"/>
            <w:vMerge w:val="continue"/>
            <w:tcMar>
              <w:left w:w="57" w:type="dxa"/>
              <w:right w:w="57" w:type="dxa"/>
            </w:tcMar>
            <w:vAlign w:val="center"/>
          </w:tcPr>
          <w:p w14:paraId="0406ADB7">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4CB0B04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社会</w:t>
            </w:r>
          </w:p>
          <w:p w14:paraId="055A466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效应</w:t>
            </w:r>
          </w:p>
        </w:tc>
        <w:tc>
          <w:tcPr>
            <w:tcW w:w="1389" w:type="dxa"/>
            <w:gridSpan w:val="2"/>
            <w:tcMar>
              <w:left w:w="57" w:type="dxa"/>
              <w:right w:w="57" w:type="dxa"/>
            </w:tcMar>
            <w:vAlign w:val="center"/>
          </w:tcPr>
          <w:p w14:paraId="153B004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经济效益</w:t>
            </w:r>
          </w:p>
        </w:tc>
        <w:tc>
          <w:tcPr>
            <w:tcW w:w="1518" w:type="dxa"/>
            <w:gridSpan w:val="2"/>
            <w:tcMar>
              <w:left w:w="57" w:type="dxa"/>
              <w:right w:w="57" w:type="dxa"/>
            </w:tcMar>
            <w:vAlign w:val="center"/>
          </w:tcPr>
          <w:p w14:paraId="509330B0">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宋体" w:hAnsi="宋体" w:cs="宋体"/>
                <w:color w:val="000000"/>
                <w:kern w:val="0"/>
                <w:sz w:val="20"/>
                <w:szCs w:val="20"/>
              </w:rPr>
              <w:t>受理营商环境投诉，促进企业发展</w:t>
            </w:r>
          </w:p>
        </w:tc>
        <w:tc>
          <w:tcPr>
            <w:tcW w:w="975" w:type="dxa"/>
            <w:gridSpan w:val="3"/>
            <w:tcMar>
              <w:left w:w="57" w:type="dxa"/>
              <w:right w:w="57" w:type="dxa"/>
            </w:tcMar>
            <w:vAlign w:val="center"/>
          </w:tcPr>
          <w:p w14:paraId="281DE56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841" w:type="dxa"/>
            <w:tcMar>
              <w:left w:w="57" w:type="dxa"/>
              <w:right w:w="57" w:type="dxa"/>
            </w:tcMar>
            <w:vAlign w:val="center"/>
          </w:tcPr>
          <w:p w14:paraId="3D11034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827" w:type="dxa"/>
            <w:gridSpan w:val="2"/>
            <w:tcMar>
              <w:left w:w="57" w:type="dxa"/>
              <w:right w:w="57" w:type="dxa"/>
            </w:tcMar>
            <w:vAlign w:val="center"/>
          </w:tcPr>
          <w:p w14:paraId="51C8684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563" w:type="dxa"/>
            <w:gridSpan w:val="2"/>
            <w:tcMar>
              <w:left w:w="57" w:type="dxa"/>
              <w:right w:w="57" w:type="dxa"/>
            </w:tcMar>
            <w:vAlign w:val="center"/>
          </w:tcPr>
          <w:p w14:paraId="46E0BDF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41C9A59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C0F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97" w:type="dxa"/>
            <w:vMerge w:val="continue"/>
            <w:tcMar>
              <w:left w:w="57" w:type="dxa"/>
              <w:right w:w="57" w:type="dxa"/>
            </w:tcMar>
            <w:vAlign w:val="center"/>
          </w:tcPr>
          <w:p w14:paraId="5B6355DA">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09EC2F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3601BBB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社会效益</w:t>
            </w:r>
          </w:p>
        </w:tc>
        <w:tc>
          <w:tcPr>
            <w:tcW w:w="1518" w:type="dxa"/>
            <w:gridSpan w:val="2"/>
            <w:tcMar>
              <w:left w:w="57" w:type="dxa"/>
              <w:right w:w="57" w:type="dxa"/>
            </w:tcMar>
            <w:vAlign w:val="center"/>
          </w:tcPr>
          <w:p w14:paraId="29E9F741">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宋体" w:hAnsi="宋体" w:cs="宋体"/>
                <w:color w:val="000000"/>
                <w:kern w:val="0"/>
                <w:sz w:val="20"/>
                <w:szCs w:val="20"/>
              </w:rPr>
              <w:t>全市信访量</w:t>
            </w:r>
          </w:p>
        </w:tc>
        <w:tc>
          <w:tcPr>
            <w:tcW w:w="975" w:type="dxa"/>
            <w:gridSpan w:val="3"/>
            <w:tcMar>
              <w:left w:w="57" w:type="dxa"/>
              <w:right w:w="57" w:type="dxa"/>
            </w:tcMar>
            <w:vAlign w:val="center"/>
          </w:tcPr>
          <w:p w14:paraId="7DF8411F">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宋体" w:hAnsi="宋体" w:cs="宋体"/>
                <w:color w:val="000000"/>
                <w:kern w:val="0"/>
                <w:sz w:val="20"/>
                <w:szCs w:val="20"/>
              </w:rPr>
              <w:t>信访总量持平，形势平稳可控</w:t>
            </w:r>
          </w:p>
        </w:tc>
        <w:tc>
          <w:tcPr>
            <w:tcW w:w="841" w:type="dxa"/>
            <w:tcMar>
              <w:left w:w="57" w:type="dxa"/>
              <w:right w:w="57" w:type="dxa"/>
            </w:tcMar>
            <w:vAlign w:val="center"/>
          </w:tcPr>
          <w:p w14:paraId="71877039">
            <w:pPr>
              <w:keepNext w:val="0"/>
              <w:keepLines w:val="0"/>
              <w:pageBreakBefore w:val="0"/>
              <w:widowControl/>
              <w:kinsoku/>
              <w:wordWrap/>
              <w:overflowPunct/>
              <w:topLinePunct w:val="0"/>
              <w:autoSpaceDE/>
              <w:bidi w:val="0"/>
              <w:spacing w:line="600" w:lineRule="exact"/>
              <w:jc w:val="left"/>
              <w:textAlignment w:val="center"/>
              <w:rPr>
                <w:rFonts w:ascii="仿宋_GB2312" w:hAnsi="宋体" w:eastAsia="仿宋_GB2312" w:cs="仿宋_GB2312"/>
                <w:kern w:val="0"/>
              </w:rPr>
            </w:pPr>
            <w:r>
              <w:rPr>
                <w:rFonts w:hint="eastAsia" w:ascii="宋体" w:hAnsi="宋体" w:cs="宋体"/>
                <w:color w:val="000000"/>
                <w:kern w:val="0"/>
                <w:sz w:val="20"/>
                <w:szCs w:val="20"/>
              </w:rPr>
              <w:t>信访总量持平，形势平稳可控</w:t>
            </w:r>
          </w:p>
        </w:tc>
        <w:tc>
          <w:tcPr>
            <w:tcW w:w="827" w:type="dxa"/>
            <w:gridSpan w:val="2"/>
            <w:tcMar>
              <w:left w:w="57" w:type="dxa"/>
              <w:right w:w="57" w:type="dxa"/>
            </w:tcMar>
            <w:vAlign w:val="center"/>
          </w:tcPr>
          <w:p w14:paraId="2DAEA485">
            <w:pPr>
              <w:keepNext w:val="0"/>
              <w:keepLines w:val="0"/>
              <w:pageBreakBefore w:val="0"/>
              <w:kinsoku/>
              <w:wordWrap/>
              <w:overflowPunct/>
              <w:topLinePunct w:val="0"/>
              <w:autoSpaceDE/>
              <w:bidi w:val="0"/>
              <w:spacing w:line="600" w:lineRule="exact"/>
              <w:rPr>
                <w:rFonts w:ascii="仿宋_GB2312" w:hAnsi="宋体" w:eastAsia="仿宋_GB2312" w:cs="仿宋_GB2312"/>
                <w:kern w:val="0"/>
              </w:rPr>
            </w:pPr>
            <w:r>
              <w:rPr>
                <w:rFonts w:hint="eastAsia" w:ascii="宋体" w:hAnsi="宋体" w:cs="宋体"/>
                <w:color w:val="000000"/>
                <w:kern w:val="0"/>
                <w:sz w:val="20"/>
                <w:szCs w:val="20"/>
              </w:rPr>
              <w:t>信访总量持平，形势平稳可控</w:t>
            </w:r>
          </w:p>
        </w:tc>
        <w:tc>
          <w:tcPr>
            <w:tcW w:w="563" w:type="dxa"/>
            <w:gridSpan w:val="2"/>
            <w:tcMar>
              <w:left w:w="57" w:type="dxa"/>
              <w:right w:w="57" w:type="dxa"/>
            </w:tcMar>
            <w:vAlign w:val="center"/>
          </w:tcPr>
          <w:p w14:paraId="12B6F8B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39F4A1C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0C6D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397" w:type="dxa"/>
            <w:vMerge w:val="continue"/>
            <w:tcMar>
              <w:left w:w="57" w:type="dxa"/>
              <w:right w:w="57" w:type="dxa"/>
            </w:tcMar>
            <w:vAlign w:val="center"/>
          </w:tcPr>
          <w:p w14:paraId="7BCCD36B">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F6AD2E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784E5C2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生态效益</w:t>
            </w:r>
          </w:p>
        </w:tc>
        <w:tc>
          <w:tcPr>
            <w:tcW w:w="1518" w:type="dxa"/>
            <w:gridSpan w:val="2"/>
            <w:tcMar>
              <w:left w:w="57" w:type="dxa"/>
              <w:right w:w="57" w:type="dxa"/>
            </w:tcMar>
            <w:vAlign w:val="center"/>
          </w:tcPr>
          <w:p w14:paraId="49AFD1C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对生态建设工作产生良好的社会影响</w:t>
            </w:r>
          </w:p>
        </w:tc>
        <w:tc>
          <w:tcPr>
            <w:tcW w:w="975" w:type="dxa"/>
            <w:gridSpan w:val="3"/>
            <w:tcMar>
              <w:left w:w="57" w:type="dxa"/>
              <w:right w:w="57" w:type="dxa"/>
            </w:tcMar>
            <w:vAlign w:val="center"/>
          </w:tcPr>
          <w:p w14:paraId="4D333EA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841" w:type="dxa"/>
            <w:tcMar>
              <w:left w:w="57" w:type="dxa"/>
              <w:right w:w="57" w:type="dxa"/>
            </w:tcMar>
            <w:vAlign w:val="center"/>
          </w:tcPr>
          <w:p w14:paraId="7B2747C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827" w:type="dxa"/>
            <w:gridSpan w:val="2"/>
            <w:tcMar>
              <w:left w:w="57" w:type="dxa"/>
              <w:right w:w="57" w:type="dxa"/>
            </w:tcMar>
            <w:vAlign w:val="center"/>
          </w:tcPr>
          <w:p w14:paraId="6AF30BC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563" w:type="dxa"/>
            <w:gridSpan w:val="2"/>
            <w:tcMar>
              <w:left w:w="57" w:type="dxa"/>
              <w:right w:w="57" w:type="dxa"/>
            </w:tcMar>
            <w:vAlign w:val="center"/>
          </w:tcPr>
          <w:p w14:paraId="5E23747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5112911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06A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54060F6F">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1C5A073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可持续发展能力</w:t>
            </w:r>
          </w:p>
        </w:tc>
        <w:tc>
          <w:tcPr>
            <w:tcW w:w="1389" w:type="dxa"/>
            <w:gridSpan w:val="2"/>
            <w:vMerge w:val="restart"/>
            <w:tcMar>
              <w:left w:w="57" w:type="dxa"/>
              <w:right w:w="57" w:type="dxa"/>
            </w:tcMar>
            <w:vAlign w:val="center"/>
          </w:tcPr>
          <w:p w14:paraId="08A5737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体制机制改革</w:t>
            </w:r>
          </w:p>
        </w:tc>
        <w:tc>
          <w:tcPr>
            <w:tcW w:w="1518" w:type="dxa"/>
            <w:gridSpan w:val="2"/>
            <w:tcMar>
              <w:left w:w="57" w:type="dxa"/>
              <w:right w:w="57" w:type="dxa"/>
            </w:tcMar>
            <w:vAlign w:val="center"/>
          </w:tcPr>
          <w:p w14:paraId="7854AF9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服务体制改革成效</w:t>
            </w:r>
          </w:p>
        </w:tc>
        <w:tc>
          <w:tcPr>
            <w:tcW w:w="975" w:type="dxa"/>
            <w:gridSpan w:val="3"/>
            <w:tcMar>
              <w:left w:w="57" w:type="dxa"/>
              <w:right w:w="57" w:type="dxa"/>
            </w:tcMar>
            <w:vAlign w:val="center"/>
          </w:tcPr>
          <w:p w14:paraId="1556E00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841" w:type="dxa"/>
            <w:tcMar>
              <w:left w:w="57" w:type="dxa"/>
              <w:right w:w="57" w:type="dxa"/>
            </w:tcMar>
            <w:vAlign w:val="center"/>
          </w:tcPr>
          <w:p w14:paraId="37C3285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827" w:type="dxa"/>
            <w:gridSpan w:val="2"/>
            <w:tcMar>
              <w:left w:w="57" w:type="dxa"/>
              <w:right w:w="57" w:type="dxa"/>
            </w:tcMar>
            <w:vAlign w:val="center"/>
          </w:tcPr>
          <w:p w14:paraId="545C771F">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563" w:type="dxa"/>
            <w:gridSpan w:val="2"/>
            <w:tcMar>
              <w:left w:w="57" w:type="dxa"/>
              <w:right w:w="57" w:type="dxa"/>
            </w:tcMar>
            <w:vAlign w:val="center"/>
          </w:tcPr>
          <w:p w14:paraId="6FEEA00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615" w:type="dxa"/>
            <w:tcMar>
              <w:left w:w="57" w:type="dxa"/>
              <w:right w:w="57" w:type="dxa"/>
            </w:tcMar>
            <w:vAlign w:val="center"/>
          </w:tcPr>
          <w:p w14:paraId="5E0EDA8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11A0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541684E6">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502EDB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E81461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16147DC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行政管理体制改革成效</w:t>
            </w:r>
          </w:p>
        </w:tc>
        <w:tc>
          <w:tcPr>
            <w:tcW w:w="975" w:type="dxa"/>
            <w:gridSpan w:val="3"/>
            <w:tcMar>
              <w:left w:w="57" w:type="dxa"/>
              <w:right w:w="57" w:type="dxa"/>
            </w:tcMar>
            <w:vAlign w:val="center"/>
          </w:tcPr>
          <w:p w14:paraId="55EE153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明显</w:t>
            </w:r>
          </w:p>
        </w:tc>
        <w:tc>
          <w:tcPr>
            <w:tcW w:w="841" w:type="dxa"/>
            <w:tcMar>
              <w:left w:w="57" w:type="dxa"/>
              <w:right w:w="57" w:type="dxa"/>
            </w:tcMar>
            <w:vAlign w:val="center"/>
          </w:tcPr>
          <w:p w14:paraId="5DBBE00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明显</w:t>
            </w:r>
          </w:p>
        </w:tc>
        <w:tc>
          <w:tcPr>
            <w:tcW w:w="827" w:type="dxa"/>
            <w:gridSpan w:val="2"/>
            <w:tcMar>
              <w:left w:w="57" w:type="dxa"/>
              <w:right w:w="57" w:type="dxa"/>
            </w:tcMar>
            <w:vAlign w:val="center"/>
          </w:tcPr>
          <w:p w14:paraId="30A55B5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明显</w:t>
            </w:r>
          </w:p>
        </w:tc>
        <w:tc>
          <w:tcPr>
            <w:tcW w:w="563" w:type="dxa"/>
            <w:gridSpan w:val="2"/>
            <w:tcMar>
              <w:left w:w="57" w:type="dxa"/>
              <w:right w:w="57" w:type="dxa"/>
            </w:tcMar>
            <w:vAlign w:val="center"/>
          </w:tcPr>
          <w:p w14:paraId="3D44A29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615" w:type="dxa"/>
            <w:tcMar>
              <w:left w:w="57" w:type="dxa"/>
              <w:right w:w="57" w:type="dxa"/>
            </w:tcMar>
            <w:vAlign w:val="center"/>
          </w:tcPr>
          <w:p w14:paraId="114E669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67A1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39EE9B4E">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220CA5F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3CDA1551">
            <w:pPr>
              <w:keepNext w:val="0"/>
              <w:keepLines w:val="0"/>
              <w:pageBreakBefore w:val="0"/>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人才支撑</w:t>
            </w:r>
          </w:p>
        </w:tc>
        <w:tc>
          <w:tcPr>
            <w:tcW w:w="1518" w:type="dxa"/>
            <w:gridSpan w:val="2"/>
            <w:tcMar>
              <w:left w:w="57" w:type="dxa"/>
              <w:right w:w="57" w:type="dxa"/>
            </w:tcMar>
            <w:vAlign w:val="center"/>
          </w:tcPr>
          <w:p w14:paraId="08BF562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业务学习与培训完成率</w:t>
            </w:r>
          </w:p>
        </w:tc>
        <w:tc>
          <w:tcPr>
            <w:tcW w:w="975" w:type="dxa"/>
            <w:gridSpan w:val="3"/>
            <w:tcMar>
              <w:left w:w="57" w:type="dxa"/>
              <w:right w:w="57" w:type="dxa"/>
            </w:tcMar>
            <w:vAlign w:val="center"/>
          </w:tcPr>
          <w:p w14:paraId="25129A5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841" w:type="dxa"/>
            <w:tcMar>
              <w:left w:w="57" w:type="dxa"/>
              <w:right w:w="57" w:type="dxa"/>
            </w:tcMar>
            <w:vAlign w:val="center"/>
          </w:tcPr>
          <w:p w14:paraId="5FC37F8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827" w:type="dxa"/>
            <w:gridSpan w:val="2"/>
            <w:tcMar>
              <w:left w:w="57" w:type="dxa"/>
              <w:right w:w="57" w:type="dxa"/>
            </w:tcMar>
            <w:vAlign w:val="center"/>
          </w:tcPr>
          <w:p w14:paraId="1DD0A45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100%</w:t>
            </w:r>
          </w:p>
        </w:tc>
        <w:tc>
          <w:tcPr>
            <w:tcW w:w="563" w:type="dxa"/>
            <w:gridSpan w:val="2"/>
            <w:tcMar>
              <w:left w:w="57" w:type="dxa"/>
              <w:right w:w="57" w:type="dxa"/>
            </w:tcMar>
            <w:vAlign w:val="center"/>
          </w:tcPr>
          <w:p w14:paraId="25032E0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615" w:type="dxa"/>
            <w:tcMar>
              <w:left w:w="57" w:type="dxa"/>
              <w:right w:w="57" w:type="dxa"/>
            </w:tcMar>
            <w:vAlign w:val="center"/>
          </w:tcPr>
          <w:p w14:paraId="21DD8C4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189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73D9E233">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727456C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61639A4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4D36E86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干部队伍体系建设规划情况</w:t>
            </w:r>
          </w:p>
        </w:tc>
        <w:tc>
          <w:tcPr>
            <w:tcW w:w="975" w:type="dxa"/>
            <w:gridSpan w:val="3"/>
            <w:tcMar>
              <w:left w:w="57" w:type="dxa"/>
              <w:right w:w="57" w:type="dxa"/>
            </w:tcMar>
            <w:vAlign w:val="center"/>
          </w:tcPr>
          <w:p w14:paraId="25FE1ED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841" w:type="dxa"/>
            <w:tcMar>
              <w:left w:w="57" w:type="dxa"/>
              <w:right w:w="57" w:type="dxa"/>
            </w:tcMar>
            <w:vAlign w:val="center"/>
          </w:tcPr>
          <w:p w14:paraId="7B9476D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827" w:type="dxa"/>
            <w:gridSpan w:val="2"/>
            <w:tcMar>
              <w:left w:w="57" w:type="dxa"/>
              <w:right w:w="57" w:type="dxa"/>
            </w:tcMar>
            <w:vAlign w:val="center"/>
          </w:tcPr>
          <w:p w14:paraId="203E34A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完成</w:t>
            </w:r>
          </w:p>
        </w:tc>
        <w:tc>
          <w:tcPr>
            <w:tcW w:w="563" w:type="dxa"/>
            <w:gridSpan w:val="2"/>
            <w:tcMar>
              <w:left w:w="57" w:type="dxa"/>
              <w:right w:w="57" w:type="dxa"/>
            </w:tcMar>
            <w:vAlign w:val="center"/>
          </w:tcPr>
          <w:p w14:paraId="4206800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615" w:type="dxa"/>
            <w:tcMar>
              <w:left w:w="57" w:type="dxa"/>
              <w:right w:w="57" w:type="dxa"/>
            </w:tcMar>
            <w:vAlign w:val="center"/>
          </w:tcPr>
          <w:p w14:paraId="444F6A8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48FA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129B89ED">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4A82209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4DEA4EA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tcMar>
              <w:left w:w="57" w:type="dxa"/>
              <w:right w:w="57" w:type="dxa"/>
            </w:tcMar>
            <w:vAlign w:val="center"/>
          </w:tcPr>
          <w:p w14:paraId="4CD409C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高学历、高层次人才储备率</w:t>
            </w:r>
          </w:p>
        </w:tc>
        <w:tc>
          <w:tcPr>
            <w:tcW w:w="975" w:type="dxa"/>
            <w:gridSpan w:val="3"/>
            <w:tcMar>
              <w:left w:w="57" w:type="dxa"/>
              <w:right w:w="57" w:type="dxa"/>
            </w:tcMar>
            <w:vAlign w:val="center"/>
          </w:tcPr>
          <w:p w14:paraId="119788B7">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≥70%</w:t>
            </w:r>
          </w:p>
        </w:tc>
        <w:tc>
          <w:tcPr>
            <w:tcW w:w="841" w:type="dxa"/>
            <w:tcMar>
              <w:left w:w="57" w:type="dxa"/>
              <w:right w:w="57" w:type="dxa"/>
            </w:tcMar>
            <w:vAlign w:val="center"/>
          </w:tcPr>
          <w:p w14:paraId="2DCF0F3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≥70%</w:t>
            </w:r>
          </w:p>
        </w:tc>
        <w:tc>
          <w:tcPr>
            <w:tcW w:w="827" w:type="dxa"/>
            <w:gridSpan w:val="2"/>
            <w:tcMar>
              <w:left w:w="57" w:type="dxa"/>
              <w:right w:w="57" w:type="dxa"/>
            </w:tcMar>
            <w:vAlign w:val="center"/>
          </w:tcPr>
          <w:p w14:paraId="2721895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≥70%</w:t>
            </w:r>
          </w:p>
        </w:tc>
        <w:tc>
          <w:tcPr>
            <w:tcW w:w="563" w:type="dxa"/>
            <w:gridSpan w:val="2"/>
            <w:tcMar>
              <w:left w:w="57" w:type="dxa"/>
              <w:right w:w="57" w:type="dxa"/>
            </w:tcMar>
            <w:vAlign w:val="center"/>
          </w:tcPr>
          <w:p w14:paraId="01E1CC5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615" w:type="dxa"/>
            <w:tcMar>
              <w:left w:w="57" w:type="dxa"/>
              <w:right w:w="57" w:type="dxa"/>
            </w:tcMar>
            <w:vAlign w:val="center"/>
          </w:tcPr>
          <w:p w14:paraId="01F86D92">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1BC6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6E99DBD8">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6BA9BFFA">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restart"/>
            <w:tcMar>
              <w:left w:w="57" w:type="dxa"/>
              <w:right w:w="57" w:type="dxa"/>
            </w:tcMar>
            <w:vAlign w:val="center"/>
          </w:tcPr>
          <w:p w14:paraId="74B2E7C8">
            <w:pPr>
              <w:keepNext w:val="0"/>
              <w:keepLines w:val="0"/>
              <w:pageBreakBefore w:val="0"/>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科技支撑</w:t>
            </w:r>
          </w:p>
        </w:tc>
        <w:tc>
          <w:tcPr>
            <w:tcW w:w="1518" w:type="dxa"/>
            <w:gridSpan w:val="2"/>
            <w:vMerge w:val="restart"/>
            <w:tcMar>
              <w:left w:w="57" w:type="dxa"/>
              <w:right w:w="57" w:type="dxa"/>
            </w:tcMar>
            <w:vAlign w:val="center"/>
          </w:tcPr>
          <w:p w14:paraId="07BE421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信息化建设情况</w:t>
            </w:r>
          </w:p>
        </w:tc>
        <w:tc>
          <w:tcPr>
            <w:tcW w:w="975" w:type="dxa"/>
            <w:gridSpan w:val="3"/>
            <w:tcMar>
              <w:left w:w="57" w:type="dxa"/>
              <w:right w:w="57" w:type="dxa"/>
            </w:tcMar>
            <w:vAlign w:val="center"/>
          </w:tcPr>
          <w:p w14:paraId="76162970">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完全合规</w:t>
            </w:r>
          </w:p>
        </w:tc>
        <w:tc>
          <w:tcPr>
            <w:tcW w:w="841" w:type="dxa"/>
            <w:vMerge w:val="restart"/>
            <w:tcMar>
              <w:left w:w="57" w:type="dxa"/>
              <w:right w:w="57" w:type="dxa"/>
            </w:tcMar>
            <w:vAlign w:val="center"/>
          </w:tcPr>
          <w:p w14:paraId="65FD439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完全合规</w:t>
            </w:r>
          </w:p>
        </w:tc>
        <w:tc>
          <w:tcPr>
            <w:tcW w:w="827" w:type="dxa"/>
            <w:gridSpan w:val="2"/>
            <w:vMerge w:val="restart"/>
            <w:tcMar>
              <w:left w:w="57" w:type="dxa"/>
              <w:right w:w="57" w:type="dxa"/>
            </w:tcMar>
            <w:vAlign w:val="center"/>
          </w:tcPr>
          <w:p w14:paraId="080A22F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完全合规</w:t>
            </w:r>
          </w:p>
        </w:tc>
        <w:tc>
          <w:tcPr>
            <w:tcW w:w="563" w:type="dxa"/>
            <w:gridSpan w:val="2"/>
            <w:vMerge w:val="restart"/>
            <w:tcMar>
              <w:left w:w="57" w:type="dxa"/>
              <w:right w:w="57" w:type="dxa"/>
            </w:tcMar>
            <w:vAlign w:val="center"/>
          </w:tcPr>
          <w:p w14:paraId="7E219D8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计划标准</w:t>
            </w:r>
          </w:p>
        </w:tc>
        <w:tc>
          <w:tcPr>
            <w:tcW w:w="615" w:type="dxa"/>
            <w:vMerge w:val="restart"/>
            <w:tcMar>
              <w:left w:w="57" w:type="dxa"/>
              <w:right w:w="57" w:type="dxa"/>
            </w:tcMar>
            <w:vAlign w:val="center"/>
          </w:tcPr>
          <w:p w14:paraId="750ACC2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2B4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1FE8489D">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D18BB1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vMerge w:val="continue"/>
            <w:tcMar>
              <w:left w:w="57" w:type="dxa"/>
              <w:right w:w="57" w:type="dxa"/>
            </w:tcMar>
            <w:vAlign w:val="center"/>
          </w:tcPr>
          <w:p w14:paraId="0F65405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1518" w:type="dxa"/>
            <w:gridSpan w:val="2"/>
            <w:vMerge w:val="continue"/>
            <w:tcMar>
              <w:left w:w="57" w:type="dxa"/>
              <w:right w:w="57" w:type="dxa"/>
            </w:tcMar>
            <w:vAlign w:val="center"/>
          </w:tcPr>
          <w:p w14:paraId="0EC7643B">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975" w:type="dxa"/>
            <w:gridSpan w:val="3"/>
            <w:tcMar>
              <w:left w:w="57" w:type="dxa"/>
              <w:right w:w="57" w:type="dxa"/>
            </w:tcMar>
            <w:vAlign w:val="center"/>
          </w:tcPr>
          <w:p w14:paraId="289FEC5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841" w:type="dxa"/>
            <w:vMerge w:val="continue"/>
            <w:tcMar>
              <w:left w:w="57" w:type="dxa"/>
              <w:right w:w="57" w:type="dxa"/>
            </w:tcMar>
            <w:vAlign w:val="center"/>
          </w:tcPr>
          <w:p w14:paraId="78B5FAD4">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827" w:type="dxa"/>
            <w:gridSpan w:val="2"/>
            <w:vMerge w:val="continue"/>
            <w:tcMar>
              <w:left w:w="57" w:type="dxa"/>
              <w:right w:w="57" w:type="dxa"/>
            </w:tcMar>
            <w:vAlign w:val="center"/>
          </w:tcPr>
          <w:p w14:paraId="33591B4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563" w:type="dxa"/>
            <w:gridSpan w:val="2"/>
            <w:vMerge w:val="continue"/>
            <w:tcMar>
              <w:left w:w="57" w:type="dxa"/>
              <w:right w:w="57" w:type="dxa"/>
            </w:tcMar>
            <w:vAlign w:val="center"/>
          </w:tcPr>
          <w:p w14:paraId="5228466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c>
          <w:tcPr>
            <w:tcW w:w="615" w:type="dxa"/>
            <w:vMerge w:val="continue"/>
            <w:tcMar>
              <w:left w:w="57" w:type="dxa"/>
              <w:right w:w="57" w:type="dxa"/>
            </w:tcMar>
            <w:vAlign w:val="center"/>
          </w:tcPr>
          <w:p w14:paraId="00B22A8D">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p>
        </w:tc>
      </w:tr>
      <w:tr w14:paraId="3FBB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761FF630">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restart"/>
            <w:tcMar>
              <w:left w:w="57" w:type="dxa"/>
              <w:right w:w="57" w:type="dxa"/>
            </w:tcMar>
            <w:vAlign w:val="center"/>
          </w:tcPr>
          <w:p w14:paraId="5A1D58D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r>
              <w:rPr>
                <w:rFonts w:hint="eastAsia" w:ascii="仿宋_GB2312" w:hAnsi="宋体" w:eastAsia="仿宋_GB2312"/>
                <w:kern w:val="0"/>
              </w:rPr>
              <w:t>满意度</w:t>
            </w:r>
          </w:p>
        </w:tc>
        <w:tc>
          <w:tcPr>
            <w:tcW w:w="1389" w:type="dxa"/>
            <w:gridSpan w:val="2"/>
            <w:tcMar>
              <w:left w:w="57" w:type="dxa"/>
              <w:right w:w="57" w:type="dxa"/>
            </w:tcMar>
            <w:vAlign w:val="center"/>
          </w:tcPr>
          <w:p w14:paraId="744A06EE">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服务对象满意度</w:t>
            </w:r>
          </w:p>
        </w:tc>
        <w:tc>
          <w:tcPr>
            <w:tcW w:w="1518" w:type="dxa"/>
            <w:gridSpan w:val="2"/>
            <w:tcMar>
              <w:left w:w="57" w:type="dxa"/>
              <w:right w:w="57" w:type="dxa"/>
            </w:tcMar>
            <w:vAlign w:val="center"/>
          </w:tcPr>
          <w:p w14:paraId="04924130">
            <w:pPr>
              <w:keepNext w:val="0"/>
              <w:keepLines w:val="0"/>
              <w:pageBreakBefore w:val="0"/>
              <w:widowControl/>
              <w:kinsoku/>
              <w:wordWrap/>
              <w:overflowPunct/>
              <w:topLinePunct w:val="0"/>
              <w:autoSpaceDE/>
              <w:bidi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信访群众满意率</w:t>
            </w:r>
          </w:p>
        </w:tc>
        <w:tc>
          <w:tcPr>
            <w:tcW w:w="975" w:type="dxa"/>
            <w:gridSpan w:val="3"/>
            <w:tcMar>
              <w:left w:w="57" w:type="dxa"/>
              <w:right w:w="57" w:type="dxa"/>
            </w:tcMar>
            <w:vAlign w:val="center"/>
          </w:tcPr>
          <w:p w14:paraId="489E2055">
            <w:pPr>
              <w:keepNext w:val="0"/>
              <w:keepLines w:val="0"/>
              <w:pageBreakBefore w:val="0"/>
              <w:widowControl/>
              <w:kinsoku/>
              <w:wordWrap/>
              <w:overflowPunct/>
              <w:topLinePunct w:val="0"/>
              <w:autoSpaceDE/>
              <w:bidi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95%</w:t>
            </w:r>
          </w:p>
        </w:tc>
        <w:tc>
          <w:tcPr>
            <w:tcW w:w="841" w:type="dxa"/>
            <w:tcMar>
              <w:left w:w="57" w:type="dxa"/>
              <w:right w:w="57" w:type="dxa"/>
            </w:tcMar>
            <w:vAlign w:val="center"/>
          </w:tcPr>
          <w:p w14:paraId="2157DBF7">
            <w:pPr>
              <w:keepNext w:val="0"/>
              <w:keepLines w:val="0"/>
              <w:pageBreakBefore w:val="0"/>
              <w:widowControl/>
              <w:kinsoku/>
              <w:wordWrap/>
              <w:overflowPunct/>
              <w:topLinePunct w:val="0"/>
              <w:autoSpaceDE/>
              <w:bidi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95%</w:t>
            </w:r>
          </w:p>
        </w:tc>
        <w:tc>
          <w:tcPr>
            <w:tcW w:w="827" w:type="dxa"/>
            <w:gridSpan w:val="2"/>
            <w:tcMar>
              <w:left w:w="57" w:type="dxa"/>
              <w:right w:w="57" w:type="dxa"/>
            </w:tcMar>
            <w:vAlign w:val="center"/>
          </w:tcPr>
          <w:p w14:paraId="2F1A39B4">
            <w:pPr>
              <w:keepNext w:val="0"/>
              <w:keepLines w:val="0"/>
              <w:pageBreakBefore w:val="0"/>
              <w:widowControl/>
              <w:kinsoku/>
              <w:wordWrap/>
              <w:overflowPunct/>
              <w:topLinePunct w:val="0"/>
              <w:autoSpaceDE/>
              <w:bidi w:val="0"/>
              <w:spacing w:line="600" w:lineRule="exact"/>
              <w:jc w:val="center"/>
              <w:rPr>
                <w:rFonts w:ascii="仿宋_GB2312" w:hAnsi="宋体" w:eastAsia="仿宋_GB2312" w:cs="仿宋_GB2312"/>
                <w:kern w:val="0"/>
              </w:rPr>
            </w:pPr>
            <w:r>
              <w:rPr>
                <w:rFonts w:hint="eastAsia" w:ascii="仿宋_GB2312" w:hAnsi="宋体" w:eastAsia="仿宋_GB2312"/>
                <w:kern w:val="0"/>
                <w:szCs w:val="21"/>
              </w:rPr>
              <w:t>95%</w:t>
            </w:r>
          </w:p>
        </w:tc>
        <w:tc>
          <w:tcPr>
            <w:tcW w:w="563" w:type="dxa"/>
            <w:gridSpan w:val="2"/>
            <w:tcMar>
              <w:left w:w="57" w:type="dxa"/>
              <w:right w:w="57" w:type="dxa"/>
            </w:tcMar>
            <w:vAlign w:val="center"/>
          </w:tcPr>
          <w:p w14:paraId="548F60D3">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036A15F1">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r w14:paraId="5625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7" w:type="dxa"/>
            <w:vMerge w:val="continue"/>
            <w:tcMar>
              <w:left w:w="57" w:type="dxa"/>
              <w:right w:w="57" w:type="dxa"/>
            </w:tcMar>
            <w:vAlign w:val="center"/>
          </w:tcPr>
          <w:p w14:paraId="0EF03CFB">
            <w:pPr>
              <w:keepNext w:val="0"/>
              <w:keepLines w:val="0"/>
              <w:pageBreakBefore w:val="0"/>
              <w:widowControl/>
              <w:kinsoku/>
              <w:wordWrap/>
              <w:overflowPunct/>
              <w:topLinePunct w:val="0"/>
              <w:autoSpaceDE/>
              <w:bidi w:val="0"/>
              <w:snapToGrid w:val="0"/>
              <w:spacing w:line="600" w:lineRule="exact"/>
              <w:jc w:val="left"/>
              <w:rPr>
                <w:rFonts w:ascii="仿宋_GB2312" w:hAnsi="宋体" w:eastAsia="仿宋_GB2312"/>
                <w:kern w:val="0"/>
              </w:rPr>
            </w:pPr>
          </w:p>
        </w:tc>
        <w:tc>
          <w:tcPr>
            <w:tcW w:w="823" w:type="dxa"/>
            <w:gridSpan w:val="2"/>
            <w:vMerge w:val="continue"/>
            <w:tcMar>
              <w:left w:w="57" w:type="dxa"/>
              <w:right w:w="57" w:type="dxa"/>
            </w:tcMar>
            <w:vAlign w:val="center"/>
          </w:tcPr>
          <w:p w14:paraId="50B28CE9">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kern w:val="0"/>
              </w:rPr>
            </w:pPr>
          </w:p>
        </w:tc>
        <w:tc>
          <w:tcPr>
            <w:tcW w:w="1389" w:type="dxa"/>
            <w:gridSpan w:val="2"/>
            <w:tcMar>
              <w:left w:w="57" w:type="dxa"/>
              <w:right w:w="57" w:type="dxa"/>
            </w:tcMar>
            <w:vAlign w:val="center"/>
          </w:tcPr>
          <w:p w14:paraId="0CD7EC48">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联系部门满意度</w:t>
            </w:r>
          </w:p>
        </w:tc>
        <w:tc>
          <w:tcPr>
            <w:tcW w:w="1518" w:type="dxa"/>
            <w:gridSpan w:val="2"/>
            <w:tcMar>
              <w:left w:w="57" w:type="dxa"/>
              <w:right w:w="57" w:type="dxa"/>
            </w:tcMar>
            <w:vAlign w:val="center"/>
          </w:tcPr>
          <w:p w14:paraId="697943F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包保企业满意率</w:t>
            </w:r>
          </w:p>
        </w:tc>
        <w:tc>
          <w:tcPr>
            <w:tcW w:w="975" w:type="dxa"/>
            <w:gridSpan w:val="3"/>
            <w:tcMar>
              <w:left w:w="57" w:type="dxa"/>
              <w:right w:w="57" w:type="dxa"/>
            </w:tcMar>
            <w:vAlign w:val="center"/>
          </w:tcPr>
          <w:p w14:paraId="66BB249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95%</w:t>
            </w:r>
          </w:p>
        </w:tc>
        <w:tc>
          <w:tcPr>
            <w:tcW w:w="841" w:type="dxa"/>
            <w:tcMar>
              <w:left w:w="57" w:type="dxa"/>
              <w:right w:w="57" w:type="dxa"/>
            </w:tcMar>
            <w:vAlign w:val="center"/>
          </w:tcPr>
          <w:p w14:paraId="358607A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95%</w:t>
            </w:r>
          </w:p>
        </w:tc>
        <w:tc>
          <w:tcPr>
            <w:tcW w:w="827" w:type="dxa"/>
            <w:gridSpan w:val="2"/>
            <w:tcMar>
              <w:left w:w="57" w:type="dxa"/>
              <w:right w:w="57" w:type="dxa"/>
            </w:tcMar>
            <w:vAlign w:val="center"/>
          </w:tcPr>
          <w:p w14:paraId="290370A6">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95%</w:t>
            </w:r>
          </w:p>
        </w:tc>
        <w:tc>
          <w:tcPr>
            <w:tcW w:w="563" w:type="dxa"/>
            <w:gridSpan w:val="2"/>
            <w:tcMar>
              <w:left w:w="57" w:type="dxa"/>
              <w:right w:w="57" w:type="dxa"/>
            </w:tcMar>
            <w:vAlign w:val="center"/>
          </w:tcPr>
          <w:p w14:paraId="09372F9C">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cs="仿宋_GB2312"/>
                <w:kern w:val="0"/>
              </w:rPr>
              <w:t>国家标准</w:t>
            </w:r>
          </w:p>
        </w:tc>
        <w:tc>
          <w:tcPr>
            <w:tcW w:w="615" w:type="dxa"/>
            <w:tcMar>
              <w:left w:w="57" w:type="dxa"/>
              <w:right w:w="57" w:type="dxa"/>
            </w:tcMar>
            <w:vAlign w:val="center"/>
          </w:tcPr>
          <w:p w14:paraId="3373A1C5">
            <w:pPr>
              <w:keepNext w:val="0"/>
              <w:keepLines w:val="0"/>
              <w:pageBreakBefore w:val="0"/>
              <w:widowControl/>
              <w:kinsoku/>
              <w:wordWrap/>
              <w:overflowPunct/>
              <w:topLinePunct w:val="0"/>
              <w:autoSpaceDE/>
              <w:bidi w:val="0"/>
              <w:snapToGrid w:val="0"/>
              <w:spacing w:line="600" w:lineRule="exact"/>
              <w:jc w:val="center"/>
              <w:rPr>
                <w:rFonts w:ascii="仿宋_GB2312" w:hAnsi="宋体" w:eastAsia="仿宋_GB2312" w:cs="仿宋_GB2312"/>
                <w:kern w:val="0"/>
              </w:rPr>
            </w:pPr>
            <w:r>
              <w:rPr>
                <w:rFonts w:hint="eastAsia" w:ascii="仿宋_GB2312" w:hAnsi="宋体" w:eastAsia="仿宋_GB2312"/>
                <w:kern w:val="0"/>
              </w:rPr>
              <w:t>绩效基本型</w:t>
            </w:r>
          </w:p>
        </w:tc>
      </w:tr>
    </w:tbl>
    <w:p w14:paraId="00187EA8">
      <w:pPr>
        <w:keepNext w:val="0"/>
        <w:keepLines w:val="0"/>
        <w:pageBreakBefore w:val="0"/>
        <w:kinsoku/>
        <w:wordWrap/>
        <w:overflowPunct/>
        <w:topLinePunct w:val="0"/>
        <w:autoSpaceDE/>
        <w:bidi w:val="0"/>
        <w:spacing w:line="600" w:lineRule="exact"/>
        <w:ind w:firstLine="560" w:firstLineChars="200"/>
        <w:rPr>
          <w:sz w:val="28"/>
          <w:szCs w:val="28"/>
        </w:rPr>
      </w:pPr>
    </w:p>
    <w:p w14:paraId="5903E2BA">
      <w:pPr>
        <w:keepNext w:val="0"/>
        <w:keepLines w:val="0"/>
        <w:pageBreakBefore w:val="0"/>
        <w:numPr>
          <w:ilvl w:val="0"/>
          <w:numId w:val="2"/>
        </w:numPr>
        <w:kinsoku/>
        <w:wordWrap/>
        <w:overflowPunct/>
        <w:topLinePunct w:val="0"/>
        <w:autoSpaceDE/>
        <w:bidi w:val="0"/>
        <w:spacing w:line="60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鄂州市信访局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-2026年项目绩效目标批复</w:t>
      </w:r>
    </w:p>
    <w:tbl>
      <w:tblPr>
        <w:tblStyle w:val="6"/>
        <w:tblpPr w:leftFromText="180" w:rightFromText="180" w:vertAnchor="text" w:horzAnchor="page" w:tblpX="1352" w:tblpY="1572"/>
        <w:tblOverlap w:val="never"/>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6"/>
        <w:gridCol w:w="1035"/>
        <w:gridCol w:w="1403"/>
        <w:gridCol w:w="3075"/>
        <w:gridCol w:w="1515"/>
        <w:gridCol w:w="1396"/>
      </w:tblGrid>
      <w:tr w14:paraId="0A5A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690" w:type="dxa"/>
            <w:gridSpan w:val="6"/>
            <w:tcBorders>
              <w:top w:val="nil"/>
              <w:left w:val="nil"/>
              <w:bottom w:val="nil"/>
              <w:right w:val="nil"/>
            </w:tcBorders>
            <w:shd w:val="clear" w:color="auto" w:fill="auto"/>
            <w:noWrap/>
            <w:vAlign w:val="center"/>
          </w:tcPr>
          <w:p w14:paraId="33AC1385">
            <w:pPr>
              <w:keepNext w:val="0"/>
              <w:keepLines w:val="0"/>
              <w:pageBreakBefore w:val="0"/>
              <w:widowControl/>
              <w:suppressLineNumbers w:val="0"/>
              <w:kinsoku/>
              <w:wordWrap/>
              <w:overflowPunct/>
              <w:topLinePunct w:val="0"/>
              <w:autoSpaceDE/>
              <w:bidi w:val="0"/>
              <w:spacing w:line="600" w:lineRule="exact"/>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项目支出绩效目标批复表</w:t>
            </w:r>
          </w:p>
        </w:tc>
      </w:tr>
      <w:tr w14:paraId="4AE61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nil"/>
              <w:left w:val="nil"/>
              <w:bottom w:val="single" w:color="000000" w:sz="4" w:space="0"/>
              <w:right w:val="nil"/>
            </w:tcBorders>
            <w:shd w:val="clear" w:color="auto" w:fill="auto"/>
            <w:noWrap/>
            <w:vAlign w:val="center"/>
          </w:tcPr>
          <w:p w14:paraId="05E4EA3E">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宋体" w:hAnsi="宋体" w:eastAsia="宋体" w:cs="宋体"/>
                <w:i w:val="0"/>
                <w:iCs w:val="0"/>
                <w:color w:val="000000"/>
                <w:sz w:val="21"/>
                <w:szCs w:val="21"/>
                <w:u w:val="none"/>
              </w:rPr>
            </w:pPr>
            <w:r>
              <w:rPr>
                <w:rStyle w:val="9"/>
                <w:lang w:val="en-US" w:eastAsia="zh-CN" w:bidi="ar"/>
              </w:rPr>
              <w:t>申报单位：</w:t>
            </w:r>
            <w:r>
              <w:rPr>
                <w:rStyle w:val="10"/>
                <w:rFonts w:hAnsi="宋体"/>
                <w:lang w:val="en-US" w:eastAsia="zh-CN" w:bidi="ar"/>
              </w:rPr>
              <w:t xml:space="preserve"> </w:t>
            </w:r>
          </w:p>
        </w:tc>
        <w:tc>
          <w:tcPr>
            <w:tcW w:w="0" w:type="auto"/>
            <w:gridSpan w:val="3"/>
            <w:tcBorders>
              <w:top w:val="nil"/>
              <w:left w:val="nil"/>
              <w:bottom w:val="single" w:color="000000" w:sz="4" w:space="0"/>
              <w:right w:val="nil"/>
            </w:tcBorders>
            <w:shd w:val="clear" w:color="auto" w:fill="auto"/>
            <w:noWrap/>
            <w:vAlign w:val="center"/>
          </w:tcPr>
          <w:p w14:paraId="37E55BE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鄂州市信访局本级</w:t>
            </w:r>
          </w:p>
        </w:tc>
        <w:tc>
          <w:tcPr>
            <w:tcW w:w="0" w:type="auto"/>
            <w:gridSpan w:val="2"/>
            <w:tcBorders>
              <w:top w:val="nil"/>
              <w:left w:val="nil"/>
              <w:bottom w:val="single" w:color="000000" w:sz="4" w:space="0"/>
              <w:right w:val="nil"/>
            </w:tcBorders>
            <w:shd w:val="clear" w:color="auto" w:fill="auto"/>
            <w:noWrap/>
            <w:vAlign w:val="center"/>
          </w:tcPr>
          <w:p w14:paraId="2B34FE44">
            <w:pPr>
              <w:keepNext w:val="0"/>
              <w:keepLines w:val="0"/>
              <w:pageBreakBefore w:val="0"/>
              <w:widowControl/>
              <w:suppressLineNumbers w:val="0"/>
              <w:kinsoku/>
              <w:wordWrap/>
              <w:overflowPunct/>
              <w:topLinePunct w:val="0"/>
              <w:autoSpaceDE/>
              <w:bidi w:val="0"/>
              <w:spacing w:line="600" w:lineRule="exact"/>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14:paraId="752B7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483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项目名称</w:t>
            </w:r>
          </w:p>
        </w:tc>
        <w:tc>
          <w:tcPr>
            <w:tcW w:w="2550" w:type="dxa"/>
            <w:gridSpan w:val="2"/>
            <w:tcBorders>
              <w:top w:val="single" w:color="000000" w:sz="4" w:space="0"/>
              <w:left w:val="single" w:color="000000" w:sz="4" w:space="0"/>
              <w:bottom w:val="single" w:color="000000" w:sz="4" w:space="0"/>
              <w:right w:val="nil"/>
            </w:tcBorders>
            <w:shd w:val="clear" w:color="auto" w:fill="auto"/>
            <w:vAlign w:val="center"/>
          </w:tcPr>
          <w:p w14:paraId="7DA0DAE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信访专项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80E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项目预算</w:t>
            </w:r>
          </w:p>
        </w:tc>
        <w:tc>
          <w:tcPr>
            <w:tcW w:w="3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9B38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126.5</w:t>
            </w:r>
          </w:p>
        </w:tc>
      </w:tr>
      <w:tr w14:paraId="06B9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3321C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Style w:val="11"/>
                <w:rFonts w:hAnsi="宋体"/>
                <w:lang w:val="en-US" w:eastAsia="zh-CN" w:bidi="ar"/>
              </w:rPr>
              <w:t>项目绩效总目标</w:t>
            </w:r>
          </w:p>
        </w:tc>
      </w:tr>
      <w:tr w14:paraId="476E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0789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名称</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9F84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目标说明</w:t>
            </w:r>
          </w:p>
        </w:tc>
      </w:tr>
      <w:tr w14:paraId="2749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FC0C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长期绩效目标1</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75DC17">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1.2026年全年市信访工作联席会议办公室、市信访事项复查复核办公室、市群众来访接待中心各项工作正常运转；2.2026年1月至12月，保证驻京、赴汉专班正常开展工作，及时、稳妥处置群众来访，进京、赴省上访人员能够得到及时劝返。3.统筹协调和督促调研全市信访工作，及时通报情况，深入开展调研分析，研究改进工作；统筹协调市政府信访事项复查复核活动。4.受理智慧信访系统网上投诉信访量、来信、来电访，全市信访总量持平，形势平稳可控。5.协调推动解决重要信访问题。</w:t>
            </w:r>
          </w:p>
        </w:tc>
      </w:tr>
      <w:tr w14:paraId="6B2A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DC4E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年度绩效目标1</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505A8A">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1.2026年全年市信访工作联席会议办公室、市信访事项复查复核办公室、市群众来访接待中心各项工作正常运转；2.2026年1月至12月，保证驻京、赴汉专班正常开展工作，及时、稳妥处置群众来访，进京、赴省上访人员能够得到及时劝返。3.统筹协调和督促调研全市信访工作，及时通报情况，深入开展调研分析，研究改进工作；统筹协调市政府信访事项复查复核活动。4.受理智慧信访系统网上投诉信访量、来信、来电访，全市信访总量持平，形势平稳可控。5.协调推动解决重要信访问题。</w:t>
            </w:r>
          </w:p>
        </w:tc>
      </w:tr>
      <w:tr w14:paraId="3BC82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03016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Style w:val="11"/>
                <w:rFonts w:hAnsi="宋体"/>
                <w:lang w:val="en-US" w:eastAsia="zh-CN" w:bidi="ar"/>
              </w:rPr>
              <w:t>长期绩效目标表</w:t>
            </w:r>
          </w:p>
        </w:tc>
      </w:tr>
      <w:tr w14:paraId="1548C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F7E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目标名称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CBE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996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二级指标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D65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三级指标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787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指标值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C73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指标值确定依据</w:t>
            </w:r>
          </w:p>
        </w:tc>
      </w:tr>
      <w:tr w14:paraId="11A3A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C824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长期目标1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C62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969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经济成本指标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C7C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项目总成本额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192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≤126.5万元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165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计划标准</w:t>
            </w:r>
          </w:p>
        </w:tc>
      </w:tr>
      <w:tr w14:paraId="5403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6357">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A42D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3C87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数量指标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CCF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赴省进京专班</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17E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≥120人次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C5E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3B528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2CB00">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A035D">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5093D">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E65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编发文件宣传资料</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77F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≥10000份</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ABD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7F02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451F0">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5CB54">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F1B89">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FDC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全市信访工作调研</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321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≥126人次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353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计划标准</w:t>
            </w:r>
          </w:p>
        </w:tc>
      </w:tr>
      <w:tr w14:paraId="7F82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71814">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346A2">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E8E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质量指标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0C7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全市信访工作调研质量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475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达标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6AF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7FB9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7667">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FEF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B51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社会效益指标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A6B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62C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平稳可控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DED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1A822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42F2A">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385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C6E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BBF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信访人满意度</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B26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5DD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487BF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08B6C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Style w:val="11"/>
                <w:rFonts w:hAnsi="宋体"/>
                <w:lang w:val="en-US" w:eastAsia="zh-CN" w:bidi="ar"/>
              </w:rPr>
              <w:t>年度绩效目标表</w:t>
            </w:r>
          </w:p>
        </w:tc>
      </w:tr>
      <w:tr w14:paraId="4E27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731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目标名称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84D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49A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二级指标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35A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三级指标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10F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Style w:val="10"/>
                <w:rFonts w:hAnsi="宋体"/>
                <w:lang w:val="en-US" w:eastAsia="zh-CN" w:bidi="ar"/>
              </w:rPr>
              <w:t>指标值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B8A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指标值确定依据</w:t>
            </w:r>
          </w:p>
        </w:tc>
      </w:tr>
      <w:tr w14:paraId="5AD5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0DD5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年度目标1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B3E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71A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经济成本指标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9FF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项目总成本额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0D7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≤126.5万元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C75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计划标准</w:t>
            </w:r>
          </w:p>
        </w:tc>
      </w:tr>
      <w:tr w14:paraId="041A9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701E7">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133E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9A22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数量指标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106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赴省进京专班</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17F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≥120人次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6A6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5CB32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1FB67">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587D1">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2C17F">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A39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编发文件宣传资料</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7B0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≥10000份</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EB1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3D817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E5EBD">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87C08">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8EB18">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276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全市信访工作调研</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DB7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≥126人次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1D8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计划标准</w:t>
            </w:r>
          </w:p>
        </w:tc>
      </w:tr>
      <w:tr w14:paraId="05013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AF76D">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4039F">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ECA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质量指标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941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全市信访工作调研质量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BCB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达标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D2F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2135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4D020">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F71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3C4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社会效益指标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1B6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34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平稳可控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6EB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1828A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1145F">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95A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634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6BA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信访人满意度</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A18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06F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bl>
    <w:p w14:paraId="11436B31">
      <w:pPr>
        <w:pStyle w:val="2"/>
        <w:keepNext w:val="0"/>
        <w:keepLines w:val="0"/>
        <w:pageBreakBefore w:val="0"/>
        <w:numPr>
          <w:ilvl w:val="0"/>
          <w:numId w:val="0"/>
        </w:numPr>
        <w:kinsoku/>
        <w:wordWrap/>
        <w:overflowPunct/>
        <w:topLinePunct w:val="0"/>
        <w:autoSpaceDE/>
        <w:bidi w:val="0"/>
        <w:spacing w:line="600" w:lineRule="exact"/>
        <w:jc w:val="both"/>
        <w:rPr>
          <w:rFonts w:hint="eastAsia"/>
          <w:lang w:val="en-US" w:eastAsia="zh-CN"/>
        </w:rPr>
      </w:pPr>
    </w:p>
    <w:p w14:paraId="1011E6A0">
      <w:pPr>
        <w:keepNext w:val="0"/>
        <w:keepLines w:val="0"/>
        <w:pageBreakBefore w:val="0"/>
        <w:numPr>
          <w:ilvl w:val="0"/>
          <w:numId w:val="2"/>
        </w:numPr>
        <w:kinsoku/>
        <w:wordWrap/>
        <w:overflowPunct/>
        <w:topLinePunct w:val="0"/>
        <w:autoSpaceDE/>
        <w:bidi w:val="0"/>
        <w:spacing w:line="600" w:lineRule="exact"/>
        <w:ind w:left="0" w:leftChars="0"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鄂州市信访局-2026年项目绩效目标批复</w:t>
      </w:r>
    </w:p>
    <w:tbl>
      <w:tblPr>
        <w:tblStyle w:val="6"/>
        <w:tblpPr w:leftFromText="180" w:rightFromText="180" w:vertAnchor="text" w:horzAnchor="page" w:tblpX="1487" w:tblpY="1054"/>
        <w:tblOverlap w:val="never"/>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6"/>
        <w:gridCol w:w="1035"/>
        <w:gridCol w:w="1403"/>
        <w:gridCol w:w="3075"/>
        <w:gridCol w:w="1515"/>
        <w:gridCol w:w="1396"/>
      </w:tblGrid>
      <w:tr w14:paraId="4DEC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690" w:type="dxa"/>
            <w:gridSpan w:val="6"/>
            <w:tcBorders>
              <w:top w:val="nil"/>
              <w:left w:val="nil"/>
              <w:bottom w:val="nil"/>
              <w:right w:val="nil"/>
            </w:tcBorders>
            <w:shd w:val="clear" w:color="auto" w:fill="auto"/>
            <w:noWrap/>
            <w:vAlign w:val="center"/>
          </w:tcPr>
          <w:p w14:paraId="1AFDF86F">
            <w:pPr>
              <w:keepNext w:val="0"/>
              <w:keepLines w:val="0"/>
              <w:pageBreakBefore w:val="0"/>
              <w:widowControl/>
              <w:suppressLineNumbers w:val="0"/>
              <w:kinsoku/>
              <w:wordWrap/>
              <w:overflowPunct/>
              <w:topLinePunct w:val="0"/>
              <w:autoSpaceDE/>
              <w:bidi w:val="0"/>
              <w:spacing w:line="600" w:lineRule="exact"/>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项目支出绩效目标批复表</w:t>
            </w:r>
          </w:p>
        </w:tc>
      </w:tr>
      <w:tr w14:paraId="2ED34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nil"/>
              <w:left w:val="nil"/>
              <w:bottom w:val="single" w:color="000000" w:sz="4" w:space="0"/>
              <w:right w:val="nil"/>
            </w:tcBorders>
            <w:shd w:val="clear" w:color="auto" w:fill="auto"/>
            <w:noWrap/>
            <w:vAlign w:val="center"/>
          </w:tcPr>
          <w:p w14:paraId="7CEC665B">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申报单位：</w:t>
            </w:r>
            <w:r>
              <w:rPr>
                <w:rFonts w:ascii="仿宋_GB2312" w:hAnsi="宋体" w:eastAsia="仿宋_GB2312" w:cs="仿宋_GB2312"/>
                <w:i w:val="0"/>
                <w:iCs w:val="0"/>
                <w:color w:val="000000"/>
                <w:kern w:val="0"/>
                <w:sz w:val="21"/>
                <w:szCs w:val="21"/>
                <w:u w:val="none"/>
                <w:lang w:val="en-US" w:eastAsia="zh-CN" w:bidi="ar"/>
              </w:rPr>
              <w:t xml:space="preserve"> </w:t>
            </w:r>
          </w:p>
        </w:tc>
        <w:tc>
          <w:tcPr>
            <w:tcW w:w="0" w:type="auto"/>
            <w:gridSpan w:val="3"/>
            <w:tcBorders>
              <w:top w:val="nil"/>
              <w:left w:val="nil"/>
              <w:bottom w:val="single" w:color="000000" w:sz="4" w:space="0"/>
              <w:right w:val="nil"/>
            </w:tcBorders>
            <w:shd w:val="clear" w:color="auto" w:fill="auto"/>
            <w:noWrap/>
            <w:vAlign w:val="center"/>
          </w:tcPr>
          <w:p w14:paraId="0C92DB3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鄂州市信访局本级</w:t>
            </w:r>
          </w:p>
        </w:tc>
        <w:tc>
          <w:tcPr>
            <w:tcW w:w="0" w:type="auto"/>
            <w:gridSpan w:val="2"/>
            <w:tcBorders>
              <w:top w:val="nil"/>
              <w:left w:val="nil"/>
              <w:bottom w:val="single" w:color="000000" w:sz="4" w:space="0"/>
              <w:right w:val="nil"/>
            </w:tcBorders>
            <w:shd w:val="clear" w:color="auto" w:fill="auto"/>
            <w:noWrap/>
            <w:vAlign w:val="center"/>
          </w:tcPr>
          <w:p w14:paraId="61885D49">
            <w:pPr>
              <w:keepNext w:val="0"/>
              <w:keepLines w:val="0"/>
              <w:pageBreakBefore w:val="0"/>
              <w:widowControl/>
              <w:suppressLineNumbers w:val="0"/>
              <w:kinsoku/>
              <w:wordWrap/>
              <w:overflowPunct/>
              <w:topLinePunct w:val="0"/>
              <w:autoSpaceDE/>
              <w:bidi w:val="0"/>
              <w:spacing w:line="600" w:lineRule="exact"/>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14:paraId="6254E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EAC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项目名称</w:t>
            </w:r>
          </w:p>
        </w:tc>
        <w:tc>
          <w:tcPr>
            <w:tcW w:w="2550" w:type="dxa"/>
            <w:gridSpan w:val="2"/>
            <w:tcBorders>
              <w:top w:val="single" w:color="000000" w:sz="4" w:space="0"/>
              <w:left w:val="single" w:color="000000" w:sz="4" w:space="0"/>
              <w:bottom w:val="single" w:color="000000" w:sz="4" w:space="0"/>
              <w:right w:val="nil"/>
            </w:tcBorders>
            <w:shd w:val="clear" w:color="auto" w:fill="auto"/>
            <w:vAlign w:val="center"/>
          </w:tcPr>
          <w:p w14:paraId="2C37B87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法律顾问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257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项目预算</w:t>
            </w:r>
          </w:p>
        </w:tc>
        <w:tc>
          <w:tcPr>
            <w:tcW w:w="3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EE07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w:t>
            </w:r>
          </w:p>
        </w:tc>
      </w:tr>
      <w:tr w14:paraId="1DEE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95041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项目绩效总目标</w:t>
            </w:r>
          </w:p>
        </w:tc>
      </w:tr>
      <w:tr w14:paraId="36984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F754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名称</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869D8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目标说明</w:t>
            </w:r>
          </w:p>
        </w:tc>
      </w:tr>
      <w:tr w14:paraId="61B2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6A4C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长期绩效目标1</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397329">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1.2026年全年市信访工作联席会议办公室、市信访事项复查复核办公室、市群众来访接待中心各项工作正常运转；通过法律顾问提供高质量、高效率的专业服务，有效应对单位日常运营中的法律需求，成功处理重点法律事务，在风险控制、权益保障、决策支持、能力建设四个方面取得可量化、可评估的显著成效，确保法律顾问经费投入产出比最优。统筹协调市政府信访事项复查复核活动。受理智慧信访系统网上投诉信访量、来信、来电访，全市信访总量持平，形势平稳可控。协调推动解决重要信访问题。</w:t>
            </w:r>
          </w:p>
        </w:tc>
      </w:tr>
      <w:tr w14:paraId="552D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3FCA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年度绩效目标1</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CCA003">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1.2026年全年市信访工作联席会议办公室、市信访事项复查复核办公室、市群众来访接待中心各项工作正常运转；通过法律顾问提供高质量、高效率的专业服务，有效应对单位日常运营中的法律需求，成功处理重点法律事务，在风险控制、权益保障、决策支持、能力建设四个方面取得可量化、可评估的显著成效，确保法律顾问经费投入产出比最优。统筹协调市政府信访事项复查复核活动。受理智慧信访系统网上投诉信访量、来信、来电访，全市信访总量持平，形势平稳可控。协调推动解决重要信访问题。</w:t>
            </w:r>
          </w:p>
        </w:tc>
      </w:tr>
      <w:tr w14:paraId="7AF27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DC388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长期绩效目标表</w:t>
            </w:r>
          </w:p>
        </w:tc>
      </w:tr>
      <w:tr w14:paraId="04059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824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目标名称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B06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75D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二级指标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F1B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三级指标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19C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指标值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860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指标值确定依据</w:t>
            </w:r>
          </w:p>
        </w:tc>
      </w:tr>
      <w:tr w14:paraId="3144C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49D9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长期目标1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B86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209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经济成本指标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334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项目成本</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5FC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F88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5AFB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E1D56">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29FE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3D6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数量指标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1BB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律师人数</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247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053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6C38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1C2F3">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0622B">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771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质量指标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27D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接访工作合规性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17A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增强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973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20A4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80E63">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6ED3D">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803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时效指标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AD5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提供法律服务及时性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41E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及时</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EAC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291F5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B18BF">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513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CD0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社会效益指标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4FB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124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持平</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936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28ACD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34229">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E14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C72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E95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信访人满意度</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F0D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9A4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5DC39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C22D4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年度绩效目标表</w:t>
            </w:r>
          </w:p>
        </w:tc>
      </w:tr>
      <w:tr w14:paraId="465DC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449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目标名称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204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BB3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二级指标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B21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三级指标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6E2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指标值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3ED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指标值确定依据</w:t>
            </w:r>
          </w:p>
        </w:tc>
      </w:tr>
      <w:tr w14:paraId="2FEBB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8454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年度目标1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E04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C88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经济成本指标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2FE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项目成本</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4B4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CF7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64CA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F7C3B">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77C1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087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数量指标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76A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律师人数</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482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236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19346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1FA90">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26625">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1E9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质量指标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26E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接访工作合规性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C78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增强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6EA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76931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EAD79">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0A2FB">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D08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时效指标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B11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提供法律服务及时性</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3DE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及时</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0C7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5D10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D0FB9">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C43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825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社会效益指标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99E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全市信访量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97D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持平</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3A4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1FDD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F4FEE">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C20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73A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8B8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信访人满意度</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2A8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430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bl>
    <w:p w14:paraId="026D3B06">
      <w:pPr>
        <w:pStyle w:val="2"/>
        <w:keepNext w:val="0"/>
        <w:keepLines w:val="0"/>
        <w:pageBreakBefore w:val="0"/>
        <w:numPr>
          <w:ilvl w:val="0"/>
          <w:numId w:val="0"/>
        </w:numPr>
        <w:kinsoku/>
        <w:wordWrap/>
        <w:overflowPunct/>
        <w:topLinePunct w:val="0"/>
        <w:autoSpaceDE/>
        <w:bidi w:val="0"/>
        <w:spacing w:line="600" w:lineRule="exact"/>
        <w:ind w:left="-420" w:leftChars="-200" w:firstLine="0" w:firstLineChars="0"/>
        <w:jc w:val="both"/>
        <w:rPr>
          <w:rFonts w:hint="eastAsia"/>
          <w:lang w:val="en-US" w:eastAsia="zh-CN"/>
        </w:rPr>
      </w:pPr>
    </w:p>
    <w:p w14:paraId="3F579F21">
      <w:pPr>
        <w:keepNext w:val="0"/>
        <w:keepLines w:val="0"/>
        <w:pageBreakBefore w:val="0"/>
        <w:numPr>
          <w:ilvl w:val="0"/>
          <w:numId w:val="2"/>
        </w:numPr>
        <w:kinsoku/>
        <w:wordWrap/>
        <w:overflowPunct/>
        <w:topLinePunct w:val="0"/>
        <w:autoSpaceDE/>
        <w:bidi w:val="0"/>
        <w:spacing w:line="600" w:lineRule="exact"/>
        <w:ind w:left="0" w:leftChars="0"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鄂州市信访局-2026年项目绩效目标批复</w:t>
      </w:r>
    </w:p>
    <w:tbl>
      <w:tblPr>
        <w:tblStyle w:val="6"/>
        <w:tblpPr w:leftFromText="180" w:rightFromText="180" w:vertAnchor="text" w:horzAnchor="page" w:tblpX="1457" w:tblpY="826"/>
        <w:tblOverlap w:val="never"/>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6"/>
        <w:gridCol w:w="1035"/>
        <w:gridCol w:w="1403"/>
        <w:gridCol w:w="3075"/>
        <w:gridCol w:w="1515"/>
        <w:gridCol w:w="1396"/>
      </w:tblGrid>
      <w:tr w14:paraId="03EC3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690" w:type="dxa"/>
            <w:gridSpan w:val="6"/>
            <w:tcBorders>
              <w:top w:val="nil"/>
              <w:left w:val="nil"/>
              <w:bottom w:val="nil"/>
              <w:right w:val="nil"/>
            </w:tcBorders>
            <w:shd w:val="clear" w:color="auto" w:fill="auto"/>
            <w:noWrap/>
            <w:vAlign w:val="center"/>
          </w:tcPr>
          <w:p w14:paraId="75BC2C11">
            <w:pPr>
              <w:keepNext w:val="0"/>
              <w:keepLines w:val="0"/>
              <w:pageBreakBefore w:val="0"/>
              <w:widowControl/>
              <w:suppressLineNumbers w:val="0"/>
              <w:kinsoku/>
              <w:wordWrap/>
              <w:overflowPunct/>
              <w:topLinePunct w:val="0"/>
              <w:autoSpaceDE/>
              <w:bidi w:val="0"/>
              <w:spacing w:line="600" w:lineRule="exact"/>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项目支出绩效目标批复表</w:t>
            </w:r>
          </w:p>
        </w:tc>
      </w:tr>
      <w:tr w14:paraId="64B2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nil"/>
              <w:left w:val="nil"/>
              <w:bottom w:val="single" w:color="000000" w:sz="4" w:space="0"/>
              <w:right w:val="nil"/>
            </w:tcBorders>
            <w:shd w:val="clear" w:color="auto" w:fill="auto"/>
            <w:noWrap/>
            <w:vAlign w:val="center"/>
          </w:tcPr>
          <w:p w14:paraId="5CFF1F9C">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申报单位：</w:t>
            </w:r>
            <w:r>
              <w:rPr>
                <w:rFonts w:ascii="仿宋_GB2312" w:hAnsi="宋体" w:eastAsia="仿宋_GB2312" w:cs="仿宋_GB2312"/>
                <w:i w:val="0"/>
                <w:iCs w:val="0"/>
                <w:color w:val="000000"/>
                <w:kern w:val="0"/>
                <w:sz w:val="21"/>
                <w:szCs w:val="21"/>
                <w:u w:val="none"/>
                <w:lang w:val="en-US" w:eastAsia="zh-CN" w:bidi="ar"/>
              </w:rPr>
              <w:t xml:space="preserve"> </w:t>
            </w:r>
          </w:p>
        </w:tc>
        <w:tc>
          <w:tcPr>
            <w:tcW w:w="0" w:type="auto"/>
            <w:gridSpan w:val="3"/>
            <w:tcBorders>
              <w:top w:val="nil"/>
              <w:left w:val="nil"/>
              <w:bottom w:val="single" w:color="000000" w:sz="4" w:space="0"/>
              <w:right w:val="nil"/>
            </w:tcBorders>
            <w:shd w:val="clear" w:color="auto" w:fill="auto"/>
            <w:noWrap/>
            <w:vAlign w:val="center"/>
          </w:tcPr>
          <w:p w14:paraId="5FFD7E4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鄂州市信访局本级</w:t>
            </w:r>
          </w:p>
        </w:tc>
        <w:tc>
          <w:tcPr>
            <w:tcW w:w="0" w:type="auto"/>
            <w:gridSpan w:val="2"/>
            <w:tcBorders>
              <w:top w:val="nil"/>
              <w:left w:val="nil"/>
              <w:bottom w:val="single" w:color="000000" w:sz="4" w:space="0"/>
              <w:right w:val="nil"/>
            </w:tcBorders>
            <w:shd w:val="clear" w:color="auto" w:fill="auto"/>
            <w:noWrap/>
            <w:vAlign w:val="center"/>
          </w:tcPr>
          <w:p w14:paraId="3E002AEE">
            <w:pPr>
              <w:keepNext w:val="0"/>
              <w:keepLines w:val="0"/>
              <w:pageBreakBefore w:val="0"/>
              <w:widowControl/>
              <w:suppressLineNumbers w:val="0"/>
              <w:kinsoku/>
              <w:wordWrap/>
              <w:overflowPunct/>
              <w:topLinePunct w:val="0"/>
              <w:autoSpaceDE/>
              <w:bidi w:val="0"/>
              <w:spacing w:line="600" w:lineRule="exact"/>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14:paraId="5707C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163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项目名称</w:t>
            </w:r>
          </w:p>
        </w:tc>
        <w:tc>
          <w:tcPr>
            <w:tcW w:w="2550" w:type="dxa"/>
            <w:gridSpan w:val="2"/>
            <w:tcBorders>
              <w:top w:val="single" w:color="000000" w:sz="4" w:space="0"/>
              <w:left w:val="single" w:color="000000" w:sz="4" w:space="0"/>
              <w:bottom w:val="single" w:color="000000" w:sz="4" w:space="0"/>
              <w:right w:val="nil"/>
            </w:tcBorders>
            <w:shd w:val="clear" w:color="auto" w:fill="auto"/>
            <w:vAlign w:val="center"/>
          </w:tcPr>
          <w:p w14:paraId="35094E3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援疆对口社区帮扶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D18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项目预算</w:t>
            </w:r>
          </w:p>
        </w:tc>
        <w:tc>
          <w:tcPr>
            <w:tcW w:w="3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2259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w:t>
            </w:r>
          </w:p>
        </w:tc>
      </w:tr>
      <w:tr w14:paraId="6A879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25144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项目绩效总目标</w:t>
            </w:r>
          </w:p>
        </w:tc>
      </w:tr>
      <w:tr w14:paraId="02DFF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2301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名称</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A9D59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目标说明</w:t>
            </w:r>
          </w:p>
        </w:tc>
      </w:tr>
      <w:tr w14:paraId="2C7E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B6C7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长期绩效目标1</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B63448">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通过实施一系列具体、可操作的共建活动，初步建立起高效顺畅的共建工作机制，在组织共建、产业共兴、服务共促、文明共创四个方面取得阶段性显著成果，为总目标的实现奠定坚实基础，使帮扶村（社区）居民获得实实在在的幸福感与获得感。</w:t>
            </w:r>
          </w:p>
        </w:tc>
      </w:tr>
      <w:tr w14:paraId="46B4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2B3B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年度绩效目标1</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0A515A">
            <w:pPr>
              <w:keepNext w:val="0"/>
              <w:keepLines w:val="0"/>
              <w:pageBreakBefore w:val="0"/>
              <w:widowControl/>
              <w:suppressLineNumbers w:val="0"/>
              <w:kinsoku/>
              <w:wordWrap/>
              <w:overflowPunct/>
              <w:topLinePunct w:val="0"/>
              <w:autoSpaceDE/>
              <w:bidi w:val="0"/>
              <w:spacing w:line="6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通过实施一系列具体、可操作的共建活动，初步建立起高效顺畅的共建工作机制，在组织共建、产业共兴、服务共促、文明共创四个方面取得阶段性显著成果，为总目标的实现奠定坚实基础，使帮扶村（社区）居民获得实实在在的幸福感与获得感。</w:t>
            </w:r>
          </w:p>
        </w:tc>
      </w:tr>
      <w:tr w14:paraId="6BDA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EF5BC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长期绩效目标表</w:t>
            </w:r>
          </w:p>
        </w:tc>
      </w:tr>
      <w:tr w14:paraId="369E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A4F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目标名称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71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660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二级指标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5D5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三级指标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985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指标值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AB1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指标值确定依据</w:t>
            </w:r>
          </w:p>
        </w:tc>
      </w:tr>
      <w:tr w14:paraId="5AFC3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8760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长期目标1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371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C4E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经济成本指标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AD4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项目成本</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8ED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E9F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13D5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D6DF7">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7271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1A8F5">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数量指标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A9B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共建活动</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47C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ADD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2FD1A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9ADF0">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C0282">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AF7A">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3F2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帮扶村(社区)数量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E09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≥2个</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D34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65F24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19F26">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B1E9B">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75D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质量指标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369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驻村人员素质</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14F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符合调优派强力量要求</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4D8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行业标准</w:t>
            </w:r>
          </w:p>
        </w:tc>
      </w:tr>
      <w:tr w14:paraId="19AD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36F41">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D32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D3B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社会效益指标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EB6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帮扶对象乡村治理水平</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D0F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提升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A41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行业标准</w:t>
            </w:r>
          </w:p>
        </w:tc>
      </w:tr>
      <w:tr w14:paraId="7092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30008">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B23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887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F9F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服务对象满意度</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910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C24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2F7D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6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A7294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年度绩效目标表</w:t>
            </w:r>
          </w:p>
        </w:tc>
      </w:tr>
      <w:tr w14:paraId="4A1A8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18F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目标名称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FAA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0D7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二级指标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EAC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三级指标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6899">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ascii="仿宋_GB2312" w:hAnsi="宋体" w:eastAsia="仿宋_GB2312" w:cs="仿宋_GB2312"/>
                <w:i w:val="0"/>
                <w:iCs w:val="0"/>
                <w:color w:val="000000"/>
                <w:kern w:val="0"/>
                <w:sz w:val="21"/>
                <w:szCs w:val="21"/>
                <w:u w:val="none"/>
                <w:lang w:val="en-US" w:eastAsia="zh-CN" w:bidi="ar"/>
              </w:rPr>
              <w:t>指标值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5C6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指标值确定依据</w:t>
            </w:r>
          </w:p>
        </w:tc>
      </w:tr>
      <w:tr w14:paraId="6632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3165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年度目标1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CFFE">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886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经济成本指标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874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项目成本</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A87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4FC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193C8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0AD5">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B7C0D">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CE43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数量指标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36BA">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共建活动</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CC4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4F3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3DFF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A25D3">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82AB2">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D5D3F">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B5FC">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帮扶村(社区)数量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71B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≥2个</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886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r w14:paraId="7002F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B4E9C">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A8E20">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99D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质量指标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26A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驻村人员素质</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F210">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符合调优派强力量要求</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3133">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行业标准</w:t>
            </w:r>
          </w:p>
        </w:tc>
      </w:tr>
      <w:tr w14:paraId="6015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D6B13">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17E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3048">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社会效益指标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F85F">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帮扶对象乡村治理水平</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CD27">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提升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CDD2">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行业标准</w:t>
            </w:r>
          </w:p>
        </w:tc>
      </w:tr>
      <w:tr w14:paraId="731ED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D601C">
            <w:pPr>
              <w:keepNext w:val="0"/>
              <w:keepLines w:val="0"/>
              <w:pageBreakBefore w:val="0"/>
              <w:kinsoku/>
              <w:wordWrap/>
              <w:overflowPunct/>
              <w:topLinePunct w:val="0"/>
              <w:autoSpaceDE/>
              <w:bidi w:val="0"/>
              <w:spacing w:line="600" w:lineRule="exact"/>
              <w:jc w:val="center"/>
              <w:rPr>
                <w:rFonts w:hint="eastAsia" w:ascii="仿宋_GB2312" w:hAnsi="宋体" w:eastAsia="仿宋_GB2312" w:cs="仿宋_GB2312"/>
                <w:i w:val="0"/>
                <w:iCs w:val="0"/>
                <w:color w:val="000000"/>
                <w:sz w:val="21"/>
                <w:szCs w:val="21"/>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C1A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C35B">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满意度指标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5B64">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服务对象满意度</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D231">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44B6">
            <w:pPr>
              <w:keepNext w:val="0"/>
              <w:keepLines w:val="0"/>
              <w:pageBreakBefore w:val="0"/>
              <w:widowControl/>
              <w:suppressLineNumbers w:val="0"/>
              <w:kinsoku/>
              <w:wordWrap/>
              <w:overflowPunct/>
              <w:topLinePunct w:val="0"/>
              <w:autoSpaceDE/>
              <w:bidi w:val="0"/>
              <w:spacing w:line="600" w:lineRule="exact"/>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历史标准</w:t>
            </w:r>
          </w:p>
        </w:tc>
      </w:tr>
    </w:tbl>
    <w:p w14:paraId="7CF38CC2">
      <w:pPr>
        <w:pStyle w:val="2"/>
        <w:keepNext w:val="0"/>
        <w:keepLines w:val="0"/>
        <w:pageBreakBefore w:val="0"/>
        <w:kinsoku/>
        <w:wordWrap/>
        <w:overflowPunct/>
        <w:topLinePunct w:val="0"/>
        <w:autoSpaceDE/>
        <w:bidi w:val="0"/>
        <w:spacing w:line="600" w:lineRule="exact"/>
        <w:rPr>
          <w:rFonts w:hint="eastAsia"/>
          <w:lang w:val="en-US" w:eastAsia="zh-CN"/>
        </w:rPr>
      </w:pPr>
    </w:p>
    <w:p w14:paraId="4E534C1E">
      <w:pPr>
        <w:keepNext w:val="0"/>
        <w:keepLines w:val="0"/>
        <w:pageBreakBefore w:val="0"/>
        <w:kinsoku/>
        <w:wordWrap/>
        <w:overflowPunct/>
        <w:topLinePunct w:val="0"/>
        <w:autoSpaceDE/>
        <w:bidi w:val="0"/>
        <w:spacing w:line="600" w:lineRule="exact"/>
        <w:ind w:firstLine="640" w:firstLineChars="200"/>
        <w:rPr>
          <w:rFonts w:hint="default" w:ascii="仿宋_GB2312" w:hAnsi="仿宋_GB2312" w:eastAsia="仿宋_GB2312" w:cs="仿宋_GB2312"/>
          <w:color w:val="FF0000"/>
          <w:sz w:val="32"/>
          <w:szCs w:val="32"/>
          <w:highlight w:val="none"/>
          <w:lang w:val="en-US" w:eastAsia="zh-CN"/>
        </w:rPr>
      </w:pPr>
    </w:p>
    <w:p w14:paraId="44F65502">
      <w:pPr>
        <w:keepNext w:val="0"/>
        <w:keepLines w:val="0"/>
        <w:pageBreakBefore w:val="0"/>
        <w:kinsoku/>
        <w:wordWrap/>
        <w:overflowPunct/>
        <w:topLinePunct w:val="0"/>
        <w:autoSpaceDE/>
        <w:bidi w:val="0"/>
        <w:spacing w:line="600" w:lineRule="exact"/>
        <w:ind w:firstLine="640" w:firstLineChars="200"/>
        <w:rPr>
          <w:rFonts w:hint="default" w:ascii="仿宋_GB2312" w:hAnsi="仿宋_GB2312" w:eastAsia="仿宋_GB2312" w:cs="仿宋_GB2312"/>
          <w:color w:val="FF0000"/>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C059">
    <w:panose1 w:val="00000500000000000000"/>
    <w:charset w:val="00"/>
    <w:family w:val="auto"/>
    <w:pitch w:val="default"/>
    <w:sig w:usb0="00000287" w:usb1="00000800" w:usb2="00000000" w:usb3="00000000" w:csb0="6000009F" w:csb1="00000000"/>
  </w:font>
  <w:font w:name="国标宋体-超大字符集扩">
    <w:panose1 w:val="00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46B76"/>
    <w:multiLevelType w:val="singleLevel"/>
    <w:tmpl w:val="F6F46B76"/>
    <w:lvl w:ilvl="0" w:tentative="0">
      <w:start w:val="2"/>
      <w:numFmt w:val="decimal"/>
      <w:lvlText w:val="%1."/>
      <w:lvlJc w:val="left"/>
      <w:pPr>
        <w:tabs>
          <w:tab w:val="left" w:pos="312"/>
        </w:tabs>
      </w:pPr>
    </w:lvl>
  </w:abstractNum>
  <w:abstractNum w:abstractNumId="1">
    <w:nsid w:val="03384E43"/>
    <w:multiLevelType w:val="singleLevel"/>
    <w:tmpl w:val="03384E43"/>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14E35CF5"/>
    <w:rsid w:val="00082BD0"/>
    <w:rsid w:val="000A079B"/>
    <w:rsid w:val="00114217"/>
    <w:rsid w:val="001F65E8"/>
    <w:rsid w:val="0023341E"/>
    <w:rsid w:val="004A5AE5"/>
    <w:rsid w:val="004B7FA7"/>
    <w:rsid w:val="007301EA"/>
    <w:rsid w:val="00740FDE"/>
    <w:rsid w:val="007E42ED"/>
    <w:rsid w:val="00806C97"/>
    <w:rsid w:val="009536DF"/>
    <w:rsid w:val="00C00BDB"/>
    <w:rsid w:val="00E12F37"/>
    <w:rsid w:val="00F22122"/>
    <w:rsid w:val="00F85C3B"/>
    <w:rsid w:val="01220C42"/>
    <w:rsid w:val="012757C3"/>
    <w:rsid w:val="014F3DB1"/>
    <w:rsid w:val="016641E4"/>
    <w:rsid w:val="016D368F"/>
    <w:rsid w:val="018F20D0"/>
    <w:rsid w:val="01993696"/>
    <w:rsid w:val="01A905B2"/>
    <w:rsid w:val="01CD3B18"/>
    <w:rsid w:val="01D565F8"/>
    <w:rsid w:val="01F56AFB"/>
    <w:rsid w:val="01FF10DD"/>
    <w:rsid w:val="023A07B6"/>
    <w:rsid w:val="02670162"/>
    <w:rsid w:val="027E1D39"/>
    <w:rsid w:val="02867075"/>
    <w:rsid w:val="029D0430"/>
    <w:rsid w:val="029F086A"/>
    <w:rsid w:val="029F5BBC"/>
    <w:rsid w:val="02B17FCB"/>
    <w:rsid w:val="02B42977"/>
    <w:rsid w:val="02CA3346"/>
    <w:rsid w:val="02CC4DC7"/>
    <w:rsid w:val="02FC1B81"/>
    <w:rsid w:val="03132CED"/>
    <w:rsid w:val="03145ADB"/>
    <w:rsid w:val="0368515E"/>
    <w:rsid w:val="036F0915"/>
    <w:rsid w:val="0383244D"/>
    <w:rsid w:val="03912139"/>
    <w:rsid w:val="03D8078F"/>
    <w:rsid w:val="04084DD1"/>
    <w:rsid w:val="04176D6F"/>
    <w:rsid w:val="04491208"/>
    <w:rsid w:val="044F37EB"/>
    <w:rsid w:val="0452064D"/>
    <w:rsid w:val="047360B0"/>
    <w:rsid w:val="047E26B2"/>
    <w:rsid w:val="049E56BB"/>
    <w:rsid w:val="04A06F58"/>
    <w:rsid w:val="04F10BF1"/>
    <w:rsid w:val="04F550D4"/>
    <w:rsid w:val="05192162"/>
    <w:rsid w:val="052101B9"/>
    <w:rsid w:val="05291478"/>
    <w:rsid w:val="054A7E4C"/>
    <w:rsid w:val="055A18BB"/>
    <w:rsid w:val="056D1114"/>
    <w:rsid w:val="05DD1EC0"/>
    <w:rsid w:val="05EC2C8D"/>
    <w:rsid w:val="06033B0A"/>
    <w:rsid w:val="062D44EA"/>
    <w:rsid w:val="06684125"/>
    <w:rsid w:val="066A3503"/>
    <w:rsid w:val="0682463F"/>
    <w:rsid w:val="06926F7F"/>
    <w:rsid w:val="06975273"/>
    <w:rsid w:val="0699315F"/>
    <w:rsid w:val="06AE78AA"/>
    <w:rsid w:val="06C27F88"/>
    <w:rsid w:val="06E707E4"/>
    <w:rsid w:val="06F45B89"/>
    <w:rsid w:val="07501A4B"/>
    <w:rsid w:val="07523045"/>
    <w:rsid w:val="07BE2EA7"/>
    <w:rsid w:val="07F045E5"/>
    <w:rsid w:val="07FF7A0B"/>
    <w:rsid w:val="08074C06"/>
    <w:rsid w:val="081441C8"/>
    <w:rsid w:val="08412824"/>
    <w:rsid w:val="084A1B2D"/>
    <w:rsid w:val="084B2612"/>
    <w:rsid w:val="08570E37"/>
    <w:rsid w:val="086C6CD2"/>
    <w:rsid w:val="087E4531"/>
    <w:rsid w:val="08A006D2"/>
    <w:rsid w:val="08A038FB"/>
    <w:rsid w:val="08F7494A"/>
    <w:rsid w:val="09073755"/>
    <w:rsid w:val="09222D96"/>
    <w:rsid w:val="093135BC"/>
    <w:rsid w:val="09B0373A"/>
    <w:rsid w:val="09B204D9"/>
    <w:rsid w:val="09CF50F9"/>
    <w:rsid w:val="09E11BD1"/>
    <w:rsid w:val="09FE7E64"/>
    <w:rsid w:val="0A02553E"/>
    <w:rsid w:val="0A253FFD"/>
    <w:rsid w:val="0A322570"/>
    <w:rsid w:val="0A343216"/>
    <w:rsid w:val="0A6B3DC2"/>
    <w:rsid w:val="0A7A46CA"/>
    <w:rsid w:val="0A8E0E76"/>
    <w:rsid w:val="0AA06B62"/>
    <w:rsid w:val="0AA36C01"/>
    <w:rsid w:val="0AAC57CF"/>
    <w:rsid w:val="0AD94FBC"/>
    <w:rsid w:val="0ADB1C11"/>
    <w:rsid w:val="0AF068B7"/>
    <w:rsid w:val="0AF25D2C"/>
    <w:rsid w:val="0B296B2B"/>
    <w:rsid w:val="0B363B46"/>
    <w:rsid w:val="0B536D6D"/>
    <w:rsid w:val="0B791C20"/>
    <w:rsid w:val="0B94238E"/>
    <w:rsid w:val="0BAA79C7"/>
    <w:rsid w:val="0BC10CA0"/>
    <w:rsid w:val="0BFA06DA"/>
    <w:rsid w:val="0BFB34D6"/>
    <w:rsid w:val="0C067B2E"/>
    <w:rsid w:val="0C57501D"/>
    <w:rsid w:val="0C616935"/>
    <w:rsid w:val="0C9D3D73"/>
    <w:rsid w:val="0CBA085E"/>
    <w:rsid w:val="0CF4398C"/>
    <w:rsid w:val="0D1A57CB"/>
    <w:rsid w:val="0D350F2C"/>
    <w:rsid w:val="0D6555A1"/>
    <w:rsid w:val="0D97559D"/>
    <w:rsid w:val="0D99234C"/>
    <w:rsid w:val="0DB97909"/>
    <w:rsid w:val="0DE410B3"/>
    <w:rsid w:val="0DEB52DB"/>
    <w:rsid w:val="0DF1447B"/>
    <w:rsid w:val="0DF52506"/>
    <w:rsid w:val="0E096CE2"/>
    <w:rsid w:val="0E297620"/>
    <w:rsid w:val="0E2B3F94"/>
    <w:rsid w:val="0E3720A3"/>
    <w:rsid w:val="0E596298"/>
    <w:rsid w:val="0E596F06"/>
    <w:rsid w:val="0E992DAE"/>
    <w:rsid w:val="0ECC6B39"/>
    <w:rsid w:val="0ED81082"/>
    <w:rsid w:val="0EE40EB3"/>
    <w:rsid w:val="0EEC704D"/>
    <w:rsid w:val="0EEC7CF2"/>
    <w:rsid w:val="0EF75B49"/>
    <w:rsid w:val="0EF84130"/>
    <w:rsid w:val="0EFE14FA"/>
    <w:rsid w:val="0F057CA4"/>
    <w:rsid w:val="0F3674CE"/>
    <w:rsid w:val="0F72290F"/>
    <w:rsid w:val="0F765CA6"/>
    <w:rsid w:val="0F7969E5"/>
    <w:rsid w:val="0F860558"/>
    <w:rsid w:val="0FB11B29"/>
    <w:rsid w:val="0FB24451"/>
    <w:rsid w:val="0FC06E68"/>
    <w:rsid w:val="0FC078AF"/>
    <w:rsid w:val="0FCB0764"/>
    <w:rsid w:val="0FCC3973"/>
    <w:rsid w:val="10096CB5"/>
    <w:rsid w:val="102D4CDE"/>
    <w:rsid w:val="10340F71"/>
    <w:rsid w:val="10812DA3"/>
    <w:rsid w:val="10984298"/>
    <w:rsid w:val="109939D5"/>
    <w:rsid w:val="10A50C7B"/>
    <w:rsid w:val="10F3459B"/>
    <w:rsid w:val="11203A79"/>
    <w:rsid w:val="11310512"/>
    <w:rsid w:val="11360DD7"/>
    <w:rsid w:val="11565F2A"/>
    <w:rsid w:val="116A4BCB"/>
    <w:rsid w:val="117B3665"/>
    <w:rsid w:val="117B5E3F"/>
    <w:rsid w:val="11820C54"/>
    <w:rsid w:val="11831903"/>
    <w:rsid w:val="11AA60BF"/>
    <w:rsid w:val="11AE079E"/>
    <w:rsid w:val="11C11071"/>
    <w:rsid w:val="11CE104C"/>
    <w:rsid w:val="11D76729"/>
    <w:rsid w:val="11F9297F"/>
    <w:rsid w:val="1203504A"/>
    <w:rsid w:val="120405A7"/>
    <w:rsid w:val="120E7419"/>
    <w:rsid w:val="12215230"/>
    <w:rsid w:val="1240799D"/>
    <w:rsid w:val="12440F09"/>
    <w:rsid w:val="12746AB4"/>
    <w:rsid w:val="12CD0166"/>
    <w:rsid w:val="12FB4ABD"/>
    <w:rsid w:val="13017EB1"/>
    <w:rsid w:val="13225FDB"/>
    <w:rsid w:val="132D6C48"/>
    <w:rsid w:val="135F30DA"/>
    <w:rsid w:val="137E3287"/>
    <w:rsid w:val="13802544"/>
    <w:rsid w:val="139711AA"/>
    <w:rsid w:val="13AA4483"/>
    <w:rsid w:val="13B15A38"/>
    <w:rsid w:val="13D334D4"/>
    <w:rsid w:val="13D71424"/>
    <w:rsid w:val="13E850AF"/>
    <w:rsid w:val="13F70375"/>
    <w:rsid w:val="14006210"/>
    <w:rsid w:val="140F24E1"/>
    <w:rsid w:val="14186204"/>
    <w:rsid w:val="141A5EE2"/>
    <w:rsid w:val="1436168C"/>
    <w:rsid w:val="14476BF0"/>
    <w:rsid w:val="146A404C"/>
    <w:rsid w:val="148B57EF"/>
    <w:rsid w:val="148E5A1C"/>
    <w:rsid w:val="14B8781F"/>
    <w:rsid w:val="14E35CF5"/>
    <w:rsid w:val="14F77CC0"/>
    <w:rsid w:val="14FB5EAC"/>
    <w:rsid w:val="14FC7076"/>
    <w:rsid w:val="15493A0E"/>
    <w:rsid w:val="15621F55"/>
    <w:rsid w:val="15666B05"/>
    <w:rsid w:val="15765FDD"/>
    <w:rsid w:val="15A8250F"/>
    <w:rsid w:val="15AD43C7"/>
    <w:rsid w:val="15B562E7"/>
    <w:rsid w:val="15D9640F"/>
    <w:rsid w:val="15E4310F"/>
    <w:rsid w:val="15FA3A93"/>
    <w:rsid w:val="160C3999"/>
    <w:rsid w:val="16155D67"/>
    <w:rsid w:val="16195F1F"/>
    <w:rsid w:val="16567619"/>
    <w:rsid w:val="165D0A87"/>
    <w:rsid w:val="166859E2"/>
    <w:rsid w:val="16A86543"/>
    <w:rsid w:val="16AF29C6"/>
    <w:rsid w:val="16D924AF"/>
    <w:rsid w:val="16DB59AA"/>
    <w:rsid w:val="16DF561C"/>
    <w:rsid w:val="16E218F3"/>
    <w:rsid w:val="17017109"/>
    <w:rsid w:val="170D5F04"/>
    <w:rsid w:val="1713147F"/>
    <w:rsid w:val="17187983"/>
    <w:rsid w:val="1723614E"/>
    <w:rsid w:val="173076F1"/>
    <w:rsid w:val="174C41AD"/>
    <w:rsid w:val="177B0B02"/>
    <w:rsid w:val="177C0DB3"/>
    <w:rsid w:val="178529AA"/>
    <w:rsid w:val="17F24BE8"/>
    <w:rsid w:val="18301AE5"/>
    <w:rsid w:val="188544A5"/>
    <w:rsid w:val="18860FDB"/>
    <w:rsid w:val="18902078"/>
    <w:rsid w:val="18996119"/>
    <w:rsid w:val="189E2969"/>
    <w:rsid w:val="18A4640F"/>
    <w:rsid w:val="18F94722"/>
    <w:rsid w:val="18FF18A0"/>
    <w:rsid w:val="19494138"/>
    <w:rsid w:val="1951219A"/>
    <w:rsid w:val="195D7454"/>
    <w:rsid w:val="1969549F"/>
    <w:rsid w:val="19721CAA"/>
    <w:rsid w:val="198727D7"/>
    <w:rsid w:val="19C85175"/>
    <w:rsid w:val="19CC09C3"/>
    <w:rsid w:val="19F2118C"/>
    <w:rsid w:val="1A2B733D"/>
    <w:rsid w:val="1A474315"/>
    <w:rsid w:val="1A554765"/>
    <w:rsid w:val="1A57146A"/>
    <w:rsid w:val="1A615E84"/>
    <w:rsid w:val="1A72164D"/>
    <w:rsid w:val="1A7A2B6E"/>
    <w:rsid w:val="1A8104CA"/>
    <w:rsid w:val="1A9E491B"/>
    <w:rsid w:val="1AAD7534"/>
    <w:rsid w:val="1AC20DA8"/>
    <w:rsid w:val="1AE079FC"/>
    <w:rsid w:val="1B3110C5"/>
    <w:rsid w:val="1B3946C7"/>
    <w:rsid w:val="1B460AE2"/>
    <w:rsid w:val="1B642172"/>
    <w:rsid w:val="1B8D4131"/>
    <w:rsid w:val="1B8E5DB6"/>
    <w:rsid w:val="1BAA7C23"/>
    <w:rsid w:val="1BD64E50"/>
    <w:rsid w:val="1BE35F7D"/>
    <w:rsid w:val="1C3D5C14"/>
    <w:rsid w:val="1C523B20"/>
    <w:rsid w:val="1C6C598B"/>
    <w:rsid w:val="1CB3719F"/>
    <w:rsid w:val="1CC602EF"/>
    <w:rsid w:val="1CCB50DB"/>
    <w:rsid w:val="1CCC2107"/>
    <w:rsid w:val="1CCD30A7"/>
    <w:rsid w:val="1CDD5C6C"/>
    <w:rsid w:val="1CF61101"/>
    <w:rsid w:val="1D1663C5"/>
    <w:rsid w:val="1D32160D"/>
    <w:rsid w:val="1D8D357E"/>
    <w:rsid w:val="1D9A5DB6"/>
    <w:rsid w:val="1DA652BA"/>
    <w:rsid w:val="1E61494D"/>
    <w:rsid w:val="1E8E42D8"/>
    <w:rsid w:val="1EA150E3"/>
    <w:rsid w:val="1EAE683B"/>
    <w:rsid w:val="1EC70A66"/>
    <w:rsid w:val="1EE26E00"/>
    <w:rsid w:val="1EFF1D7A"/>
    <w:rsid w:val="1F2A40E3"/>
    <w:rsid w:val="1F382C0F"/>
    <w:rsid w:val="1F581930"/>
    <w:rsid w:val="1F5D5DF9"/>
    <w:rsid w:val="1F6D281A"/>
    <w:rsid w:val="1F7F6BC8"/>
    <w:rsid w:val="1F805541"/>
    <w:rsid w:val="1F8B457D"/>
    <w:rsid w:val="1FA303E5"/>
    <w:rsid w:val="1FAA6783"/>
    <w:rsid w:val="1FAD6197"/>
    <w:rsid w:val="1FCD096D"/>
    <w:rsid w:val="1FE47684"/>
    <w:rsid w:val="1FE731DC"/>
    <w:rsid w:val="200D016D"/>
    <w:rsid w:val="202A23B3"/>
    <w:rsid w:val="20537EAE"/>
    <w:rsid w:val="205C4463"/>
    <w:rsid w:val="20691626"/>
    <w:rsid w:val="20A57BC8"/>
    <w:rsid w:val="20A60234"/>
    <w:rsid w:val="20C63E94"/>
    <w:rsid w:val="20E540B9"/>
    <w:rsid w:val="20ED5112"/>
    <w:rsid w:val="21170970"/>
    <w:rsid w:val="212E3FCC"/>
    <w:rsid w:val="21356D5F"/>
    <w:rsid w:val="214220B6"/>
    <w:rsid w:val="214710F9"/>
    <w:rsid w:val="21542F21"/>
    <w:rsid w:val="21795A22"/>
    <w:rsid w:val="218A3428"/>
    <w:rsid w:val="21AA5880"/>
    <w:rsid w:val="21B221CA"/>
    <w:rsid w:val="21FA7C54"/>
    <w:rsid w:val="22070026"/>
    <w:rsid w:val="221C4463"/>
    <w:rsid w:val="225F506F"/>
    <w:rsid w:val="229C52D6"/>
    <w:rsid w:val="22A623DC"/>
    <w:rsid w:val="22A656AF"/>
    <w:rsid w:val="22EB1984"/>
    <w:rsid w:val="234D2259"/>
    <w:rsid w:val="234E001F"/>
    <w:rsid w:val="23500111"/>
    <w:rsid w:val="23651F0B"/>
    <w:rsid w:val="23973A99"/>
    <w:rsid w:val="239C7EA1"/>
    <w:rsid w:val="23C96BE3"/>
    <w:rsid w:val="241C5E41"/>
    <w:rsid w:val="24265230"/>
    <w:rsid w:val="243E146A"/>
    <w:rsid w:val="24431D62"/>
    <w:rsid w:val="24450046"/>
    <w:rsid w:val="247E6FEA"/>
    <w:rsid w:val="24893F88"/>
    <w:rsid w:val="249F4C50"/>
    <w:rsid w:val="24D833A8"/>
    <w:rsid w:val="24DE7321"/>
    <w:rsid w:val="24E80DA9"/>
    <w:rsid w:val="25041BC7"/>
    <w:rsid w:val="25282E21"/>
    <w:rsid w:val="253F44E4"/>
    <w:rsid w:val="254400D1"/>
    <w:rsid w:val="255D1169"/>
    <w:rsid w:val="25673583"/>
    <w:rsid w:val="257646C7"/>
    <w:rsid w:val="257C1965"/>
    <w:rsid w:val="257D5F10"/>
    <w:rsid w:val="258B5CF0"/>
    <w:rsid w:val="258F3400"/>
    <w:rsid w:val="25C94A10"/>
    <w:rsid w:val="25CF0680"/>
    <w:rsid w:val="25E173F1"/>
    <w:rsid w:val="25E20D06"/>
    <w:rsid w:val="25F47291"/>
    <w:rsid w:val="2608565F"/>
    <w:rsid w:val="260D1E7D"/>
    <w:rsid w:val="26285496"/>
    <w:rsid w:val="264F6618"/>
    <w:rsid w:val="265431DB"/>
    <w:rsid w:val="266E3B2C"/>
    <w:rsid w:val="2682464B"/>
    <w:rsid w:val="26AD1298"/>
    <w:rsid w:val="26BE157B"/>
    <w:rsid w:val="26C21ED9"/>
    <w:rsid w:val="26D266F5"/>
    <w:rsid w:val="26E13144"/>
    <w:rsid w:val="26E801C6"/>
    <w:rsid w:val="27251020"/>
    <w:rsid w:val="27297A37"/>
    <w:rsid w:val="27467752"/>
    <w:rsid w:val="27562200"/>
    <w:rsid w:val="275B7322"/>
    <w:rsid w:val="275C4063"/>
    <w:rsid w:val="275F5C1D"/>
    <w:rsid w:val="276E3652"/>
    <w:rsid w:val="27844B0F"/>
    <w:rsid w:val="27864819"/>
    <w:rsid w:val="279635B4"/>
    <w:rsid w:val="27D504BB"/>
    <w:rsid w:val="280478BE"/>
    <w:rsid w:val="28390BB8"/>
    <w:rsid w:val="283C1CCA"/>
    <w:rsid w:val="283C1EC0"/>
    <w:rsid w:val="28472099"/>
    <w:rsid w:val="285B4174"/>
    <w:rsid w:val="28871ACD"/>
    <w:rsid w:val="28C46BE5"/>
    <w:rsid w:val="28C62710"/>
    <w:rsid w:val="28CE401E"/>
    <w:rsid w:val="28D50972"/>
    <w:rsid w:val="28DD07BF"/>
    <w:rsid w:val="28E600C9"/>
    <w:rsid w:val="28F00662"/>
    <w:rsid w:val="29050355"/>
    <w:rsid w:val="2908222C"/>
    <w:rsid w:val="290D6C65"/>
    <w:rsid w:val="29667FE8"/>
    <w:rsid w:val="296D6FEF"/>
    <w:rsid w:val="29722F83"/>
    <w:rsid w:val="29B134A1"/>
    <w:rsid w:val="29B56F24"/>
    <w:rsid w:val="29BD1185"/>
    <w:rsid w:val="29D37787"/>
    <w:rsid w:val="29DE7129"/>
    <w:rsid w:val="29E14B7B"/>
    <w:rsid w:val="29E17E7F"/>
    <w:rsid w:val="29EB5587"/>
    <w:rsid w:val="29F55EB0"/>
    <w:rsid w:val="2A124923"/>
    <w:rsid w:val="2A30064F"/>
    <w:rsid w:val="2A623681"/>
    <w:rsid w:val="2A930168"/>
    <w:rsid w:val="2AD47541"/>
    <w:rsid w:val="2ADC1C8C"/>
    <w:rsid w:val="2AE50448"/>
    <w:rsid w:val="2AF53CBD"/>
    <w:rsid w:val="2B105547"/>
    <w:rsid w:val="2B163084"/>
    <w:rsid w:val="2B1E4833"/>
    <w:rsid w:val="2B1F1285"/>
    <w:rsid w:val="2B312C5A"/>
    <w:rsid w:val="2B4A5079"/>
    <w:rsid w:val="2B616650"/>
    <w:rsid w:val="2B70262E"/>
    <w:rsid w:val="2B780DEE"/>
    <w:rsid w:val="2BAB2CE9"/>
    <w:rsid w:val="2BCD74FB"/>
    <w:rsid w:val="2BD06735"/>
    <w:rsid w:val="2BD14975"/>
    <w:rsid w:val="2BEE51E4"/>
    <w:rsid w:val="2BFB616F"/>
    <w:rsid w:val="2BFD1889"/>
    <w:rsid w:val="2C2E2061"/>
    <w:rsid w:val="2C497D02"/>
    <w:rsid w:val="2C5115CD"/>
    <w:rsid w:val="2C705EAD"/>
    <w:rsid w:val="2C9C181B"/>
    <w:rsid w:val="2CAC2714"/>
    <w:rsid w:val="2CB76DB1"/>
    <w:rsid w:val="2CBF46FF"/>
    <w:rsid w:val="2CD46200"/>
    <w:rsid w:val="2CDE0C55"/>
    <w:rsid w:val="2D0C49FC"/>
    <w:rsid w:val="2D0C65A4"/>
    <w:rsid w:val="2D341FC2"/>
    <w:rsid w:val="2D556620"/>
    <w:rsid w:val="2D6E42ED"/>
    <w:rsid w:val="2D99493F"/>
    <w:rsid w:val="2DB34A33"/>
    <w:rsid w:val="2DBF6A90"/>
    <w:rsid w:val="2DC9039F"/>
    <w:rsid w:val="2DD95B14"/>
    <w:rsid w:val="2DDE4A49"/>
    <w:rsid w:val="2DDE760A"/>
    <w:rsid w:val="2DDF4A84"/>
    <w:rsid w:val="2DE03119"/>
    <w:rsid w:val="2DE07716"/>
    <w:rsid w:val="2DEA189C"/>
    <w:rsid w:val="2E2D5C0E"/>
    <w:rsid w:val="2E5E5D82"/>
    <w:rsid w:val="2E601E19"/>
    <w:rsid w:val="2E6C3173"/>
    <w:rsid w:val="2E7022D1"/>
    <w:rsid w:val="2E775518"/>
    <w:rsid w:val="2EB73B69"/>
    <w:rsid w:val="2EED5100"/>
    <w:rsid w:val="2EF6177E"/>
    <w:rsid w:val="2EF96D68"/>
    <w:rsid w:val="2F196132"/>
    <w:rsid w:val="2F250B28"/>
    <w:rsid w:val="2F5409E8"/>
    <w:rsid w:val="2F635CBF"/>
    <w:rsid w:val="2F7E1C69"/>
    <w:rsid w:val="2F7F5C4D"/>
    <w:rsid w:val="2F863CE5"/>
    <w:rsid w:val="2F8C558C"/>
    <w:rsid w:val="2F8F5E01"/>
    <w:rsid w:val="2FAA4895"/>
    <w:rsid w:val="2FF1543E"/>
    <w:rsid w:val="30056BBA"/>
    <w:rsid w:val="30347394"/>
    <w:rsid w:val="305B3E84"/>
    <w:rsid w:val="307035F1"/>
    <w:rsid w:val="307E419B"/>
    <w:rsid w:val="30EC4F9F"/>
    <w:rsid w:val="30F3197C"/>
    <w:rsid w:val="31053224"/>
    <w:rsid w:val="311F6BA3"/>
    <w:rsid w:val="3127715A"/>
    <w:rsid w:val="314958BD"/>
    <w:rsid w:val="314B6C22"/>
    <w:rsid w:val="316A5240"/>
    <w:rsid w:val="31AF5645"/>
    <w:rsid w:val="31B56467"/>
    <w:rsid w:val="31B57B4F"/>
    <w:rsid w:val="31BC03B1"/>
    <w:rsid w:val="31C77D5A"/>
    <w:rsid w:val="31E500A2"/>
    <w:rsid w:val="321030B9"/>
    <w:rsid w:val="321C0BE8"/>
    <w:rsid w:val="32283C52"/>
    <w:rsid w:val="322D115E"/>
    <w:rsid w:val="32300053"/>
    <w:rsid w:val="324C2E66"/>
    <w:rsid w:val="32723014"/>
    <w:rsid w:val="32790FF9"/>
    <w:rsid w:val="327E17E8"/>
    <w:rsid w:val="32B0528A"/>
    <w:rsid w:val="32D94F1A"/>
    <w:rsid w:val="32DB530F"/>
    <w:rsid w:val="32E01153"/>
    <w:rsid w:val="32E322B2"/>
    <w:rsid w:val="33355E4B"/>
    <w:rsid w:val="33426E14"/>
    <w:rsid w:val="334F22CC"/>
    <w:rsid w:val="33592E1E"/>
    <w:rsid w:val="335F470E"/>
    <w:rsid w:val="33B43472"/>
    <w:rsid w:val="33BA1B12"/>
    <w:rsid w:val="33BC357C"/>
    <w:rsid w:val="33BF7517"/>
    <w:rsid w:val="33C257E7"/>
    <w:rsid w:val="33CD29B3"/>
    <w:rsid w:val="33F948F0"/>
    <w:rsid w:val="33FF32CF"/>
    <w:rsid w:val="341E5C56"/>
    <w:rsid w:val="344339D2"/>
    <w:rsid w:val="346A1523"/>
    <w:rsid w:val="349A2E8E"/>
    <w:rsid w:val="349D73D8"/>
    <w:rsid w:val="34C97F85"/>
    <w:rsid w:val="35010A03"/>
    <w:rsid w:val="35050B6E"/>
    <w:rsid w:val="351D03A4"/>
    <w:rsid w:val="35441535"/>
    <w:rsid w:val="35876AE1"/>
    <w:rsid w:val="35911549"/>
    <w:rsid w:val="35A95CAF"/>
    <w:rsid w:val="35B01A05"/>
    <w:rsid w:val="35D6640C"/>
    <w:rsid w:val="35E245ED"/>
    <w:rsid w:val="36557936"/>
    <w:rsid w:val="3663145B"/>
    <w:rsid w:val="368740EE"/>
    <w:rsid w:val="368D3365"/>
    <w:rsid w:val="369A2C42"/>
    <w:rsid w:val="36AD748B"/>
    <w:rsid w:val="36B377EB"/>
    <w:rsid w:val="36D0530A"/>
    <w:rsid w:val="36D91B7D"/>
    <w:rsid w:val="36F46ABA"/>
    <w:rsid w:val="37243FAE"/>
    <w:rsid w:val="37287489"/>
    <w:rsid w:val="372B719E"/>
    <w:rsid w:val="376E019F"/>
    <w:rsid w:val="378052F2"/>
    <w:rsid w:val="378B76CC"/>
    <w:rsid w:val="378D0622"/>
    <w:rsid w:val="379F6D47"/>
    <w:rsid w:val="37AA00B6"/>
    <w:rsid w:val="37B306A9"/>
    <w:rsid w:val="37D17DCC"/>
    <w:rsid w:val="37D841E6"/>
    <w:rsid w:val="37D9013F"/>
    <w:rsid w:val="380E7510"/>
    <w:rsid w:val="382744E5"/>
    <w:rsid w:val="38335208"/>
    <w:rsid w:val="38336C38"/>
    <w:rsid w:val="38436E75"/>
    <w:rsid w:val="384F777A"/>
    <w:rsid w:val="387E0693"/>
    <w:rsid w:val="388E0BD4"/>
    <w:rsid w:val="3898798D"/>
    <w:rsid w:val="389C2D59"/>
    <w:rsid w:val="38B4678A"/>
    <w:rsid w:val="38B872B4"/>
    <w:rsid w:val="38C13222"/>
    <w:rsid w:val="38CF0CA4"/>
    <w:rsid w:val="38D12F81"/>
    <w:rsid w:val="38D23E0E"/>
    <w:rsid w:val="38FF61BA"/>
    <w:rsid w:val="39011A98"/>
    <w:rsid w:val="390F6C09"/>
    <w:rsid w:val="394855E8"/>
    <w:rsid w:val="394B3FB0"/>
    <w:rsid w:val="395A1245"/>
    <w:rsid w:val="395B6A65"/>
    <w:rsid w:val="39702A61"/>
    <w:rsid w:val="399B33B8"/>
    <w:rsid w:val="39A6030A"/>
    <w:rsid w:val="39BD30B5"/>
    <w:rsid w:val="39DC2844"/>
    <w:rsid w:val="39E20105"/>
    <w:rsid w:val="3A0A17D9"/>
    <w:rsid w:val="3A1F5BC6"/>
    <w:rsid w:val="3A273F06"/>
    <w:rsid w:val="3A2E1069"/>
    <w:rsid w:val="3A4368B3"/>
    <w:rsid w:val="3A4E5E9F"/>
    <w:rsid w:val="3A5810DA"/>
    <w:rsid w:val="3A7E6B3F"/>
    <w:rsid w:val="3A931421"/>
    <w:rsid w:val="3A992667"/>
    <w:rsid w:val="3AA10593"/>
    <w:rsid w:val="3AB8266E"/>
    <w:rsid w:val="3AFD492A"/>
    <w:rsid w:val="3B213B3F"/>
    <w:rsid w:val="3B2D1BCF"/>
    <w:rsid w:val="3B360C3F"/>
    <w:rsid w:val="3B466CC3"/>
    <w:rsid w:val="3B55487F"/>
    <w:rsid w:val="3B583FD3"/>
    <w:rsid w:val="3B6D5ACA"/>
    <w:rsid w:val="3B9513F3"/>
    <w:rsid w:val="3B9A6FDD"/>
    <w:rsid w:val="3BAB4F32"/>
    <w:rsid w:val="3BB862EE"/>
    <w:rsid w:val="3BB972F5"/>
    <w:rsid w:val="3BD41540"/>
    <w:rsid w:val="3BE43483"/>
    <w:rsid w:val="3BE851CA"/>
    <w:rsid w:val="3BFB7236"/>
    <w:rsid w:val="3C0F6CBE"/>
    <w:rsid w:val="3C265089"/>
    <w:rsid w:val="3C413AD1"/>
    <w:rsid w:val="3C8C6D53"/>
    <w:rsid w:val="3C947FAC"/>
    <w:rsid w:val="3CAF563E"/>
    <w:rsid w:val="3CDE426B"/>
    <w:rsid w:val="3CDE5D4C"/>
    <w:rsid w:val="3CE46754"/>
    <w:rsid w:val="3CF47744"/>
    <w:rsid w:val="3D055580"/>
    <w:rsid w:val="3D6B33F6"/>
    <w:rsid w:val="3D83125D"/>
    <w:rsid w:val="3DA4127C"/>
    <w:rsid w:val="3DAD564F"/>
    <w:rsid w:val="3DE810C5"/>
    <w:rsid w:val="3DF552DD"/>
    <w:rsid w:val="3E01598D"/>
    <w:rsid w:val="3E321910"/>
    <w:rsid w:val="3E3C6016"/>
    <w:rsid w:val="3E584935"/>
    <w:rsid w:val="3E7C7E6A"/>
    <w:rsid w:val="3E842837"/>
    <w:rsid w:val="3E9022BA"/>
    <w:rsid w:val="3EB804B5"/>
    <w:rsid w:val="3EBD754E"/>
    <w:rsid w:val="3EC9047F"/>
    <w:rsid w:val="3ED246B1"/>
    <w:rsid w:val="3EE8543F"/>
    <w:rsid w:val="3F0503F1"/>
    <w:rsid w:val="3F125F7B"/>
    <w:rsid w:val="3F152B25"/>
    <w:rsid w:val="3F521793"/>
    <w:rsid w:val="3F7C2C37"/>
    <w:rsid w:val="3F9773CB"/>
    <w:rsid w:val="3FB950CE"/>
    <w:rsid w:val="3FBA4829"/>
    <w:rsid w:val="3FC22993"/>
    <w:rsid w:val="40252E6A"/>
    <w:rsid w:val="4066595E"/>
    <w:rsid w:val="40697089"/>
    <w:rsid w:val="40975656"/>
    <w:rsid w:val="409E073E"/>
    <w:rsid w:val="40A501B2"/>
    <w:rsid w:val="40AD2D4D"/>
    <w:rsid w:val="40B34178"/>
    <w:rsid w:val="40C30F0B"/>
    <w:rsid w:val="40CE07C0"/>
    <w:rsid w:val="40DC3CD6"/>
    <w:rsid w:val="40E17A8F"/>
    <w:rsid w:val="40E345E2"/>
    <w:rsid w:val="40FD062E"/>
    <w:rsid w:val="410D25DB"/>
    <w:rsid w:val="41250983"/>
    <w:rsid w:val="413611B8"/>
    <w:rsid w:val="41505762"/>
    <w:rsid w:val="41507B97"/>
    <w:rsid w:val="415F7B43"/>
    <w:rsid w:val="41703D8B"/>
    <w:rsid w:val="41AB449F"/>
    <w:rsid w:val="41B4596A"/>
    <w:rsid w:val="41DE655E"/>
    <w:rsid w:val="41FA08EF"/>
    <w:rsid w:val="41FE1982"/>
    <w:rsid w:val="420977DC"/>
    <w:rsid w:val="421B4F61"/>
    <w:rsid w:val="42223A03"/>
    <w:rsid w:val="42430BBA"/>
    <w:rsid w:val="42495D98"/>
    <w:rsid w:val="425725BE"/>
    <w:rsid w:val="427B5A77"/>
    <w:rsid w:val="42A64E38"/>
    <w:rsid w:val="42AB1AF5"/>
    <w:rsid w:val="42C13A02"/>
    <w:rsid w:val="42C83194"/>
    <w:rsid w:val="42CC3CA3"/>
    <w:rsid w:val="43274448"/>
    <w:rsid w:val="433266B4"/>
    <w:rsid w:val="43800921"/>
    <w:rsid w:val="438C3A92"/>
    <w:rsid w:val="439135DF"/>
    <w:rsid w:val="43B87B7E"/>
    <w:rsid w:val="43F011D0"/>
    <w:rsid w:val="43F436DA"/>
    <w:rsid w:val="441765D0"/>
    <w:rsid w:val="44277A14"/>
    <w:rsid w:val="44375E8D"/>
    <w:rsid w:val="444D2478"/>
    <w:rsid w:val="44557B2B"/>
    <w:rsid w:val="4476162A"/>
    <w:rsid w:val="44864B93"/>
    <w:rsid w:val="448E7152"/>
    <w:rsid w:val="44923063"/>
    <w:rsid w:val="44984CCD"/>
    <w:rsid w:val="44A57C3F"/>
    <w:rsid w:val="44AE281F"/>
    <w:rsid w:val="44BE242B"/>
    <w:rsid w:val="44C40A48"/>
    <w:rsid w:val="44E313B1"/>
    <w:rsid w:val="44F1761E"/>
    <w:rsid w:val="44FA5D9F"/>
    <w:rsid w:val="44FC4CB3"/>
    <w:rsid w:val="45070002"/>
    <w:rsid w:val="450920EA"/>
    <w:rsid w:val="451C343F"/>
    <w:rsid w:val="45237BE6"/>
    <w:rsid w:val="4532033D"/>
    <w:rsid w:val="4581299A"/>
    <w:rsid w:val="45A13F80"/>
    <w:rsid w:val="45D0617A"/>
    <w:rsid w:val="45E714D4"/>
    <w:rsid w:val="46026D43"/>
    <w:rsid w:val="4634758D"/>
    <w:rsid w:val="464878D1"/>
    <w:rsid w:val="468069C7"/>
    <w:rsid w:val="469D3374"/>
    <w:rsid w:val="46BD6E2D"/>
    <w:rsid w:val="46BE05DE"/>
    <w:rsid w:val="46CC69CE"/>
    <w:rsid w:val="471C3199"/>
    <w:rsid w:val="472A5BC8"/>
    <w:rsid w:val="472F33FB"/>
    <w:rsid w:val="47421E28"/>
    <w:rsid w:val="4749448F"/>
    <w:rsid w:val="47635281"/>
    <w:rsid w:val="477A41C8"/>
    <w:rsid w:val="47850E62"/>
    <w:rsid w:val="478C1C89"/>
    <w:rsid w:val="47BB4B10"/>
    <w:rsid w:val="47D45B46"/>
    <w:rsid w:val="47E31B6D"/>
    <w:rsid w:val="47F01C37"/>
    <w:rsid w:val="47FB2858"/>
    <w:rsid w:val="482C032A"/>
    <w:rsid w:val="485B10F7"/>
    <w:rsid w:val="485D4DC7"/>
    <w:rsid w:val="487A7468"/>
    <w:rsid w:val="487A7FBB"/>
    <w:rsid w:val="489435C7"/>
    <w:rsid w:val="48947830"/>
    <w:rsid w:val="4896435A"/>
    <w:rsid w:val="48B0703A"/>
    <w:rsid w:val="48B1419C"/>
    <w:rsid w:val="48BB08B2"/>
    <w:rsid w:val="48D33053"/>
    <w:rsid w:val="48DC184D"/>
    <w:rsid w:val="48F723D1"/>
    <w:rsid w:val="49113623"/>
    <w:rsid w:val="491A54B4"/>
    <w:rsid w:val="4932116A"/>
    <w:rsid w:val="49490D2F"/>
    <w:rsid w:val="49555808"/>
    <w:rsid w:val="49652F18"/>
    <w:rsid w:val="496D6125"/>
    <w:rsid w:val="496E6DEC"/>
    <w:rsid w:val="49731D56"/>
    <w:rsid w:val="49A14AED"/>
    <w:rsid w:val="49B472E4"/>
    <w:rsid w:val="49B96677"/>
    <w:rsid w:val="49D35C04"/>
    <w:rsid w:val="49E317AE"/>
    <w:rsid w:val="49E36AF5"/>
    <w:rsid w:val="49E7399C"/>
    <w:rsid w:val="4A043A96"/>
    <w:rsid w:val="4A074604"/>
    <w:rsid w:val="4A074956"/>
    <w:rsid w:val="4A2B370D"/>
    <w:rsid w:val="4A3717F2"/>
    <w:rsid w:val="4A3C2564"/>
    <w:rsid w:val="4A3E08C0"/>
    <w:rsid w:val="4A46137A"/>
    <w:rsid w:val="4A4A417D"/>
    <w:rsid w:val="4A72608F"/>
    <w:rsid w:val="4A777E73"/>
    <w:rsid w:val="4A8B0C46"/>
    <w:rsid w:val="4AAA0D2B"/>
    <w:rsid w:val="4AB50A26"/>
    <w:rsid w:val="4AD469B6"/>
    <w:rsid w:val="4AD81971"/>
    <w:rsid w:val="4AFE59F7"/>
    <w:rsid w:val="4B3F1A24"/>
    <w:rsid w:val="4B440B63"/>
    <w:rsid w:val="4B460793"/>
    <w:rsid w:val="4B493428"/>
    <w:rsid w:val="4B605459"/>
    <w:rsid w:val="4BC3295D"/>
    <w:rsid w:val="4BD76074"/>
    <w:rsid w:val="4BE200F4"/>
    <w:rsid w:val="4C040B67"/>
    <w:rsid w:val="4C0805FD"/>
    <w:rsid w:val="4C0D2919"/>
    <w:rsid w:val="4C220867"/>
    <w:rsid w:val="4C806D32"/>
    <w:rsid w:val="4C9E6F0B"/>
    <w:rsid w:val="4CAC68C7"/>
    <w:rsid w:val="4CD10264"/>
    <w:rsid w:val="4CEA07B8"/>
    <w:rsid w:val="4CF93FF8"/>
    <w:rsid w:val="4D105F52"/>
    <w:rsid w:val="4D173239"/>
    <w:rsid w:val="4D9D386A"/>
    <w:rsid w:val="4DA354A1"/>
    <w:rsid w:val="4DB70CCA"/>
    <w:rsid w:val="4DCA6789"/>
    <w:rsid w:val="4DFB294A"/>
    <w:rsid w:val="4E143A65"/>
    <w:rsid w:val="4E201CFF"/>
    <w:rsid w:val="4E7340ED"/>
    <w:rsid w:val="4E7A40F4"/>
    <w:rsid w:val="4E7E621C"/>
    <w:rsid w:val="4E9874E7"/>
    <w:rsid w:val="4E9B7E91"/>
    <w:rsid w:val="4EAD7640"/>
    <w:rsid w:val="4EC51821"/>
    <w:rsid w:val="4EC95FCB"/>
    <w:rsid w:val="4EDA4107"/>
    <w:rsid w:val="4F120854"/>
    <w:rsid w:val="4F170D9C"/>
    <w:rsid w:val="4F876815"/>
    <w:rsid w:val="4FAA45AD"/>
    <w:rsid w:val="4FBA5907"/>
    <w:rsid w:val="4FC96606"/>
    <w:rsid w:val="4FCF11A0"/>
    <w:rsid w:val="502169F9"/>
    <w:rsid w:val="502B1B54"/>
    <w:rsid w:val="503263B9"/>
    <w:rsid w:val="5049598D"/>
    <w:rsid w:val="507540FC"/>
    <w:rsid w:val="507B300A"/>
    <w:rsid w:val="507D0D26"/>
    <w:rsid w:val="508B69A0"/>
    <w:rsid w:val="50E06A90"/>
    <w:rsid w:val="50E7216C"/>
    <w:rsid w:val="50E90358"/>
    <w:rsid w:val="51142B6C"/>
    <w:rsid w:val="513801E8"/>
    <w:rsid w:val="513A27B0"/>
    <w:rsid w:val="514951D3"/>
    <w:rsid w:val="51692797"/>
    <w:rsid w:val="51786BDB"/>
    <w:rsid w:val="518733D9"/>
    <w:rsid w:val="51973B6D"/>
    <w:rsid w:val="51A04758"/>
    <w:rsid w:val="51D244C4"/>
    <w:rsid w:val="51F16F79"/>
    <w:rsid w:val="52167658"/>
    <w:rsid w:val="521707DF"/>
    <w:rsid w:val="522549BD"/>
    <w:rsid w:val="523414B9"/>
    <w:rsid w:val="523F6B11"/>
    <w:rsid w:val="52A91F48"/>
    <w:rsid w:val="52AD56C9"/>
    <w:rsid w:val="52B707E9"/>
    <w:rsid w:val="52DF28A8"/>
    <w:rsid w:val="52EC37A0"/>
    <w:rsid w:val="52EE4FAF"/>
    <w:rsid w:val="52F6569D"/>
    <w:rsid w:val="530368A5"/>
    <w:rsid w:val="531F63ED"/>
    <w:rsid w:val="534811BC"/>
    <w:rsid w:val="5353372B"/>
    <w:rsid w:val="535A36D9"/>
    <w:rsid w:val="539C2012"/>
    <w:rsid w:val="53A02624"/>
    <w:rsid w:val="53A95165"/>
    <w:rsid w:val="53C7547E"/>
    <w:rsid w:val="53D96126"/>
    <w:rsid w:val="54253C75"/>
    <w:rsid w:val="546C07E9"/>
    <w:rsid w:val="54AC10CE"/>
    <w:rsid w:val="54F15936"/>
    <w:rsid w:val="551D1EC0"/>
    <w:rsid w:val="554D5895"/>
    <w:rsid w:val="55796D3D"/>
    <w:rsid w:val="55943C45"/>
    <w:rsid w:val="55C8071E"/>
    <w:rsid w:val="55CC46EB"/>
    <w:rsid w:val="55DC7B0E"/>
    <w:rsid w:val="55ED18C2"/>
    <w:rsid w:val="55EE3A6E"/>
    <w:rsid w:val="56006E8E"/>
    <w:rsid w:val="56211FD4"/>
    <w:rsid w:val="56417F98"/>
    <w:rsid w:val="56434281"/>
    <w:rsid w:val="565C759B"/>
    <w:rsid w:val="5663147B"/>
    <w:rsid w:val="56876FEF"/>
    <w:rsid w:val="568B0CDE"/>
    <w:rsid w:val="568D09B3"/>
    <w:rsid w:val="56A558C4"/>
    <w:rsid w:val="56AB57A9"/>
    <w:rsid w:val="56B90620"/>
    <w:rsid w:val="56BF55B6"/>
    <w:rsid w:val="56CA680B"/>
    <w:rsid w:val="56D33A72"/>
    <w:rsid w:val="570413F7"/>
    <w:rsid w:val="5707294D"/>
    <w:rsid w:val="57182648"/>
    <w:rsid w:val="571B7F88"/>
    <w:rsid w:val="57383BA1"/>
    <w:rsid w:val="573C6E53"/>
    <w:rsid w:val="579C6D1E"/>
    <w:rsid w:val="57D53B0E"/>
    <w:rsid w:val="57EF6FFD"/>
    <w:rsid w:val="57FD57F9"/>
    <w:rsid w:val="581852C0"/>
    <w:rsid w:val="58221634"/>
    <w:rsid w:val="58237F37"/>
    <w:rsid w:val="582465DC"/>
    <w:rsid w:val="58397EE0"/>
    <w:rsid w:val="5862061F"/>
    <w:rsid w:val="58851CE0"/>
    <w:rsid w:val="58BA5E1B"/>
    <w:rsid w:val="58C57498"/>
    <w:rsid w:val="58CD4DBC"/>
    <w:rsid w:val="58E23AFB"/>
    <w:rsid w:val="58EB3806"/>
    <w:rsid w:val="590D1212"/>
    <w:rsid w:val="59453350"/>
    <w:rsid w:val="594D35C7"/>
    <w:rsid w:val="595D7D99"/>
    <w:rsid w:val="598C5C36"/>
    <w:rsid w:val="59AD1472"/>
    <w:rsid w:val="5A00382E"/>
    <w:rsid w:val="5A020F58"/>
    <w:rsid w:val="5A0225C0"/>
    <w:rsid w:val="5A062D40"/>
    <w:rsid w:val="5A261EA5"/>
    <w:rsid w:val="5A3D230B"/>
    <w:rsid w:val="5A4205FC"/>
    <w:rsid w:val="5A490337"/>
    <w:rsid w:val="5A8A1295"/>
    <w:rsid w:val="5AA41A13"/>
    <w:rsid w:val="5AB20B6F"/>
    <w:rsid w:val="5AE821D2"/>
    <w:rsid w:val="5AF67CCE"/>
    <w:rsid w:val="5AFE5B3E"/>
    <w:rsid w:val="5B1D0609"/>
    <w:rsid w:val="5B4019E4"/>
    <w:rsid w:val="5B862C8F"/>
    <w:rsid w:val="5BA03241"/>
    <w:rsid w:val="5BD02635"/>
    <w:rsid w:val="5BD259CC"/>
    <w:rsid w:val="5C057BF7"/>
    <w:rsid w:val="5C151EC1"/>
    <w:rsid w:val="5C534461"/>
    <w:rsid w:val="5CCE55D6"/>
    <w:rsid w:val="5CD270A7"/>
    <w:rsid w:val="5CE3595B"/>
    <w:rsid w:val="5D084649"/>
    <w:rsid w:val="5D620597"/>
    <w:rsid w:val="5D8016E8"/>
    <w:rsid w:val="5D98471D"/>
    <w:rsid w:val="5DC8621C"/>
    <w:rsid w:val="5DF4594E"/>
    <w:rsid w:val="5E006EFC"/>
    <w:rsid w:val="5E487B7D"/>
    <w:rsid w:val="5E6006BB"/>
    <w:rsid w:val="5E691C70"/>
    <w:rsid w:val="5EB870DD"/>
    <w:rsid w:val="5EF64508"/>
    <w:rsid w:val="5F18079F"/>
    <w:rsid w:val="5F3969D1"/>
    <w:rsid w:val="5F670C83"/>
    <w:rsid w:val="5F800498"/>
    <w:rsid w:val="5FAE1328"/>
    <w:rsid w:val="5FBB12A5"/>
    <w:rsid w:val="5FC337E4"/>
    <w:rsid w:val="5FCE5305"/>
    <w:rsid w:val="5FCE6C1F"/>
    <w:rsid w:val="5FD60DEE"/>
    <w:rsid w:val="5FEE477A"/>
    <w:rsid w:val="600121DD"/>
    <w:rsid w:val="601E082E"/>
    <w:rsid w:val="604729C6"/>
    <w:rsid w:val="607B67DF"/>
    <w:rsid w:val="60A104D3"/>
    <w:rsid w:val="60AA5B13"/>
    <w:rsid w:val="60C13031"/>
    <w:rsid w:val="60C50001"/>
    <w:rsid w:val="6109364E"/>
    <w:rsid w:val="610B7409"/>
    <w:rsid w:val="61317EDC"/>
    <w:rsid w:val="61620728"/>
    <w:rsid w:val="617D2CBF"/>
    <w:rsid w:val="619D0CD0"/>
    <w:rsid w:val="61BB3F3E"/>
    <w:rsid w:val="61BC2E41"/>
    <w:rsid w:val="61BF7713"/>
    <w:rsid w:val="61EB2E7B"/>
    <w:rsid w:val="61F15192"/>
    <w:rsid w:val="61F5550F"/>
    <w:rsid w:val="61FF13B5"/>
    <w:rsid w:val="62301216"/>
    <w:rsid w:val="62393994"/>
    <w:rsid w:val="62400076"/>
    <w:rsid w:val="62451DAE"/>
    <w:rsid w:val="62585CDE"/>
    <w:rsid w:val="626A7C4C"/>
    <w:rsid w:val="628D50A1"/>
    <w:rsid w:val="62A83989"/>
    <w:rsid w:val="62EA0E25"/>
    <w:rsid w:val="62EB407C"/>
    <w:rsid w:val="62F40616"/>
    <w:rsid w:val="630A0D98"/>
    <w:rsid w:val="631024CA"/>
    <w:rsid w:val="63143A8B"/>
    <w:rsid w:val="631500DD"/>
    <w:rsid w:val="632D0C0E"/>
    <w:rsid w:val="63385612"/>
    <w:rsid w:val="6351475E"/>
    <w:rsid w:val="635A65B4"/>
    <w:rsid w:val="63794561"/>
    <w:rsid w:val="639C0314"/>
    <w:rsid w:val="639D48A4"/>
    <w:rsid w:val="63A65C06"/>
    <w:rsid w:val="63C70E5A"/>
    <w:rsid w:val="63DF2760"/>
    <w:rsid w:val="63FA7369"/>
    <w:rsid w:val="64217336"/>
    <w:rsid w:val="643A1C54"/>
    <w:rsid w:val="64412765"/>
    <w:rsid w:val="6447132E"/>
    <w:rsid w:val="645864EA"/>
    <w:rsid w:val="64731480"/>
    <w:rsid w:val="64A1312A"/>
    <w:rsid w:val="64C358F6"/>
    <w:rsid w:val="64D60EEE"/>
    <w:rsid w:val="64DE4AB5"/>
    <w:rsid w:val="64F97D2B"/>
    <w:rsid w:val="65064554"/>
    <w:rsid w:val="650C08FC"/>
    <w:rsid w:val="650E3F00"/>
    <w:rsid w:val="651909DE"/>
    <w:rsid w:val="65405008"/>
    <w:rsid w:val="65416973"/>
    <w:rsid w:val="657C1EF9"/>
    <w:rsid w:val="65867F19"/>
    <w:rsid w:val="659E5BEA"/>
    <w:rsid w:val="65B6089F"/>
    <w:rsid w:val="65BC2705"/>
    <w:rsid w:val="65E119A0"/>
    <w:rsid w:val="65F75BAB"/>
    <w:rsid w:val="65FC192D"/>
    <w:rsid w:val="66124A0E"/>
    <w:rsid w:val="661D604D"/>
    <w:rsid w:val="662128BA"/>
    <w:rsid w:val="669142F5"/>
    <w:rsid w:val="66B2073C"/>
    <w:rsid w:val="66BA1234"/>
    <w:rsid w:val="66BC77A9"/>
    <w:rsid w:val="66D116B0"/>
    <w:rsid w:val="66D31321"/>
    <w:rsid w:val="66E979D6"/>
    <w:rsid w:val="670E0FD4"/>
    <w:rsid w:val="671F5242"/>
    <w:rsid w:val="673353D4"/>
    <w:rsid w:val="677C4F1A"/>
    <w:rsid w:val="678A4027"/>
    <w:rsid w:val="6798639E"/>
    <w:rsid w:val="67A67B6B"/>
    <w:rsid w:val="67BA77FA"/>
    <w:rsid w:val="67DB7F93"/>
    <w:rsid w:val="683F18A1"/>
    <w:rsid w:val="685205C1"/>
    <w:rsid w:val="68561579"/>
    <w:rsid w:val="685A115D"/>
    <w:rsid w:val="68A634BD"/>
    <w:rsid w:val="68A640DF"/>
    <w:rsid w:val="68AE1C87"/>
    <w:rsid w:val="68F72341"/>
    <w:rsid w:val="69260A39"/>
    <w:rsid w:val="6945672A"/>
    <w:rsid w:val="6949374F"/>
    <w:rsid w:val="69746A06"/>
    <w:rsid w:val="6977368B"/>
    <w:rsid w:val="69B16B80"/>
    <w:rsid w:val="69B40656"/>
    <w:rsid w:val="69B86E2F"/>
    <w:rsid w:val="69ED36E5"/>
    <w:rsid w:val="6A034516"/>
    <w:rsid w:val="6A375500"/>
    <w:rsid w:val="6A4677C5"/>
    <w:rsid w:val="6A58096E"/>
    <w:rsid w:val="6A627CC2"/>
    <w:rsid w:val="6A707FCD"/>
    <w:rsid w:val="6A943149"/>
    <w:rsid w:val="6A9C7E69"/>
    <w:rsid w:val="6ABB207C"/>
    <w:rsid w:val="6ADB6A73"/>
    <w:rsid w:val="6AFB325F"/>
    <w:rsid w:val="6AFF6C9D"/>
    <w:rsid w:val="6B1B42A9"/>
    <w:rsid w:val="6B1F1D0D"/>
    <w:rsid w:val="6B260688"/>
    <w:rsid w:val="6B3F0A4E"/>
    <w:rsid w:val="6B4E4FAF"/>
    <w:rsid w:val="6BA378D5"/>
    <w:rsid w:val="6BBA1B4A"/>
    <w:rsid w:val="6BBF5310"/>
    <w:rsid w:val="6BD615B2"/>
    <w:rsid w:val="6C3536E4"/>
    <w:rsid w:val="6C3B3880"/>
    <w:rsid w:val="6C411AB2"/>
    <w:rsid w:val="6C5E5AB7"/>
    <w:rsid w:val="6C634159"/>
    <w:rsid w:val="6C6C46CF"/>
    <w:rsid w:val="6C9600FF"/>
    <w:rsid w:val="6CA63202"/>
    <w:rsid w:val="6CBE13BB"/>
    <w:rsid w:val="6CCF1CEC"/>
    <w:rsid w:val="6CD0488C"/>
    <w:rsid w:val="6CFD5F88"/>
    <w:rsid w:val="6D04328C"/>
    <w:rsid w:val="6D3F09FA"/>
    <w:rsid w:val="6D6344CA"/>
    <w:rsid w:val="6D657714"/>
    <w:rsid w:val="6D7F4DAB"/>
    <w:rsid w:val="6D8B08E1"/>
    <w:rsid w:val="6D971FA4"/>
    <w:rsid w:val="6DA57877"/>
    <w:rsid w:val="6DC07153"/>
    <w:rsid w:val="6DDB1FFB"/>
    <w:rsid w:val="6DE072D0"/>
    <w:rsid w:val="6E1130A3"/>
    <w:rsid w:val="6E1578EA"/>
    <w:rsid w:val="6E1D4F92"/>
    <w:rsid w:val="6E212C89"/>
    <w:rsid w:val="6E2F636A"/>
    <w:rsid w:val="6E2F7AE9"/>
    <w:rsid w:val="6E57013E"/>
    <w:rsid w:val="6E581363"/>
    <w:rsid w:val="6E590939"/>
    <w:rsid w:val="6E82090C"/>
    <w:rsid w:val="6E9A3BF3"/>
    <w:rsid w:val="6E9A4C30"/>
    <w:rsid w:val="6EA56162"/>
    <w:rsid w:val="6EAB0BB4"/>
    <w:rsid w:val="6EAE04C3"/>
    <w:rsid w:val="6EB82251"/>
    <w:rsid w:val="6EBD5A7C"/>
    <w:rsid w:val="6EF949AA"/>
    <w:rsid w:val="6F00155F"/>
    <w:rsid w:val="6F242845"/>
    <w:rsid w:val="6F595DAB"/>
    <w:rsid w:val="6FC047FC"/>
    <w:rsid w:val="6FD54775"/>
    <w:rsid w:val="6FD667D8"/>
    <w:rsid w:val="6FDB1D60"/>
    <w:rsid w:val="6FE07383"/>
    <w:rsid w:val="6FEA77B6"/>
    <w:rsid w:val="701177B9"/>
    <w:rsid w:val="7017659D"/>
    <w:rsid w:val="701E390F"/>
    <w:rsid w:val="70212429"/>
    <w:rsid w:val="70285AF2"/>
    <w:rsid w:val="70582AE8"/>
    <w:rsid w:val="706A75C3"/>
    <w:rsid w:val="70A52A0F"/>
    <w:rsid w:val="70B37FE7"/>
    <w:rsid w:val="70DE3BFC"/>
    <w:rsid w:val="70DF0A06"/>
    <w:rsid w:val="70E375FD"/>
    <w:rsid w:val="70EE41BF"/>
    <w:rsid w:val="70FF238C"/>
    <w:rsid w:val="71057AA8"/>
    <w:rsid w:val="712E36BF"/>
    <w:rsid w:val="7166463B"/>
    <w:rsid w:val="71704127"/>
    <w:rsid w:val="717E4A5D"/>
    <w:rsid w:val="7181779E"/>
    <w:rsid w:val="7198647E"/>
    <w:rsid w:val="719D2CEA"/>
    <w:rsid w:val="71A30EF1"/>
    <w:rsid w:val="71A62F00"/>
    <w:rsid w:val="71B84825"/>
    <w:rsid w:val="71BC3B2A"/>
    <w:rsid w:val="71E07D3A"/>
    <w:rsid w:val="71E728AA"/>
    <w:rsid w:val="72031F8C"/>
    <w:rsid w:val="720704C2"/>
    <w:rsid w:val="72083FAC"/>
    <w:rsid w:val="72560CCD"/>
    <w:rsid w:val="7280194D"/>
    <w:rsid w:val="72A27BA7"/>
    <w:rsid w:val="72D861FA"/>
    <w:rsid w:val="72E2166D"/>
    <w:rsid w:val="72F73481"/>
    <w:rsid w:val="734F5BD9"/>
    <w:rsid w:val="73936A3E"/>
    <w:rsid w:val="739E40AD"/>
    <w:rsid w:val="73B13A3F"/>
    <w:rsid w:val="73FFFFD9"/>
    <w:rsid w:val="74133ECC"/>
    <w:rsid w:val="74160B10"/>
    <w:rsid w:val="741F35A2"/>
    <w:rsid w:val="746B1B7D"/>
    <w:rsid w:val="74816A04"/>
    <w:rsid w:val="748B5BAF"/>
    <w:rsid w:val="74A53AEB"/>
    <w:rsid w:val="74A5545E"/>
    <w:rsid w:val="74C73512"/>
    <w:rsid w:val="74D25434"/>
    <w:rsid w:val="74F82564"/>
    <w:rsid w:val="75205C5D"/>
    <w:rsid w:val="756B1704"/>
    <w:rsid w:val="75797387"/>
    <w:rsid w:val="75864326"/>
    <w:rsid w:val="75B55184"/>
    <w:rsid w:val="75DD1FE0"/>
    <w:rsid w:val="75F1652E"/>
    <w:rsid w:val="75F8378C"/>
    <w:rsid w:val="760E387E"/>
    <w:rsid w:val="761D72F4"/>
    <w:rsid w:val="76324053"/>
    <w:rsid w:val="764D343F"/>
    <w:rsid w:val="768A673A"/>
    <w:rsid w:val="768F21B1"/>
    <w:rsid w:val="769223A3"/>
    <w:rsid w:val="7696195A"/>
    <w:rsid w:val="76A407EF"/>
    <w:rsid w:val="76BC6700"/>
    <w:rsid w:val="76D3656F"/>
    <w:rsid w:val="772A30B6"/>
    <w:rsid w:val="772E593C"/>
    <w:rsid w:val="772F20FF"/>
    <w:rsid w:val="7731511B"/>
    <w:rsid w:val="773924B6"/>
    <w:rsid w:val="773FA2ED"/>
    <w:rsid w:val="77583F71"/>
    <w:rsid w:val="775F2884"/>
    <w:rsid w:val="777324B2"/>
    <w:rsid w:val="777B4A60"/>
    <w:rsid w:val="77867919"/>
    <w:rsid w:val="779C6095"/>
    <w:rsid w:val="77BE3EFC"/>
    <w:rsid w:val="783D47A5"/>
    <w:rsid w:val="78556366"/>
    <w:rsid w:val="78656D92"/>
    <w:rsid w:val="786D4385"/>
    <w:rsid w:val="789A54FA"/>
    <w:rsid w:val="78A319E9"/>
    <w:rsid w:val="78AB20FD"/>
    <w:rsid w:val="78C17C92"/>
    <w:rsid w:val="78D07F68"/>
    <w:rsid w:val="78D16B73"/>
    <w:rsid w:val="78FE75AE"/>
    <w:rsid w:val="79A429F4"/>
    <w:rsid w:val="7A207F72"/>
    <w:rsid w:val="7A2F04FF"/>
    <w:rsid w:val="7A4166E0"/>
    <w:rsid w:val="7A4571E3"/>
    <w:rsid w:val="7A594318"/>
    <w:rsid w:val="7A9757E8"/>
    <w:rsid w:val="7A987C39"/>
    <w:rsid w:val="7AB47F6B"/>
    <w:rsid w:val="7AD17210"/>
    <w:rsid w:val="7AF62EF7"/>
    <w:rsid w:val="7B014CF8"/>
    <w:rsid w:val="7B0B123F"/>
    <w:rsid w:val="7B1015C2"/>
    <w:rsid w:val="7B5C543B"/>
    <w:rsid w:val="7B7767D4"/>
    <w:rsid w:val="7BF37F36"/>
    <w:rsid w:val="7C006C7E"/>
    <w:rsid w:val="7C286A9B"/>
    <w:rsid w:val="7C302BC6"/>
    <w:rsid w:val="7C5A01AE"/>
    <w:rsid w:val="7C870A7A"/>
    <w:rsid w:val="7CAD0C32"/>
    <w:rsid w:val="7CB76C93"/>
    <w:rsid w:val="7CBB30AC"/>
    <w:rsid w:val="7CE743BA"/>
    <w:rsid w:val="7CE759B6"/>
    <w:rsid w:val="7CEA58C5"/>
    <w:rsid w:val="7D6A5ED3"/>
    <w:rsid w:val="7D8D381C"/>
    <w:rsid w:val="7DB551D9"/>
    <w:rsid w:val="7DF35AC0"/>
    <w:rsid w:val="7DF4791F"/>
    <w:rsid w:val="7DFC32F0"/>
    <w:rsid w:val="7DFD1E71"/>
    <w:rsid w:val="7E1E43D3"/>
    <w:rsid w:val="7E3509EB"/>
    <w:rsid w:val="7E40201E"/>
    <w:rsid w:val="7E5F2335"/>
    <w:rsid w:val="7E6725CB"/>
    <w:rsid w:val="7E790E01"/>
    <w:rsid w:val="7E7C7479"/>
    <w:rsid w:val="7E97338B"/>
    <w:rsid w:val="7E9F6C20"/>
    <w:rsid w:val="7EA0552B"/>
    <w:rsid w:val="7EC56C6F"/>
    <w:rsid w:val="7EDF0788"/>
    <w:rsid w:val="7EFA354D"/>
    <w:rsid w:val="7EFF4DAF"/>
    <w:rsid w:val="7F053574"/>
    <w:rsid w:val="7F065F54"/>
    <w:rsid w:val="7F077DB3"/>
    <w:rsid w:val="7F0B657E"/>
    <w:rsid w:val="7F4B5586"/>
    <w:rsid w:val="7F63417D"/>
    <w:rsid w:val="7F7C046F"/>
    <w:rsid w:val="7F9B6B65"/>
    <w:rsid w:val="7F9B70EE"/>
    <w:rsid w:val="7FA3491A"/>
    <w:rsid w:val="7FA853AE"/>
    <w:rsid w:val="7FBA4779"/>
    <w:rsid w:val="7FBF5877"/>
    <w:rsid w:val="7FE421F8"/>
    <w:rsid w:val="7FF22A85"/>
    <w:rsid w:val="9F39961B"/>
    <w:rsid w:val="B2F917AB"/>
    <w:rsid w:val="B7FD7436"/>
    <w:rsid w:val="BCFF1FA1"/>
    <w:rsid w:val="D5D7204B"/>
    <w:rsid w:val="DEE76195"/>
    <w:rsid w:val="F8F56A1B"/>
    <w:rsid w:val="FFF3ECE6"/>
    <w:rsid w:val="FFFB7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libri Light" w:hAnsi="Calibri Light" w:cs="Times New Roman"/>
      <w:b/>
      <w:bCs/>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paragraph" w:customStyle="1" w:styleId="8">
    <w:name w:val="正文缩进 + 首行缩进:  2 字符"/>
    <w:basedOn w:val="1"/>
    <w:autoRedefine/>
    <w:qFormat/>
    <w:uiPriority w:val="0"/>
    <w:pPr>
      <w:ind w:firstLine="640"/>
    </w:pPr>
    <w:rPr>
      <w:rFonts w:cs="宋体"/>
      <w:szCs w:val="20"/>
    </w:rPr>
  </w:style>
  <w:style w:type="character" w:customStyle="1" w:styleId="9">
    <w:name w:val="font21"/>
    <w:basedOn w:val="7"/>
    <w:qFormat/>
    <w:uiPriority w:val="0"/>
    <w:rPr>
      <w:rFonts w:hint="eastAsia" w:ascii="宋体" w:hAnsi="宋体" w:eastAsia="宋体" w:cs="宋体"/>
      <w:color w:val="000000"/>
      <w:sz w:val="21"/>
      <w:szCs w:val="21"/>
      <w:u w:val="none"/>
    </w:rPr>
  </w:style>
  <w:style w:type="character" w:customStyle="1" w:styleId="10">
    <w:name w:val="font31"/>
    <w:basedOn w:val="7"/>
    <w:qFormat/>
    <w:uiPriority w:val="0"/>
    <w:rPr>
      <w:rFonts w:ascii="仿宋_GB2312" w:eastAsia="仿宋_GB2312" w:cs="仿宋_GB2312"/>
      <w:color w:val="000000"/>
      <w:sz w:val="21"/>
      <w:szCs w:val="21"/>
      <w:u w:val="none"/>
    </w:rPr>
  </w:style>
  <w:style w:type="character" w:customStyle="1" w:styleId="11">
    <w:name w:val="font41"/>
    <w:basedOn w:val="7"/>
    <w:qFormat/>
    <w:uiPriority w:val="0"/>
    <w:rPr>
      <w:rFonts w:hint="eastAsia" w:ascii="仿宋_GB2312" w:eastAsia="仿宋_GB2312" w:cs="仿宋_GB2312"/>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2395</Words>
  <Characters>2836</Characters>
  <Lines>0</Lines>
  <Paragraphs>0</Paragraphs>
  <TotalTime>12</TotalTime>
  <ScaleCrop>false</ScaleCrop>
  <LinksUpToDate>false</LinksUpToDate>
  <CharactersWithSpaces>2836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2024-02-02T09:17:00Z</dcterms:created>
  <dc:creator>huyanchao</dc:creator>
  <cp:lastModifiedBy>罗意</cp:lastModifiedBy>
  <cp:lastPrinted>2026-02-24T17:35:19Z</cp:lastPrinted>
  <dcterms:modified xsi:type="dcterms:W3CDTF">2026-02-25T09:08:45Z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0C935B76918459D46BC17A69FCB794E4_43</vt:lpwstr>
  </property>
  <property fmtid="{D5CDD505-2E9C-101B-9397-08002B2CF9AE}" pid="4" name="KSOTemplateDocerSaveRecord">
    <vt:lpwstr>eyJoZGlkIjoiNDEyZmJiMmQyMzIwYTY2ZjY2NWEwYzJjMTNkZjk0ZjQiLCJ1c2VySWQiOiI2Nzk3MzczNzAifQ==</vt:lpwstr>
  </property>
</Properties>
</file>