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附表一             </w:t>
      </w: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sz w:val="36"/>
          <w:szCs w:val="36"/>
        </w:rPr>
        <w:t>2016年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 xml:space="preserve"> 鄂州市水产局  </w:t>
      </w:r>
      <w:r>
        <w:rPr>
          <w:rFonts w:hint="eastAsia" w:ascii="黑体" w:hAnsi="黑体" w:eastAsia="黑体" w:cs="黑体"/>
          <w:b/>
          <w:sz w:val="36"/>
          <w:szCs w:val="36"/>
        </w:rPr>
        <w:t>部门收支预算总表</w:t>
      </w:r>
    </w:p>
    <w:bookmarkEnd w:id="0"/>
    <w:p>
      <w:pPr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单位：万元</w:t>
      </w:r>
    </w:p>
    <w:tbl>
      <w:tblPr>
        <w:tblStyle w:val="3"/>
        <w:tblpPr w:leftFromText="180" w:rightFromText="180" w:vertAnchor="text" w:horzAnchor="page" w:tblpX="1888" w:tblpY="492"/>
        <w:tblOverlap w:val="never"/>
        <w:tblW w:w="13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1290"/>
        <w:gridCol w:w="5025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收入</w:t>
            </w:r>
          </w:p>
        </w:tc>
        <w:tc>
          <w:tcPr>
            <w:tcW w:w="6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预算数</w:t>
            </w:r>
          </w:p>
        </w:tc>
        <w:tc>
          <w:tcPr>
            <w:tcW w:w="5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项目(按功能分类)</w:t>
            </w:r>
          </w:p>
        </w:tc>
        <w:tc>
          <w:tcPr>
            <w:tcW w:w="19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一、财政拨款（补助）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一、【201】一般公共服务支出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经费拨款（补助）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409.04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二、【202】外交支出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纳入预算管理的非税收入安排的拨款(不含基金)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6.00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三、【203】国防支出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专项收入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0.00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四、【204】公共安全支出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行政事业性收费收入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6.00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五、【205】教育支出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罚没收入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六、【206】科学技术支出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国有资源(资产)有偿使用收入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七、【207】文化体育与传媒支出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其他非税收入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八、【208】社会保障和就业支出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政府性基金拨款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九、【209】社会保险基金支出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二、事业收入（不含非税收入）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十、【210】医疗卫生与计划生育支出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三、事业单位经营收入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十一、【211】节能环保支出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四、其他收入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十二、【212】城乡社区支出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五、上级补助收入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十三、【213】农林水支出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六、附属单位上缴收入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十四、【214】交通运输支出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十五、【215】资源勘探电力信息等支出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十六、【216】商业服务业等支出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十七、【217】金融支出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十八、【219】援助其他地区支出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十九、【220】国土海洋气象支出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二十、【221】住房保障支出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二十一、【222】粮油物资储备支出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二十二、【223】国有资本经营预算支出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二十二、【227】预备费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二十四、【229】其他支出</w:t>
            </w:r>
          </w:p>
        </w:tc>
        <w:tc>
          <w:tcPr>
            <w:tcW w:w="19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二十五、【230】转移性支出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二十六、【231】债务还本支出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二十七、【232】债务付息支出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二十八、【233】债务发行费用支出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本  年  收  入  合  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本  年  支  出  合  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七、用事业基金弥补收支差额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结 转 下 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八、上年结余、结存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其中：上年专项结转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纳入预算管理的政府性基金结转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其他结转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收      入      总      计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支　　　出　　　总　　　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415.04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30E8"/>
    <w:rsid w:val="450C30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2016-03-01T03:19:00Z</dcterms:created>
  <dc:creator>Administrator</dc:creator>
  <cp:lastModifiedBy>Administrator</cp:lastModifiedBy>
  <dcterms:modified xsi:type="dcterms:W3CDTF">2016-03-01T03:19:32Z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