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人社系统2018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年部门预算</w:t>
      </w:r>
    </w:p>
    <w:p>
      <w:pPr>
        <w:spacing w:after="312" w:afterLines="100" w:line="6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after="312" w:afterLines="100" w:line="60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目  录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第一部分 人社系统概况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一、主要职能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二、机构设置情况及部门预算单位组成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三、部门人员构成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第二部分 人社系统2018年部门预算安排情况说明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一、部门预算收支情况总体说明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二、部门预算收支增减变化情况说明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三、财政拨款收支情况说明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四、一般公共预算支出情况说明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五、一般公共预算基本支出情况说明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六、机关运行经费安排情况说明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七、国有资产占用情况说明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八、预算绩效情况（含重点项目预算的绩效目标）说明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九、政府采购安排情况说明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十、一般公共预算“三公”经费支出情况说明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十一、政府性基金预算支出情况说明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第三部分 名词解释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第四部分 人社系统2018年部门预算表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一、部门收支预算总表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二、部门收入预算总表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三、部门支出预算总表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四、财政拨款收支预算总表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五、一般公共预算支出表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六、一般公共预算基本支出表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七、政府性基金预算支出表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八、财政拨款“三公”经费支出表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第一部分 人社系统概况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line="3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部门主要职能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1、贯彻实施国家、省人力资源和社会保障的政策法规，拟订全市人力资源和社会保障事业发展规划、政策，拟订人力资源和社会保障地方政府规范性文件草案，并负责发布后组织实施和监督检查。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2、拟订全市人力资源市场发展规划和人力资源流动政策并组织实施，建立统一规范的人力资源市场并负责监督管理，促进人力资源合理流动、有效配置，加强区域人才合作。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全市促进就业工作，拟订统筹城乡的就业发展规划和政策并组织实施，牵头拟订高校毕业生就业政策，完善公共就业服务体系，拟订年度就业专项资金使用计划，拟订就业援助制度，推动大众创业工作。负责全市就业、失业、失业保险基金预测预警和信息引导工作，拟订应对预案，实施预防、调节和控制，保持全市就业形势稳定和失业保险基金总体收支平衡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统筹建立覆盖全市城乡的社会保障体系。拟订全市社会保险发展中长期规划和年度计划，统筹拟订全市城乡社会保险及其补充保险、企业年金、职业年金政策和标准并组织实施，拟订全市统一的社会保险关系转续实施办法，实施全市职工基本养老保险市级统筹，推进机关事业单位养老保险工作，会同有关部门拟订全市社会保险及其补充保险基金、企业年金、职业年金管理与监督制度并组织实施，参与制定全市社会保障基金投资政策，负责拟订中央、省转移支付社会保险资金和市级专项资金及调剂金的分配方案，编制全市社会保险基金预决算草案并组织基金预算的执行，承担参加养老保险退休人员的社会化管理工作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全市职业能力建设工作。统筹建立面向全体劳动者的职业培训制度，统筹建立专业技术人员继续教育制度，拟订管理人才、专业技术人才、高技能人才、农村实用人才培养和激励政策并组织实施；负责全市技工学校和民办培训机构的资格认定和监督管理，完善职业资格制度，组织实施劳动预备制度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6、负责拟订全市机关企事业单位工资收入分配、福利和离退休政策并组织实施，建立全市机关企事业单位人员工资正常增长和支付保障机制，拟订企业劳动标准政策和劳动定额标准，监督检查实施情况。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7、会同有关部门拟订事业单位人事制度改革方案，负责事业单位人事制度改革工作，拟订事业单位人员和机关工勤人员人事管理政策并组织实施，会同有关部门加强事业单位人员宏观管理。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负责专业技术人员队伍建设。拟订专业技术人员管理政策，负责高层次专业技术人才选拔和培养工作，会同有关部门组织引进高层次急需人才。负责全市专业技术职务综合管理和高技能人才队伍建设工作，拟订深化职称制度改革的政策、措施，负责全市专业技术资格、职（执）业资格考试工作的监督管理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贯彻实施军队转业干部安置政策，会同有关部门拟订全市军队转业干部安置计划并组织实施，负责全市军队转业干部教育培训工作，落实中央、省关于企业军队转业干部相关政策，负责自主择业军队转业干部管理服务工作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贯彻实施国家、省行政机关公务员管理法规、政策，负责全市公务员综合管理工作；贯彻实施有关人员调配政策和特殊人员安置政策；牵头拟订市级荣誉制度和政府奖励制度；加强行政机关及其公务员能力建设，提高行政效能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11、贯彻实施农民工工作综合性政策，会同有关部门拟订全市农民工工作有关政策和规划，推动农民工相关政策的落实，协调解决重点难点问题，维护农民工合法权益。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贯彻实施有关协调劳动关系的法规和政策，建立健全劳动关系协调机制。拟订全市劳动人事争议仲裁制度并组织实施，依法处理市管劳动人事争议案件。主管全市劳动保障监察工作，依法对中央、省驻鄂州单位和市属单位实施监察，组织查处重大案件，维护劳动者合法权益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13、负责制定全市人力资源和社会保障信息化建设规划并组织实施，指导全市区、乡镇、街道、社区人力资源和社会保障服务平台建设。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14、承办上级交办的其他事项。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line="3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二、机构设置情况及部门预算单位组成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line="3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1.机构设置情况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人力资源和社会保障局共设18个内设机构：办公室（信访工作科）、政策法规科、规划财务科、就业促进与失业保险科、职业能力建设科、专业技术人员管理与职称科、事业单位人事管理科、人力资源市场管理科、军官专业安置办公室（自主择业军队专业干部管理办公室）、劳动关系科、工资福利科、养老保险科、医疗保险科、社会保险基金监督科、调解仲裁管理科、公务员职位职责管理科、公务员培训录用与考核奖惩科、人事教育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line="3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2、部门预算单位组成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人力资源和社会保障局共有直属事业单位7个：市社保保险局、市劳动就业管理局、市医疗保险局、市人才服务局、市劳动监察局、人力资源和社会保障信息中心、市人事考试院。按编委确定的行政级别分，副县级4家，正科级3家。按经费来源分，6家单位属财政全额拨款，1家为自收自支，财政全额拨款事业单位中6家属参公管理事业单位。本年新增就业创业指导服务中心，为就业管理局下属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部门人员构成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人社系统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2018年编制人数222人，其中行政编制46人，事业编制164人，工勤编制7人，自收自支5人。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2018年部门预算在职人员181人，退休84人。</w:t>
      </w:r>
    </w:p>
    <w:p>
      <w:pPr>
        <w:spacing w:line="6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第二部分  人社系统2018年部门预算安排情况说明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一、部门预算收支情况总体说明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年部门预算总收入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2917.43</w:t>
      </w:r>
      <w:r>
        <w:rPr>
          <w:rFonts w:hint="eastAsia" w:ascii="仿宋" w:hAnsi="仿宋" w:eastAsia="仿宋" w:cs="仿宋"/>
          <w:sz w:val="32"/>
          <w:szCs w:val="32"/>
        </w:rPr>
        <w:t>万元。其中：一般公共预算财政拨款收入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2917.43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占收入的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100%。</w:t>
      </w:r>
      <w:r>
        <w:rPr>
          <w:rFonts w:hint="eastAsia" w:ascii="仿宋" w:hAnsi="仿宋" w:eastAsia="仿宋" w:cs="仿宋"/>
          <w:sz w:val="32"/>
          <w:szCs w:val="32"/>
        </w:rPr>
        <w:t>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，占收入的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年部门预算总支出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2917.43</w:t>
      </w:r>
      <w:r>
        <w:rPr>
          <w:rFonts w:hint="eastAsia" w:ascii="仿宋" w:hAnsi="仿宋" w:eastAsia="仿宋" w:cs="仿宋"/>
          <w:sz w:val="32"/>
          <w:szCs w:val="32"/>
        </w:rPr>
        <w:t>万元。其中：基本支出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2180.11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74.73</w:t>
      </w:r>
      <w:r>
        <w:rPr>
          <w:rFonts w:hint="eastAsia" w:ascii="仿宋" w:hAnsi="仿宋" w:eastAsia="仿宋" w:cs="仿宋"/>
          <w:sz w:val="32"/>
          <w:szCs w:val="32"/>
        </w:rPr>
        <w:t>%。项目支出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737.32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，占支出的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25.27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%。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按照支出功能分类科目，主要用于：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干部教育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17.68万元，行政事业单位离退休267.78万元，行政单位医疗160.53万元，人力资源和社会保障管理事务2330.05万元，住房公积金141.39万元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按照支出经济分类科目，主要用于：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1730.45万元，商品和服务支出430.3万元，对个人和家庭的补助支出19.36万元，项目支出737.32万元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部门预算收支增减变化情况说明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2018年部门收入总预算2917.43万元。比上年预算增加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33.11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万元，增长1.28%，主要原因是：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新增就业创业指导服务中心预算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2018年部门支出总预算2917.43万元。比上年预算增加33.11万元，增长1.28 %，主要原因是：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新增就业创业指导服务中心预算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财政拨款收支情况说明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年财政拨款收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2917.43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包括：一般公共预算财政拨款收入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2917.43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主要包括：基本支出2180.11万元，项目支出737.32万元。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一般公共预算支出情况说明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2018年一般公共预算支出数为2917.43万元，比 2017 年预算数增加33.11万元，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增长1.28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%。具体情况如下：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干部教育（2050802）17.68万元；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行政运行（2080101）811.64万元；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一般行政管理事务（2080102）190万元；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劳动保障监察（2080105）40万元；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社会保险经办机构（2080109）1099.93万元；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公共就业服务和职业技能鉴定机构（2080111）50.83万元；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其他人力资源和社会保障管理事务支出（2080199）137.65万元：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归口管理的行政单位离退休（2080501）16.76万元；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事业单位离退休（2080502）0.82万元：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机关事业单位基本养老保险缴费支出（2080505）250.2万元；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行政单位医疗（2101101）150.83万元；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事业单位医疗（2101102）9.7万元：</w:t>
      </w:r>
    </w:p>
    <w:p>
      <w:pPr>
        <w:numPr>
          <w:ilvl w:val="0"/>
          <w:numId w:val="3"/>
        </w:numPr>
        <w:spacing w:line="6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住房公积金（2210201）141.39万元。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一般公共预算基本支出情况说明</w:t>
      </w:r>
    </w:p>
    <w:p>
      <w:pPr>
        <w:spacing w:line="62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年一般公共预算基本支出2180.11万元，占预算总额的74.73%。其中：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(一)人员经费1730.45万元。包括：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1730.45万元，主要用于：在职人员基本工资655.59万元、津贴补贴522.74万元、机关事业单位基本养老保险缴费250.2万元、职业年金缴费0.95万元、职工基本医疗保险缴费8.24万元、公务员医疗补助150.83万元、其他社会保障缴费0.51万元、住房公积金141.39万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（二）对个人和家庭的补助19.36万元，主要用于：离退休人员公务费19.36万元。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公用经费430.3万元。主要用于：办公费17.4万元、印刷费4.42万元、水费2.43万元、电费15.26万元、邮电费19.89万元、差旅费92.82万元、维修(护)费2.21万元、会议费22.1万元、培训费30.94万元、公务接待费3.54万元、工会经费23.56万元、福利费29.45万元、公务用车运行维护费18万元、其他交通费用120.6万元、办公设备购置费17.68万元等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机关运行经费安排情况说明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年机关运行经费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预算430.3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，占预算总额的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14.75%。</w:t>
      </w:r>
      <w:r>
        <w:rPr>
          <w:rFonts w:hint="eastAsia" w:ascii="仿宋" w:hAnsi="仿宋" w:eastAsia="仿宋" w:cs="仿宋"/>
          <w:sz w:val="32"/>
          <w:szCs w:val="32"/>
        </w:rPr>
        <w:t>主要包括：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430.3万元，其中办公费17.4万元、印刷费4.42万元、水费2.43万元、电费15.26万元、邮电费19.89万元、差旅费92.82万元、维修(护)费2.21万元、会议费22.1万元、培训费30.94万元、公务接待费3.54万元、工会经费23.56万元、福利费29.45万元、公务用车运行维护费18万元、其他交通费用120.6万元、办公设备购置费17.68万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七、国有资产占用情况说明</w:t>
      </w:r>
    </w:p>
    <w:p>
      <w:pPr>
        <w:spacing w:line="6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2017年年末国有资产共4050.27万元，其中房屋13589.17平方米，金额1943.08万元；车辆2台，金额37.75万元，其他固定资产2069.44万元。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八、预算绩效情况（含重点项目预算的绩效目标）说明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用于公务员招录经费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50万，其中资格复审费及领取题本费1.1万元，面试工作人员及考官劳务费、用餐费24.1万元，租车费2.5万元，资料印刷机办公用品购置费18.3万元，考察及其他费用4万元。一是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通过考试选拔优秀的人才进入公务员队伍，参加公共事务管理，这种方法具有科学性，客观性，严格性，能够最大限度的为政府吸引和选拔优秀人才。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提高我市公务员队伍的素质。实行公务员考试录用制度保证了公务员“人口”的高质量，对于整个公务员队伍素质的提高起到了积极的作用。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和完善人事制度。建立现代人事制度，首先要抵制用人上的不正之风。通过实行考试录用制度，建立科学、公正的录用标准，遵循法定的条件和程序，才能确保人才选拔的客观公正性，保障我市人事制度的建立和完善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九、政府采购安排情况说明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按照现行政府采购管理规定，2018年部门预算中纳入政府采购预算支出合计97.96万元,其中货物类48.2万元，服务类49.76万元。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一般公共预算“三公”经费支出情况说明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年“三公”经费预算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21.54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增加6.2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40.09</w:t>
      </w:r>
      <w:r>
        <w:rPr>
          <w:rFonts w:hint="eastAsia" w:ascii="仿宋" w:hAnsi="仿宋" w:eastAsia="仿宋" w:cs="仿宋"/>
          <w:sz w:val="32"/>
          <w:szCs w:val="32"/>
        </w:rPr>
        <w:t xml:space="preserve"> %。其中：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（一）因公出国（境）费预算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年预算增加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（或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 xml:space="preserve">万元，主要原因：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无此项支出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（二）公务接待费预算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3.54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3.34</w:t>
      </w:r>
      <w:r>
        <w:rPr>
          <w:rFonts w:hint="eastAsia" w:ascii="仿宋" w:hAnsi="仿宋" w:eastAsia="仿宋" w:cs="仿宋"/>
          <w:sz w:val="32"/>
          <w:szCs w:val="32"/>
        </w:rPr>
        <w:t>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万元，主要原因：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新增了就业创业指导服务中心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（三）公务用车购置及运行维护费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万元。其中：</w:t>
      </w:r>
    </w:p>
    <w:p>
      <w:pPr>
        <w:spacing w:line="620" w:lineRule="exact"/>
        <w:ind w:left="298" w:leftChars="14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1.公务用车购置费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年预算增加（或减少）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万元，主要原因：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无此项支出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年预算增加增加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新增了就业创业指导服务中心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政府性基金预算支出情况说明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无该项预算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第三部分  专业名词解释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伤鉴定：工伤鉴定是在申请工伤鉴定的职工被认定为工伤的基础上，在其医疗终结或医疗期满之后，由县以上劳动鉴定委员会对其进行的评定伤残等级的行为。工伤鉴定可为补偿职业伤害、合理调换工作岗位和复工等行为提供科学依据。劳动能力不同程度的丧失，使劳动者可能因此不能再从事原本适合他的正常职业或工作，也可能造成不能再从事任何工作的结果，从而对工资收入者带来职业风险。工伤认定、工伤鉴定可为遭受职业伤害的职工维护其合法权益提供</w:t>
      </w:r>
      <w:r>
        <w:fldChar w:fldCharType="begin"/>
      </w:r>
      <w:r>
        <w:instrText xml:space="preserve"> HYPERLINK "http://www.chinalawedu.com/" \t "_blank" \o "法律"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依据，为保障工伤致残职 工享受我国宪</w:t>
      </w:r>
      <w:r>
        <w:fldChar w:fldCharType="begin"/>
      </w:r>
      <w:r>
        <w:instrText xml:space="preserve"> HYPERLINK "http://www.chinalawedu.com/falvfagui/" \t "_blank" \o "法规"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定的物质帮助权利和劳动就业的基本权利提供依据。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2、劳动仲裁：劳动仲裁是由</w:t>
      </w:r>
      <w:r>
        <w:fldChar w:fldCharType="begin"/>
      </w:r>
      <w:r>
        <w:instrText xml:space="preserve"> HYPERLINK "http://baike.baidu.com/view/33272.htm"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仲裁委员会对当事人申请仲裁的劳动争议居中公断与</w:t>
      </w:r>
      <w:r>
        <w:fldChar w:fldCharType="begin"/>
      </w:r>
      <w:r>
        <w:instrText xml:space="preserve"> HYPERLINK "http://baike.baidu.com/view/278994.htm"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。在我国，劳动仲裁是劳动争议当事人向</w:t>
      </w:r>
      <w:r>
        <w:fldChar w:fldCharType="begin"/>
      </w:r>
      <w:r>
        <w:instrText xml:space="preserve"> HYPERLINK "http://baike.baidu.com/view/1890.htm"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提起诉讼的必经程序。解决劳动争议，根据事实，遵循合法、公正、及时、着重调解的原则，依法保护当事人的合法权益，促进劳动关系和谐稳定。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第四部分 人社系统2018年部门预算表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 人社系统2018年部门预算表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F8A0C7-F5D8-4A46-862F-3E8BB0BB1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6E415A-F1C6-4255-9E53-5659FF7A4D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DD12EA-7E47-4498-8322-778B20D7725D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6F1182AA-645A-4274-908E-22B9967B42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57E1"/>
    <w:multiLevelType w:val="singleLevel"/>
    <w:tmpl w:val="045957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3287DC"/>
    <w:multiLevelType w:val="singleLevel"/>
    <w:tmpl w:val="0F3287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85FDBB"/>
    <w:multiLevelType w:val="singleLevel"/>
    <w:tmpl w:val="5C85FDB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3"/>
    <w:rsid w:val="000959A3"/>
    <w:rsid w:val="00732F99"/>
    <w:rsid w:val="007F02C9"/>
    <w:rsid w:val="00EA3BF7"/>
    <w:rsid w:val="00F1621E"/>
    <w:rsid w:val="02421213"/>
    <w:rsid w:val="02461B01"/>
    <w:rsid w:val="07482B85"/>
    <w:rsid w:val="0FC419ED"/>
    <w:rsid w:val="155C0C54"/>
    <w:rsid w:val="195B09D0"/>
    <w:rsid w:val="196F3232"/>
    <w:rsid w:val="199C2358"/>
    <w:rsid w:val="21142B03"/>
    <w:rsid w:val="215909F0"/>
    <w:rsid w:val="23875271"/>
    <w:rsid w:val="2F065503"/>
    <w:rsid w:val="389E27C4"/>
    <w:rsid w:val="391B3FFF"/>
    <w:rsid w:val="42A93E1D"/>
    <w:rsid w:val="43D27A30"/>
    <w:rsid w:val="490C3DEC"/>
    <w:rsid w:val="4A252E37"/>
    <w:rsid w:val="4E990C26"/>
    <w:rsid w:val="521E2858"/>
    <w:rsid w:val="57B4789F"/>
    <w:rsid w:val="594362B3"/>
    <w:rsid w:val="618752A0"/>
    <w:rsid w:val="61C83E4C"/>
    <w:rsid w:val="64037A72"/>
    <w:rsid w:val="673D5AD3"/>
    <w:rsid w:val="6A653B02"/>
    <w:rsid w:val="6B835275"/>
    <w:rsid w:val="6BB82615"/>
    <w:rsid w:val="6C823C2F"/>
    <w:rsid w:val="6E99785F"/>
    <w:rsid w:val="6FB437DC"/>
    <w:rsid w:val="715F635B"/>
    <w:rsid w:val="74877A15"/>
    <w:rsid w:val="76352503"/>
    <w:rsid w:val="78481A1B"/>
    <w:rsid w:val="798C2D01"/>
    <w:rsid w:val="7D4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1197</Characters>
  <Lines>9</Lines>
  <Paragraphs>2</Paragraphs>
  <TotalTime>0</TotalTime>
  <ScaleCrop>false</ScaleCrop>
  <LinksUpToDate>false</LinksUpToDate>
  <CharactersWithSpaces>1404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Quina</cp:lastModifiedBy>
  <cp:lastPrinted>2019-03-11T03:53:00Z</cp:lastPrinted>
  <dcterms:modified xsi:type="dcterms:W3CDTF">2019-03-20T06:50:05Z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