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kern w:val="0"/>
          <w:sz w:val="32"/>
          <w:szCs w:val="32"/>
        </w:rPr>
      </w:pPr>
      <w:r>
        <w:rPr>
          <w:rFonts w:hint="eastAsia" w:asciiTheme="majorEastAsia" w:hAnsiTheme="majorEastAsia" w:eastAsiaTheme="majorEastAsia" w:cstheme="majorEastAsia"/>
          <w:b/>
          <w:bCs/>
          <w:sz w:val="32"/>
          <w:szCs w:val="32"/>
          <w:lang w:val="en-US" w:eastAsia="zh-CN"/>
        </w:rPr>
        <w:t>2021</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eastAsia="zh-CN"/>
        </w:rPr>
        <w:t>督查效能业务</w:t>
      </w:r>
      <w:r>
        <w:rPr>
          <w:rFonts w:hint="eastAsia" w:asciiTheme="majorEastAsia" w:hAnsiTheme="majorEastAsia" w:eastAsiaTheme="majorEastAsia" w:cstheme="majorEastAsia"/>
          <w:b/>
          <w:bCs/>
          <w:sz w:val="32"/>
          <w:szCs w:val="32"/>
        </w:rPr>
        <w:t>项目自评表</w:t>
      </w:r>
    </w:p>
    <w:tbl>
      <w:tblPr>
        <w:tblStyle w:val="5"/>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080"/>
        <w:gridCol w:w="1588"/>
        <w:gridCol w:w="696"/>
        <w:gridCol w:w="244"/>
        <w:gridCol w:w="1365"/>
        <w:gridCol w:w="911"/>
        <w:gridCol w:w="124"/>
        <w:gridCol w:w="675"/>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481" w:type="dxa"/>
            <w:gridSpan w:val="9"/>
            <w:vAlign w:val="center"/>
          </w:tcPr>
          <w:p>
            <w:pPr>
              <w:widowControl/>
              <w:snapToGrid w:val="0"/>
              <w:jc w:val="center"/>
              <w:rPr>
                <w:rFonts w:ascii="宋体" w:hAnsi="宋体" w:cs="Arial"/>
                <w:kern w:val="0"/>
                <w:sz w:val="20"/>
                <w:szCs w:val="20"/>
                <w:shd w:val="clear" w:color="auto" w:fill="FFFFFF"/>
              </w:rPr>
            </w:pPr>
            <w:r>
              <w:rPr>
                <w:rFonts w:ascii="宋体" w:hAnsi="宋体" w:cs="Arial"/>
                <w:kern w:val="0"/>
                <w:sz w:val="20"/>
                <w:szCs w:val="20"/>
                <w:shd w:val="clear" w:color="auto" w:fill="FFFFFF"/>
              </w:rPr>
              <w:fldChar w:fldCharType="begin">
                <w:fldData xml:space="preserve">RABEAEIAMwBGADEAOAAwADkAOAAzADEANAA2ADQARQBBADUAMwBGAEYAMgA0ADEANAAzADUAQgAx
ADMAMgA4AA==
</w:fldData>
              </w:fldChar>
            </w:r>
            <w:r>
              <w:rPr>
                <w:rFonts w:ascii="宋体" w:hAnsi="宋体" w:cs="Arial"/>
                <w:kern w:val="0"/>
                <w:sz w:val="20"/>
                <w:szCs w:val="20"/>
                <w:shd w:val="clear" w:color="auto" w:fill="FFFFFF"/>
              </w:rPr>
              <w:instrText xml:space="preserve">Addin 项目名称</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highlight w:val="none"/>
                <w:shd w:val="clear" w:color="FFFFFF" w:fill="FFFFFF"/>
                <w:lang w:eastAsia="zh-CN"/>
              </w:rPr>
              <w:t>督查效能业务</w:t>
            </w:r>
            <w:r>
              <w:rPr>
                <w:rFonts w:ascii="宋体" w:hAnsi="宋体" w:cs="Arial"/>
                <w:kern w:val="0"/>
                <w:sz w:val="20"/>
                <w:szCs w:val="20"/>
                <w:highlight w:val="darkRed"/>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鄂州市督查考评办公室</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97"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鄂州市督查考评办公室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481"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hint="eastAsia" w:ascii="仿宋_GB2312" w:hAnsi="宋体" w:eastAsia="仿宋_GB2312" w:cs="仿宋_GB2312"/>
                <w:kern w:val="0"/>
                <w:lang w:val="en-US" w:eastAsia="zh-CN"/>
              </w:rPr>
              <w:t xml:space="preserve">  </w:t>
            </w:r>
            <w:r>
              <w:rPr>
                <w:rFonts w:hint="eastAsia" w:ascii="Arial" w:hAnsi="Arial" w:eastAsia="Arial" w:cs="Arial"/>
                <w:i w:val="0"/>
                <w:iCs w:val="0"/>
                <w:caps w:val="0"/>
                <w:color w:val="191919"/>
                <w:spacing w:val="0"/>
                <w:sz w:val="24"/>
                <w:szCs w:val="24"/>
                <w:shd w:val="clear" w:fill="FFFFFF"/>
              </w:rPr>
              <w:sym w:font="Wingdings" w:char="00FE"/>
            </w:r>
            <w:r>
              <w:rPr>
                <w:rFonts w:ascii="仿宋_GB2312" w:hAnsi="宋体" w:eastAsia="仿宋_GB2312" w:cs="仿宋_GB2312"/>
                <w:kern w:val="0"/>
                <w:sz w:val="20"/>
                <w:szCs w:val="21"/>
              </w:rPr>
              <w:t xml:space="preserve"> </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481"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Arial" w:hAnsi="Arial" w:eastAsia="Arial" w:cs="Arial"/>
                <w:i w:val="0"/>
                <w:iCs w:val="0"/>
                <w:caps w:val="0"/>
                <w:color w:val="191919"/>
                <w:spacing w:val="0"/>
                <w:sz w:val="24"/>
                <w:szCs w:val="24"/>
                <w:shd w:val="clear" w:fill="FFFFFF"/>
              </w:rPr>
              <w:sym w:font="Wingdings" w:char="00FE"/>
            </w:r>
            <w:r>
              <w:rPr>
                <w:rFonts w:ascii="仿宋_GB2312" w:hAnsi="宋体" w:eastAsia="仿宋_GB2312" w:cs="仿宋_GB2312"/>
                <w:kern w:val="0"/>
                <w:sz w:val="20"/>
                <w:szCs w:val="21"/>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481"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Arial" w:hAnsi="Arial" w:eastAsia="Arial" w:cs="Arial"/>
                <w:i w:val="0"/>
                <w:iCs w:val="0"/>
                <w:caps w:val="0"/>
                <w:color w:val="191919"/>
                <w:spacing w:val="0"/>
                <w:sz w:val="24"/>
                <w:szCs w:val="24"/>
                <w:shd w:val="clear" w:fill="FFFFFF"/>
              </w:rPr>
              <w:sym w:font="Wingdings" w:char="00FE"/>
            </w:r>
            <w:r>
              <w:rPr>
                <w:rFonts w:ascii="仿宋_GB2312" w:hAnsi="宋体" w:eastAsia="仿宋_GB2312" w:cs="仿宋_GB2312"/>
                <w:kern w:val="0"/>
                <w:sz w:val="20"/>
                <w:szCs w:val="21"/>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28" w:type="dxa"/>
            <w:vMerge w:val="restart"/>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年度总体目标</w:t>
            </w:r>
          </w:p>
        </w:tc>
        <w:tc>
          <w:tcPr>
            <w:tcW w:w="266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预期目标</w:t>
            </w:r>
          </w:p>
        </w:tc>
        <w:tc>
          <w:tcPr>
            <w:tcW w:w="5813" w:type="dxa"/>
            <w:gridSpan w:val="7"/>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28" w:type="dxa"/>
            <w:vMerge w:val="continue"/>
            <w:vAlign w:val="center"/>
          </w:tcPr>
          <w:p>
            <w:pPr>
              <w:widowControl/>
              <w:snapToGrid w:val="0"/>
              <w:jc w:val="center"/>
              <w:rPr>
                <w:rFonts w:hint="eastAsia" w:ascii="仿宋_GB2312" w:hAnsi="宋体" w:eastAsia="仿宋_GB2312" w:cs="Times New Roman"/>
                <w:kern w:val="0"/>
                <w:lang w:eastAsia="zh-CN"/>
              </w:rPr>
            </w:pPr>
          </w:p>
        </w:tc>
        <w:tc>
          <w:tcPr>
            <w:tcW w:w="2668" w:type="dxa"/>
            <w:gridSpan w:val="2"/>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fldChar w:fldCharType="begin">
                <w:fldData xml:space="preserve">MgA3AEYANQAyAEYAMAA1ADMANwA3AEMANAA0ADYANwA4ADQAQwA5ADAAOQBCADgANQAxADEANgBB
ADgARgA0AA==
</w:fldData>
              </w:fldChar>
            </w:r>
            <w:r>
              <w:rPr>
                <w:rFonts w:hint="eastAsia" w:ascii="仿宋_GB2312" w:hAnsi="宋体" w:eastAsia="仿宋_GB2312" w:cs="Times New Roman"/>
                <w:kern w:val="0"/>
                <w:lang w:eastAsia="zh-CN"/>
              </w:rPr>
              <w:instrText xml:space="preserve">Addin 项目绩效目标</w:instrText>
            </w:r>
            <w:r>
              <w:rPr>
                <w:rFonts w:hint="eastAsia" w:ascii="仿宋_GB2312" w:hAnsi="宋体" w:eastAsia="仿宋_GB2312" w:cs="Times New Roman"/>
                <w:kern w:val="0"/>
                <w:lang w:eastAsia="zh-CN"/>
              </w:rPr>
              <w:fldChar w:fldCharType="separate"/>
            </w:r>
            <w:r>
              <w:rPr>
                <w:rFonts w:hint="eastAsia" w:ascii="仿宋_GB2312" w:hAnsi="宋体" w:eastAsia="仿宋_GB2312" w:cs="Times New Roman"/>
                <w:kern w:val="0"/>
                <w:lang w:eastAsia="zh-CN"/>
              </w:rPr>
              <w:t>通过统筹谋划、布置工作、明确任务、责任到人，确保党委政务督查、效能工作各项任务目标顺利完成。项目按照进度计划实施，确保控制项目实施的数量、成本，提升质效。</w:t>
            </w:r>
            <w:r>
              <w:rPr>
                <w:rFonts w:hint="eastAsia" w:ascii="仿宋_GB2312" w:hAnsi="宋体" w:eastAsia="仿宋_GB2312" w:cs="Times New Roman"/>
                <w:kern w:val="0"/>
                <w:lang w:eastAsia="zh-CN"/>
              </w:rPr>
              <w:fldChar w:fldCharType="end"/>
            </w:r>
          </w:p>
        </w:tc>
        <w:tc>
          <w:tcPr>
            <w:tcW w:w="5813" w:type="dxa"/>
            <w:gridSpan w:val="7"/>
            <w:vAlign w:val="center"/>
          </w:tcPr>
          <w:p>
            <w:pPr>
              <w:widowControl/>
              <w:snapToGrid w:val="0"/>
              <w:jc w:val="both"/>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年会同市纪委监委机关、市委组织部、市政府办公室、市信访局、市发改委、市经信局、市生态环境局、市审计局等单位，聚焦市委市政府决策部署开展督查，全年共制发通报、专报、呈批件等共79件。办理孙兵书记批示件316件，做到件件有落实，事事有回音。同时做好省安全生产督查组、省常态化疫情防控督查组、省联合督查组等来我市督查的联络、协调、迎检等工作，有力保障了省委、市委决策部署落实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snapToGrid w:val="0"/>
              <w:jc w:val="center"/>
              <w:rPr>
                <w:rFonts w:ascii="仿宋_GB2312" w:hAnsi="宋体" w:eastAsia="仿宋_GB2312" w:cs="Times New Roman"/>
                <w:kern w:val="0"/>
              </w:rPr>
            </w:pPr>
          </w:p>
        </w:tc>
        <w:tc>
          <w:tcPr>
            <w:tcW w:w="108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一</w:t>
            </w:r>
            <w:r>
              <w:rPr>
                <w:rFonts w:hint="eastAsia" w:ascii="仿宋_GB2312" w:hAnsi="宋体" w:eastAsia="仿宋_GB2312" w:cs="仿宋_GB2312"/>
                <w:kern w:val="0"/>
              </w:rPr>
              <w:t>级指标</w:t>
            </w:r>
          </w:p>
        </w:tc>
        <w:tc>
          <w:tcPr>
            <w:tcW w:w="252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二</w:t>
            </w:r>
            <w:r>
              <w:rPr>
                <w:rFonts w:hint="eastAsia" w:ascii="仿宋_GB2312" w:hAnsi="宋体" w:eastAsia="仿宋_GB2312" w:cs="仿宋_GB2312"/>
                <w:kern w:val="0"/>
              </w:rPr>
              <w:t>级指标</w:t>
            </w:r>
          </w:p>
        </w:tc>
        <w:tc>
          <w:tcPr>
            <w:tcW w:w="1365"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年初</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目标值</w:t>
            </w:r>
          </w:p>
        </w:tc>
        <w:tc>
          <w:tcPr>
            <w:tcW w:w="1035" w:type="dxa"/>
            <w:gridSpan w:val="2"/>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实际</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完成值</w:t>
            </w:r>
          </w:p>
        </w:tc>
        <w:tc>
          <w:tcPr>
            <w:tcW w:w="675"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c>
          <w:tcPr>
            <w:tcW w:w="1798"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偏差原因分析及改正措施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8" w:type="dxa"/>
            <w:vMerge w:val="continue"/>
            <w:vAlign w:val="center"/>
          </w:tcPr>
          <w:p>
            <w:pPr>
              <w:snapToGrid w:val="0"/>
              <w:jc w:val="center"/>
              <w:rPr>
                <w:rFonts w:hint="eastAsia" w:ascii="仿宋_GB2312" w:hAnsi="宋体" w:eastAsia="仿宋_GB2312" w:cs="仿宋_GB2312"/>
                <w:kern w:val="0"/>
                <w:lang w:eastAsia="zh-CN"/>
              </w:rPr>
            </w:pPr>
          </w:p>
        </w:tc>
        <w:tc>
          <w:tcPr>
            <w:tcW w:w="1080"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成本指标</w:t>
            </w:r>
          </w:p>
        </w:tc>
        <w:tc>
          <w:tcPr>
            <w:tcW w:w="2528" w:type="dxa"/>
            <w:gridSpan w:val="3"/>
            <w:vAlign w:val="center"/>
          </w:tcPr>
          <w:p>
            <w:pPr>
              <w:widowControl/>
              <w:snapToGrid w:val="0"/>
              <w:jc w:val="both"/>
              <w:rPr>
                <w:rFonts w:hint="eastAsia" w:ascii="宋体" w:hAnsi="宋体" w:cs="Arial"/>
                <w:color w:val="000000"/>
                <w:kern w:val="0"/>
                <w:sz w:val="20"/>
                <w:szCs w:val="20"/>
                <w:highlight w:val="none"/>
                <w:shd w:val="clear" w:color="FFFFFF" w:fill="FFFFFF"/>
                <w:lang w:eastAsia="zh-CN"/>
              </w:rPr>
            </w:pPr>
            <w:r>
              <w:rPr>
                <w:rFonts w:hint="eastAsia" w:ascii="宋体" w:hAnsi="宋体" w:cs="Arial"/>
                <w:color w:val="000000"/>
                <w:kern w:val="0"/>
                <w:sz w:val="20"/>
                <w:szCs w:val="20"/>
                <w:highlight w:val="none"/>
                <w:shd w:val="clear" w:color="FFFFFF" w:fill="FFFFFF"/>
                <w:lang w:eastAsia="zh-CN"/>
              </w:rPr>
              <w:t>召开培训会议，组织相关人员业务培训</w:t>
            </w:r>
          </w:p>
        </w:tc>
        <w:tc>
          <w:tcPr>
            <w:tcW w:w="1365" w:type="dxa"/>
            <w:vAlign w:val="center"/>
          </w:tcPr>
          <w:p>
            <w:pPr>
              <w:widowControl/>
              <w:snapToGrid w:val="0"/>
              <w:jc w:val="center"/>
              <w:rPr>
                <w:rFonts w:hint="eastAsia"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100%</w:t>
            </w:r>
          </w:p>
        </w:tc>
        <w:tc>
          <w:tcPr>
            <w:tcW w:w="1035" w:type="dxa"/>
            <w:gridSpan w:val="2"/>
            <w:vAlign w:val="center"/>
          </w:tcPr>
          <w:p>
            <w:pPr>
              <w:widowControl/>
              <w:snapToGrid w:val="0"/>
              <w:jc w:val="center"/>
              <w:rPr>
                <w:rFonts w:hint="eastAsia"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100%</w:t>
            </w:r>
          </w:p>
        </w:tc>
        <w:tc>
          <w:tcPr>
            <w:tcW w:w="675" w:type="dxa"/>
            <w:vAlign w:val="center"/>
          </w:tcPr>
          <w:p>
            <w:pPr>
              <w:widowControl/>
              <w:snapToGrid w:val="0"/>
              <w:jc w:val="center"/>
              <w:rPr>
                <w:rFonts w:hint="default"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val="en-US" w:eastAsia="zh-CN"/>
              </w:rPr>
              <w:t>25</w:t>
            </w:r>
          </w:p>
        </w:tc>
        <w:tc>
          <w:tcPr>
            <w:tcW w:w="1798" w:type="dxa"/>
            <w:vAlign w:val="center"/>
          </w:tcPr>
          <w:p>
            <w:pPr>
              <w:widowControl/>
              <w:snapToGrid w:val="0"/>
              <w:jc w:val="center"/>
              <w:rPr>
                <w:rFonts w:hint="eastAsia" w:ascii="宋体" w:hAnsi="宋体" w:cs="Arial"/>
                <w:color w:val="000000"/>
                <w:kern w:val="0"/>
                <w:sz w:val="20"/>
                <w:szCs w:val="20"/>
                <w:highlight w:val="none"/>
                <w:shd w:val="clear" w:color="FFFFFF"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vAlign w:val="center"/>
          </w:tcPr>
          <w:p>
            <w:pPr>
              <w:snapToGrid w:val="0"/>
              <w:jc w:val="center"/>
              <w:rPr>
                <w:rFonts w:hint="eastAsia" w:ascii="仿宋_GB2312" w:hAnsi="宋体" w:eastAsia="仿宋_GB2312" w:cs="仿宋_GB2312"/>
                <w:kern w:val="0"/>
              </w:rPr>
            </w:pPr>
          </w:p>
        </w:tc>
        <w:tc>
          <w:tcPr>
            <w:tcW w:w="1080" w:type="dxa"/>
            <w:vAlign w:val="center"/>
          </w:tcPr>
          <w:p>
            <w:pPr>
              <w:widowControl/>
              <w:snapToGrid w:val="0"/>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数量指标</w:t>
            </w:r>
          </w:p>
        </w:tc>
        <w:tc>
          <w:tcPr>
            <w:tcW w:w="2528" w:type="dxa"/>
            <w:gridSpan w:val="3"/>
            <w:vAlign w:val="center"/>
          </w:tcPr>
          <w:p>
            <w:pPr>
              <w:widowControl/>
              <w:snapToGrid w:val="0"/>
              <w:jc w:val="both"/>
              <w:rPr>
                <w:rFonts w:hint="eastAsia"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召开会议1次、组织业务培训1次、学习调研2次</w:t>
            </w:r>
          </w:p>
        </w:tc>
        <w:tc>
          <w:tcPr>
            <w:tcW w:w="1365" w:type="dxa"/>
            <w:vAlign w:val="center"/>
          </w:tcPr>
          <w:p>
            <w:pPr>
              <w:widowControl/>
              <w:snapToGrid w:val="0"/>
              <w:jc w:val="center"/>
              <w:rPr>
                <w:rFonts w:hint="eastAsia" w:ascii="宋体" w:hAnsi="宋体" w:cs="Arial"/>
                <w:color w:val="000000"/>
                <w:kern w:val="0"/>
                <w:sz w:val="20"/>
                <w:szCs w:val="20"/>
                <w:highlight w:val="none"/>
                <w:shd w:val="clear" w:color="FFFFFF" w:fill="FFFFFF"/>
                <w:lang w:eastAsia="zh-CN"/>
              </w:rPr>
            </w:pPr>
            <w:r>
              <w:rPr>
                <w:rFonts w:hint="eastAsia" w:ascii="宋体" w:hAnsi="宋体" w:cs="Arial"/>
                <w:color w:val="000000"/>
                <w:kern w:val="0"/>
                <w:sz w:val="20"/>
                <w:szCs w:val="20"/>
                <w:highlight w:val="none"/>
                <w:shd w:val="clear" w:color="FFFFFF" w:fill="FFFFFF"/>
                <w:lang w:eastAsia="zh-CN"/>
              </w:rPr>
              <w:t>100%</w:t>
            </w:r>
          </w:p>
        </w:tc>
        <w:tc>
          <w:tcPr>
            <w:tcW w:w="1035" w:type="dxa"/>
            <w:gridSpan w:val="2"/>
            <w:vAlign w:val="center"/>
          </w:tcPr>
          <w:p>
            <w:pPr>
              <w:widowControl/>
              <w:snapToGrid w:val="0"/>
              <w:jc w:val="center"/>
              <w:rPr>
                <w:rFonts w:hint="eastAsia"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100%</w:t>
            </w:r>
          </w:p>
        </w:tc>
        <w:tc>
          <w:tcPr>
            <w:tcW w:w="675" w:type="dxa"/>
            <w:vAlign w:val="center"/>
          </w:tcPr>
          <w:p>
            <w:pPr>
              <w:widowControl/>
              <w:snapToGrid w:val="0"/>
              <w:jc w:val="center"/>
              <w:rPr>
                <w:rFonts w:hint="default"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val="en-US" w:eastAsia="zh-CN"/>
              </w:rPr>
              <w:t>23</w:t>
            </w:r>
          </w:p>
        </w:tc>
        <w:tc>
          <w:tcPr>
            <w:tcW w:w="1798" w:type="dxa"/>
            <w:vAlign w:val="center"/>
          </w:tcPr>
          <w:p>
            <w:pPr>
              <w:widowControl/>
              <w:snapToGrid w:val="0"/>
              <w:jc w:val="both"/>
              <w:rPr>
                <w:rFonts w:hint="eastAsia"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val="en-US" w:eastAsia="zh-CN"/>
              </w:rPr>
              <w:t>受疫情因素等影响，各业务科室预计举办的各类培训会和业务人员出差学习调研计划未开展，同时因精文减会，文印费用也有一定压缩。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28" w:type="dxa"/>
            <w:vMerge w:val="continue"/>
            <w:vAlign w:val="center"/>
          </w:tcPr>
          <w:p>
            <w:pPr>
              <w:widowControl/>
              <w:snapToGrid w:val="0"/>
              <w:jc w:val="center"/>
              <w:rPr>
                <w:rFonts w:ascii="仿宋_GB2312" w:hAnsi="宋体" w:eastAsia="仿宋_GB2312" w:cs="Times New Roman"/>
                <w:kern w:val="0"/>
              </w:rPr>
            </w:pPr>
          </w:p>
        </w:tc>
        <w:tc>
          <w:tcPr>
            <w:tcW w:w="1080" w:type="dxa"/>
            <w:vAlign w:val="center"/>
          </w:tcPr>
          <w:p>
            <w:pPr>
              <w:widowControl/>
              <w:snapToGrid w:val="0"/>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质量指标</w:t>
            </w:r>
          </w:p>
        </w:tc>
        <w:tc>
          <w:tcPr>
            <w:tcW w:w="2528" w:type="dxa"/>
            <w:gridSpan w:val="3"/>
            <w:vAlign w:val="center"/>
          </w:tcPr>
          <w:p>
            <w:pPr>
              <w:widowControl/>
              <w:snapToGrid w:val="0"/>
              <w:jc w:val="both"/>
              <w:rPr>
                <w:rFonts w:hint="eastAsia"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传达布置党委工作任务、提升督查督办工作水平、加强党委督查的业务水平</w:t>
            </w:r>
          </w:p>
        </w:tc>
        <w:tc>
          <w:tcPr>
            <w:tcW w:w="1365" w:type="dxa"/>
            <w:vAlign w:val="center"/>
          </w:tcPr>
          <w:p>
            <w:pPr>
              <w:widowControl/>
              <w:snapToGrid w:val="0"/>
              <w:jc w:val="center"/>
              <w:rPr>
                <w:rFonts w:hint="eastAsia" w:ascii="宋体" w:hAnsi="宋体" w:cs="Arial"/>
                <w:color w:val="000000"/>
                <w:kern w:val="0"/>
                <w:sz w:val="20"/>
                <w:szCs w:val="20"/>
                <w:highlight w:val="none"/>
                <w:shd w:val="clear" w:color="FFFFFF" w:fill="FFFFFF"/>
                <w:lang w:eastAsia="zh-CN"/>
              </w:rPr>
            </w:pPr>
            <w:r>
              <w:rPr>
                <w:rFonts w:hint="eastAsia" w:ascii="宋体" w:hAnsi="宋体" w:cs="Arial"/>
                <w:color w:val="000000"/>
                <w:kern w:val="0"/>
                <w:sz w:val="20"/>
                <w:szCs w:val="20"/>
                <w:highlight w:val="none"/>
                <w:shd w:val="clear" w:color="FFFFFF" w:fill="FFFFFF"/>
                <w:lang w:eastAsia="zh-CN"/>
              </w:rPr>
              <w:t>100%</w:t>
            </w:r>
          </w:p>
        </w:tc>
        <w:tc>
          <w:tcPr>
            <w:tcW w:w="1035" w:type="dxa"/>
            <w:gridSpan w:val="2"/>
            <w:vAlign w:val="center"/>
          </w:tcPr>
          <w:p>
            <w:pPr>
              <w:widowControl/>
              <w:snapToGrid w:val="0"/>
              <w:jc w:val="center"/>
              <w:rPr>
                <w:rFonts w:hint="eastAsia"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100%</w:t>
            </w:r>
          </w:p>
        </w:tc>
        <w:tc>
          <w:tcPr>
            <w:tcW w:w="675" w:type="dxa"/>
            <w:vAlign w:val="center"/>
          </w:tcPr>
          <w:p>
            <w:pPr>
              <w:widowControl/>
              <w:snapToGrid w:val="0"/>
              <w:jc w:val="center"/>
              <w:rPr>
                <w:rFonts w:hint="default"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val="en-US" w:eastAsia="zh-CN"/>
              </w:rPr>
              <w:t>25</w:t>
            </w:r>
          </w:p>
        </w:tc>
        <w:tc>
          <w:tcPr>
            <w:tcW w:w="1798" w:type="dxa"/>
            <w:vAlign w:val="center"/>
          </w:tcPr>
          <w:p>
            <w:pPr>
              <w:widowControl/>
              <w:snapToGrid w:val="0"/>
              <w:jc w:val="both"/>
              <w:rPr>
                <w:rFonts w:hint="eastAsia" w:ascii="宋体" w:hAnsi="宋体" w:cs="Arial"/>
                <w:color w:val="000000"/>
                <w:kern w:val="0"/>
                <w:sz w:val="20"/>
                <w:szCs w:val="20"/>
                <w:highlight w:val="none"/>
                <w:shd w:val="clear" w:color="FFFFFF"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28" w:type="dxa"/>
            <w:vMerge w:val="continue"/>
            <w:vAlign w:val="center"/>
          </w:tcPr>
          <w:p>
            <w:pPr>
              <w:snapToGrid w:val="0"/>
              <w:jc w:val="center"/>
              <w:rPr>
                <w:rFonts w:hint="eastAsia" w:ascii="仿宋_GB2312" w:hAnsi="宋体" w:eastAsia="仿宋_GB2312" w:cs="仿宋_GB2312"/>
                <w:kern w:val="0"/>
                <w:lang w:eastAsia="zh-CN"/>
              </w:rPr>
            </w:pPr>
          </w:p>
        </w:tc>
        <w:tc>
          <w:tcPr>
            <w:tcW w:w="1080" w:type="dxa"/>
            <w:vAlign w:val="center"/>
          </w:tcPr>
          <w:p>
            <w:pPr>
              <w:widowControl/>
              <w:snapToGrid w:val="0"/>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经济效益指标</w:t>
            </w:r>
          </w:p>
        </w:tc>
        <w:tc>
          <w:tcPr>
            <w:tcW w:w="2528" w:type="dxa"/>
            <w:gridSpan w:val="3"/>
            <w:vAlign w:val="center"/>
          </w:tcPr>
          <w:p>
            <w:pPr>
              <w:widowControl/>
              <w:snapToGrid w:val="0"/>
              <w:jc w:val="both"/>
              <w:rPr>
                <w:rFonts w:hint="eastAsia"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推进全市重大决策部署落实和重大项目建设</w:t>
            </w:r>
          </w:p>
        </w:tc>
        <w:tc>
          <w:tcPr>
            <w:tcW w:w="1365" w:type="dxa"/>
            <w:vAlign w:val="center"/>
          </w:tcPr>
          <w:p>
            <w:pPr>
              <w:widowControl/>
              <w:snapToGrid w:val="0"/>
              <w:jc w:val="center"/>
              <w:rPr>
                <w:rFonts w:hint="default"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100%</w:t>
            </w:r>
          </w:p>
        </w:tc>
        <w:tc>
          <w:tcPr>
            <w:tcW w:w="1035" w:type="dxa"/>
            <w:gridSpan w:val="2"/>
            <w:vAlign w:val="center"/>
          </w:tcPr>
          <w:p>
            <w:pPr>
              <w:widowControl/>
              <w:snapToGrid w:val="0"/>
              <w:jc w:val="center"/>
              <w:rPr>
                <w:rFonts w:hint="default"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100%</w:t>
            </w:r>
          </w:p>
        </w:tc>
        <w:tc>
          <w:tcPr>
            <w:tcW w:w="675" w:type="dxa"/>
            <w:vAlign w:val="center"/>
          </w:tcPr>
          <w:p>
            <w:pPr>
              <w:widowControl/>
              <w:snapToGrid w:val="0"/>
              <w:jc w:val="center"/>
              <w:rPr>
                <w:rFonts w:hint="default"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val="en-US" w:eastAsia="zh-CN"/>
              </w:rPr>
              <w:t>25</w:t>
            </w:r>
          </w:p>
        </w:tc>
        <w:tc>
          <w:tcPr>
            <w:tcW w:w="1798" w:type="dxa"/>
            <w:vAlign w:val="center"/>
          </w:tcPr>
          <w:p>
            <w:pPr>
              <w:widowControl/>
              <w:snapToGrid w:val="0"/>
              <w:jc w:val="both"/>
              <w:rPr>
                <w:rFonts w:hint="eastAsia" w:ascii="宋体" w:hAnsi="宋体" w:cs="Arial"/>
                <w:color w:val="000000"/>
                <w:kern w:val="0"/>
                <w:sz w:val="20"/>
                <w:szCs w:val="20"/>
                <w:highlight w:val="none"/>
                <w:shd w:val="clear" w:color="FFFFFF" w:fill="FFFFFF"/>
                <w:lang w:val="en-US" w:eastAsia="zh-CN"/>
              </w:rPr>
            </w:pP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pPr>
      <w:r>
        <w:rPr>
          <w:rFonts w:ascii="仿宋_GB2312" w:hAnsi="宋体" w:eastAsia="仿宋_GB2312" w:cs="Times New Roman"/>
          <w:kern w:val="0"/>
        </w:rPr>
        <w:br w:type="page"/>
      </w:r>
    </w:p>
    <w:p>
      <w:pPr>
        <w:jc w:val="center"/>
        <w:rPr>
          <w:rFonts w:ascii="楷体_GB2312" w:hAnsi="黑体" w:eastAsia="楷体_GB2312" w:cs="Times New Roman"/>
          <w:kern w:val="0"/>
          <w:sz w:val="48"/>
          <w:szCs w:val="48"/>
        </w:rPr>
      </w:pPr>
      <w:r>
        <w:rPr>
          <w:rFonts w:hint="eastAsia" w:asciiTheme="majorEastAsia" w:hAnsiTheme="majorEastAsia" w:eastAsiaTheme="majorEastAsia" w:cstheme="majorEastAsia"/>
          <w:b/>
          <w:bCs/>
          <w:sz w:val="32"/>
          <w:szCs w:val="32"/>
          <w:lang w:val="en-US" w:eastAsia="zh-CN"/>
        </w:rPr>
        <w:t>2021</w:t>
      </w:r>
      <w:r>
        <w:rPr>
          <w:rFonts w:hint="eastAsia" w:asciiTheme="majorEastAsia" w:hAnsiTheme="majorEastAsia" w:eastAsiaTheme="majorEastAsia" w:cstheme="majorEastAsia"/>
          <w:b/>
          <w:bCs/>
          <w:sz w:val="32"/>
          <w:szCs w:val="32"/>
        </w:rPr>
        <w:t>年度绩效目标管理和考核</w:t>
      </w:r>
      <w:r>
        <w:rPr>
          <w:rFonts w:hint="eastAsia" w:asciiTheme="majorEastAsia" w:hAnsiTheme="majorEastAsia" w:eastAsiaTheme="majorEastAsia" w:cstheme="majorEastAsia"/>
          <w:b/>
          <w:bCs/>
          <w:sz w:val="32"/>
          <w:szCs w:val="32"/>
          <w:lang w:eastAsia="zh-CN"/>
        </w:rPr>
        <w:t>业务</w:t>
      </w:r>
      <w:r>
        <w:rPr>
          <w:rFonts w:hint="eastAsia" w:asciiTheme="majorEastAsia" w:hAnsiTheme="majorEastAsia" w:eastAsiaTheme="majorEastAsia" w:cstheme="majorEastAsia"/>
          <w:b/>
          <w:bCs/>
          <w:sz w:val="32"/>
          <w:szCs w:val="32"/>
        </w:rPr>
        <w:t>项目自评表</w:t>
      </w:r>
      <w:r>
        <w:rPr>
          <w:rFonts w:ascii="楷体_GB2312" w:hAnsi="仿宋" w:eastAsia="楷体_GB2312" w:cs="楷体_GB2312"/>
          <w:kern w:val="0"/>
          <w:sz w:val="28"/>
          <w:szCs w:val="28"/>
        </w:rPr>
        <w:t xml:space="preserve"> </w:t>
      </w:r>
    </w:p>
    <w:tbl>
      <w:tblPr>
        <w:tblStyle w:val="5"/>
        <w:tblW w:w="10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080"/>
        <w:gridCol w:w="1588"/>
        <w:gridCol w:w="696"/>
        <w:gridCol w:w="849"/>
        <w:gridCol w:w="1307"/>
        <w:gridCol w:w="364"/>
        <w:gridCol w:w="926"/>
        <w:gridCol w:w="72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813" w:type="dxa"/>
            <w:gridSpan w:val="9"/>
            <w:vAlign w:val="center"/>
          </w:tcPr>
          <w:p>
            <w:pPr>
              <w:widowControl/>
              <w:snapToGrid w:val="0"/>
              <w:jc w:val="center"/>
              <w:rPr>
                <w:rFonts w:hint="eastAsia" w:ascii="宋体" w:hAnsi="宋体" w:cs="Arial"/>
                <w:color w:val="000000"/>
                <w:kern w:val="0"/>
                <w:sz w:val="20"/>
                <w:szCs w:val="20"/>
                <w:highlight w:val="none"/>
                <w:shd w:val="clear" w:color="FFFFFF" w:fill="FFFFFF"/>
                <w:lang w:eastAsia="zh-CN"/>
              </w:rPr>
            </w:pPr>
            <w:r>
              <w:rPr>
                <w:rFonts w:hint="eastAsia" w:ascii="宋体" w:hAnsi="宋体" w:cs="Arial"/>
                <w:color w:val="000000"/>
                <w:kern w:val="0"/>
                <w:sz w:val="20"/>
                <w:szCs w:val="20"/>
                <w:highlight w:val="none"/>
                <w:shd w:val="clear" w:color="FFFFFF" w:fill="FFFFFF"/>
                <w:lang w:eastAsia="zh-CN"/>
              </w:rPr>
              <w:t>绩效目标管理和考核业务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鄂州市督查考评办公室</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929"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鄂州市督查考评办公室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813"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hint="eastAsia" w:ascii="仿宋_GB2312" w:hAnsi="宋体" w:eastAsia="仿宋_GB2312" w:cs="仿宋_GB2312"/>
                <w:kern w:val="0"/>
                <w:lang w:val="en-US" w:eastAsia="zh-CN"/>
              </w:rPr>
              <w:t xml:space="preserve">  </w:t>
            </w:r>
            <w:r>
              <w:rPr>
                <w:rFonts w:hint="eastAsia" w:ascii="Arial" w:hAnsi="Arial" w:eastAsia="Arial" w:cs="Arial"/>
                <w:i w:val="0"/>
                <w:iCs w:val="0"/>
                <w:caps w:val="0"/>
                <w:color w:val="191919"/>
                <w:spacing w:val="0"/>
                <w:sz w:val="24"/>
                <w:szCs w:val="24"/>
                <w:shd w:val="clear" w:fill="FFFFFF"/>
              </w:rPr>
              <w:sym w:font="Wingdings" w:char="00FE"/>
            </w:r>
            <w:r>
              <w:rPr>
                <w:rFonts w:ascii="仿宋_GB2312" w:hAnsi="宋体" w:eastAsia="仿宋_GB2312" w:cs="仿宋_GB2312"/>
                <w:kern w:val="0"/>
                <w:sz w:val="20"/>
                <w:szCs w:val="21"/>
              </w:rPr>
              <w:t xml:space="preserve"> </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813"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Arial" w:hAnsi="Arial" w:eastAsia="Arial" w:cs="Arial"/>
                <w:i w:val="0"/>
                <w:iCs w:val="0"/>
                <w:caps w:val="0"/>
                <w:color w:val="191919"/>
                <w:spacing w:val="0"/>
                <w:sz w:val="24"/>
                <w:szCs w:val="24"/>
                <w:shd w:val="clear" w:fill="FFFFFF"/>
              </w:rPr>
              <w:sym w:font="Wingdings" w:char="00FE"/>
            </w:r>
            <w:r>
              <w:rPr>
                <w:rFonts w:ascii="仿宋_GB2312" w:hAnsi="宋体" w:eastAsia="仿宋_GB2312" w:cs="仿宋_GB2312"/>
                <w:kern w:val="0"/>
                <w:sz w:val="20"/>
                <w:szCs w:val="21"/>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813"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Arial" w:hAnsi="Arial" w:eastAsia="Arial" w:cs="Arial"/>
                <w:i w:val="0"/>
                <w:iCs w:val="0"/>
                <w:caps w:val="0"/>
                <w:color w:val="191919"/>
                <w:spacing w:val="0"/>
                <w:sz w:val="24"/>
                <w:szCs w:val="24"/>
                <w:shd w:val="clear" w:fill="FFFFFF"/>
              </w:rPr>
              <w:sym w:font="Wingdings" w:char="00FE"/>
            </w:r>
            <w:r>
              <w:rPr>
                <w:rFonts w:ascii="仿宋_GB2312" w:hAnsi="宋体" w:eastAsia="仿宋_GB2312" w:cs="仿宋_GB2312"/>
                <w:kern w:val="0"/>
                <w:sz w:val="20"/>
                <w:szCs w:val="21"/>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28" w:type="dxa"/>
            <w:vMerge w:val="restart"/>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年度总体目标</w:t>
            </w:r>
          </w:p>
        </w:tc>
        <w:tc>
          <w:tcPr>
            <w:tcW w:w="266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预期目标</w:t>
            </w:r>
          </w:p>
        </w:tc>
        <w:tc>
          <w:tcPr>
            <w:tcW w:w="6145" w:type="dxa"/>
            <w:gridSpan w:val="7"/>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528" w:type="dxa"/>
            <w:vMerge w:val="continue"/>
            <w:vAlign w:val="center"/>
          </w:tcPr>
          <w:p>
            <w:pPr>
              <w:widowControl/>
              <w:snapToGrid w:val="0"/>
              <w:jc w:val="center"/>
              <w:rPr>
                <w:rFonts w:hint="eastAsia" w:ascii="仿宋_GB2312" w:hAnsi="宋体" w:eastAsia="仿宋_GB2312" w:cs="Times New Roman"/>
                <w:kern w:val="0"/>
                <w:lang w:eastAsia="zh-CN"/>
              </w:rPr>
            </w:pPr>
          </w:p>
        </w:tc>
        <w:tc>
          <w:tcPr>
            <w:tcW w:w="2668" w:type="dxa"/>
            <w:gridSpan w:val="2"/>
            <w:vAlign w:val="center"/>
          </w:tcPr>
          <w:p>
            <w:pPr>
              <w:widowControl/>
              <w:snapToGrid w:val="0"/>
              <w:jc w:val="both"/>
              <w:rPr>
                <w:rFonts w:hint="default"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fldChar w:fldCharType="begin">
                <w:fldData xml:space="preserve">QgA2ADUAQgA2ADgARAA5AEUAMwBGADUANABFAEIARQBCADMARgBCADYANAA5AEMAOQBFAEEARABG
ADAAOQBEAA==
</w:fldData>
              </w:fldChar>
            </w:r>
            <w:r>
              <w:rPr>
                <w:rFonts w:hint="eastAsia" w:ascii="宋体" w:hAnsi="宋体" w:cs="Arial"/>
                <w:color w:val="000000"/>
                <w:kern w:val="0"/>
                <w:sz w:val="20"/>
                <w:szCs w:val="20"/>
                <w:highlight w:val="none"/>
                <w:shd w:val="clear" w:color="FFFFFF" w:fill="FFFFFF"/>
                <w:lang w:eastAsia="zh-CN"/>
              </w:rPr>
              <w:instrText xml:space="preserve">Addin 项目总体目标</w:instrText>
            </w:r>
            <w:r>
              <w:rPr>
                <w:rFonts w:hint="eastAsia" w:ascii="宋体" w:hAnsi="宋体" w:cs="Arial"/>
                <w:color w:val="000000"/>
                <w:kern w:val="0"/>
                <w:sz w:val="20"/>
                <w:szCs w:val="20"/>
                <w:highlight w:val="none"/>
                <w:shd w:val="clear" w:color="FFFFFF" w:fill="FFFFFF"/>
                <w:lang w:eastAsia="zh-CN"/>
              </w:rPr>
              <w:fldChar w:fldCharType="separate"/>
            </w:r>
            <w:r>
              <w:rPr>
                <w:rFonts w:hint="eastAsia" w:ascii="宋体" w:hAnsi="宋体" w:cs="Arial"/>
                <w:color w:val="000000"/>
                <w:kern w:val="0"/>
                <w:sz w:val="20"/>
                <w:szCs w:val="20"/>
                <w:highlight w:val="none"/>
                <w:shd w:val="clear" w:color="FFFFFF" w:fill="FFFFFF"/>
                <w:lang w:eastAsia="zh-CN"/>
              </w:rPr>
              <w:t>通过拟定、下达2021年度市级绩效考核目标并进行动态管理、督办督查、年度考核，充分发挥绩效考核“指挥棒”“风向标”“助推器”作用，确保中央、省委、市委决策部署落到实处，圆满完成省委、市委下达的年度工作目标任务。</w:t>
            </w:r>
            <w:r>
              <w:rPr>
                <w:rFonts w:hint="eastAsia" w:ascii="宋体" w:hAnsi="宋体" w:cs="Arial"/>
                <w:color w:val="000000"/>
                <w:kern w:val="0"/>
                <w:sz w:val="20"/>
                <w:szCs w:val="20"/>
                <w:highlight w:val="none"/>
                <w:shd w:val="clear" w:color="FFFFFF" w:fill="FFFFFF"/>
                <w:lang w:eastAsia="zh-CN"/>
              </w:rPr>
              <w:fldChar w:fldCharType="end"/>
            </w:r>
          </w:p>
        </w:tc>
        <w:tc>
          <w:tcPr>
            <w:tcW w:w="6145" w:type="dxa"/>
            <w:gridSpan w:val="7"/>
            <w:vAlign w:val="center"/>
          </w:tcPr>
          <w:p>
            <w:pPr>
              <w:widowControl/>
              <w:snapToGrid w:val="0"/>
              <w:jc w:val="both"/>
              <w:rPr>
                <w:rFonts w:hint="default" w:ascii="宋体" w:hAnsi="宋体" w:cs="Arial"/>
                <w:color w:val="000000"/>
                <w:kern w:val="0"/>
                <w:sz w:val="20"/>
                <w:szCs w:val="20"/>
                <w:highlight w:val="none"/>
                <w:shd w:val="clear" w:color="FFFFFF" w:fill="FFFFFF"/>
                <w:lang w:val="en-US" w:eastAsia="zh-CN"/>
              </w:rPr>
            </w:pPr>
            <w:r>
              <w:rPr>
                <w:rFonts w:hint="eastAsia" w:ascii="宋体" w:hAnsi="宋体" w:cs="Arial"/>
                <w:color w:val="000000"/>
                <w:kern w:val="0"/>
                <w:sz w:val="20"/>
                <w:szCs w:val="20"/>
                <w:highlight w:val="none"/>
                <w:shd w:val="clear" w:color="FFFFFF" w:fill="FFFFFF"/>
                <w:lang w:eastAsia="zh-CN"/>
              </w:rPr>
              <w:t>从考核牵头单位抽调人员组成10个市级考核小组并开展考核培训，在规定时间内10个考核小组对全市80家单位进行现场考核，市督考办汇总各牵头单位考核结果后报市委常委会会议审议，评选出红旗单位、优秀单位、合格单位，在年初作风建设大会上予以通报表扬，树立奖优罚劣、争先进位的干事创业氛围；从市委办、市纪委监委、市委组织部、市委统战部等单位抽调人员组建迎接省政绩目标考核工作专班，召开迎检筹备会议，在省考核组进驻鄂州后，全程做好组织协调、服务保障等工作，协助召开述绩大会、个别谈话、资料迎检、实地查看等工作，确保我市政绩目标考核工作在全省取得较好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5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snapToGrid w:val="0"/>
              <w:jc w:val="center"/>
              <w:rPr>
                <w:rFonts w:ascii="仿宋_GB2312" w:hAnsi="宋体" w:eastAsia="仿宋_GB2312" w:cs="Times New Roman"/>
                <w:kern w:val="0"/>
              </w:rPr>
            </w:pPr>
          </w:p>
        </w:tc>
        <w:tc>
          <w:tcPr>
            <w:tcW w:w="108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一</w:t>
            </w:r>
            <w:r>
              <w:rPr>
                <w:rFonts w:hint="eastAsia" w:ascii="仿宋_GB2312" w:hAnsi="宋体" w:eastAsia="仿宋_GB2312" w:cs="仿宋_GB2312"/>
                <w:kern w:val="0"/>
              </w:rPr>
              <w:t>级指标</w:t>
            </w:r>
          </w:p>
        </w:tc>
        <w:tc>
          <w:tcPr>
            <w:tcW w:w="313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二</w:t>
            </w:r>
            <w:r>
              <w:rPr>
                <w:rFonts w:hint="eastAsia" w:ascii="仿宋_GB2312" w:hAnsi="宋体" w:eastAsia="仿宋_GB2312" w:cs="仿宋_GB2312"/>
                <w:kern w:val="0"/>
              </w:rPr>
              <w:t>级指标</w:t>
            </w:r>
          </w:p>
        </w:tc>
        <w:tc>
          <w:tcPr>
            <w:tcW w:w="1307"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p>
        </w:tc>
        <w:tc>
          <w:tcPr>
            <w:tcW w:w="129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p>
        </w:tc>
        <w:tc>
          <w:tcPr>
            <w:tcW w:w="72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c>
          <w:tcPr>
            <w:tcW w:w="1283"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偏差原因分析及改正措施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28" w:type="dxa"/>
            <w:vMerge w:val="continue"/>
            <w:vAlign w:val="center"/>
          </w:tcPr>
          <w:p>
            <w:pPr>
              <w:snapToGrid w:val="0"/>
              <w:jc w:val="center"/>
              <w:rPr>
                <w:rFonts w:hint="eastAsia" w:ascii="仿宋_GB2312" w:hAnsi="宋体" w:eastAsia="仿宋_GB2312" w:cs="仿宋_GB2312"/>
                <w:kern w:val="0"/>
              </w:rPr>
            </w:pPr>
          </w:p>
        </w:tc>
        <w:tc>
          <w:tcPr>
            <w:tcW w:w="1080" w:type="dxa"/>
            <w:vAlign w:val="center"/>
          </w:tcPr>
          <w:p>
            <w:pPr>
              <w:widowControl/>
              <w:snapToGrid w:val="0"/>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数量指标</w:t>
            </w:r>
          </w:p>
        </w:tc>
        <w:tc>
          <w:tcPr>
            <w:tcW w:w="3133" w:type="dxa"/>
            <w:gridSpan w:val="3"/>
            <w:vAlign w:val="center"/>
          </w:tcPr>
          <w:p>
            <w:pPr>
              <w:widowControl/>
              <w:snapToGrid w:val="0"/>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目标资料汇编、工作通报、 会务费等</w:t>
            </w:r>
          </w:p>
        </w:tc>
        <w:tc>
          <w:tcPr>
            <w:tcW w:w="1307"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100%</w:t>
            </w:r>
          </w:p>
        </w:tc>
        <w:tc>
          <w:tcPr>
            <w:tcW w:w="129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100%</w:t>
            </w:r>
          </w:p>
        </w:tc>
        <w:tc>
          <w:tcPr>
            <w:tcW w:w="720"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50</w:t>
            </w:r>
          </w:p>
        </w:tc>
        <w:tc>
          <w:tcPr>
            <w:tcW w:w="1283" w:type="dxa"/>
            <w:vAlign w:val="center"/>
          </w:tcPr>
          <w:p>
            <w:pPr>
              <w:widowControl/>
              <w:snapToGrid w:val="0"/>
              <w:jc w:val="center"/>
              <w:rPr>
                <w:rFonts w:hint="eastAsia" w:ascii="仿宋_GB2312" w:hAnsi="宋体" w:eastAsia="仿宋_GB2312" w:cs="Times New Roman"/>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28" w:type="dxa"/>
            <w:vMerge w:val="continue"/>
            <w:vAlign w:val="center"/>
          </w:tcPr>
          <w:p>
            <w:pPr>
              <w:widowControl/>
              <w:snapToGrid w:val="0"/>
              <w:jc w:val="center"/>
              <w:rPr>
                <w:rFonts w:ascii="仿宋_GB2312" w:hAnsi="宋体" w:eastAsia="仿宋_GB2312" w:cs="Times New Roman"/>
                <w:kern w:val="0"/>
              </w:rPr>
            </w:pPr>
          </w:p>
        </w:tc>
        <w:tc>
          <w:tcPr>
            <w:tcW w:w="1080" w:type="dxa"/>
            <w:vAlign w:val="center"/>
          </w:tcPr>
          <w:p>
            <w:pPr>
              <w:widowControl/>
              <w:snapToGrid w:val="0"/>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质量指标</w:t>
            </w:r>
          </w:p>
        </w:tc>
        <w:tc>
          <w:tcPr>
            <w:tcW w:w="3133" w:type="dxa"/>
            <w:gridSpan w:val="3"/>
            <w:vAlign w:val="center"/>
          </w:tcPr>
          <w:p>
            <w:pPr>
              <w:widowControl/>
              <w:snapToGrid w:val="0"/>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通过公开透明、动态管理，促进各单位对标对表，高质量完成目标任务</w:t>
            </w:r>
          </w:p>
        </w:tc>
        <w:tc>
          <w:tcPr>
            <w:tcW w:w="1307"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100%</w:t>
            </w:r>
          </w:p>
        </w:tc>
        <w:tc>
          <w:tcPr>
            <w:tcW w:w="129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100%</w:t>
            </w:r>
          </w:p>
        </w:tc>
        <w:tc>
          <w:tcPr>
            <w:tcW w:w="720"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50</w:t>
            </w:r>
          </w:p>
        </w:tc>
        <w:tc>
          <w:tcPr>
            <w:tcW w:w="1283" w:type="dxa"/>
            <w:vAlign w:val="center"/>
          </w:tcPr>
          <w:p>
            <w:pPr>
              <w:widowControl/>
              <w:snapToGrid w:val="0"/>
              <w:jc w:val="center"/>
              <w:rPr>
                <w:rFonts w:hint="eastAsia" w:ascii="仿宋_GB2312" w:hAnsi="宋体" w:eastAsia="仿宋_GB2312" w:cs="Times New Roman"/>
                <w:kern w:val="0"/>
                <w:lang w:val="en-US" w:eastAsia="zh-CN"/>
              </w:rPr>
            </w:pPr>
          </w:p>
        </w:tc>
      </w:tr>
    </w:tbl>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jc w:val="center"/>
        <w:rPr>
          <w:rFonts w:ascii="楷体_GB2312" w:hAnsi="黑体" w:eastAsia="楷体_GB2312" w:cs="Times New Roman"/>
          <w:kern w:val="0"/>
          <w:sz w:val="48"/>
          <w:szCs w:val="48"/>
        </w:rPr>
      </w:pPr>
      <w:r>
        <w:rPr>
          <w:rFonts w:hint="eastAsia" w:asciiTheme="majorEastAsia" w:hAnsiTheme="majorEastAsia" w:eastAsiaTheme="majorEastAsia" w:cstheme="majorEastAsia"/>
          <w:b/>
          <w:bCs/>
          <w:sz w:val="32"/>
          <w:szCs w:val="32"/>
          <w:lang w:val="en-US" w:eastAsia="zh-CN"/>
        </w:rPr>
        <w:t>2021</w:t>
      </w:r>
      <w:r>
        <w:rPr>
          <w:rFonts w:hint="eastAsia" w:asciiTheme="majorEastAsia" w:hAnsiTheme="majorEastAsia" w:eastAsiaTheme="majorEastAsia" w:cstheme="majorEastAsia"/>
          <w:b/>
          <w:bCs/>
          <w:sz w:val="32"/>
          <w:szCs w:val="32"/>
        </w:rPr>
        <w:t>年度作风建设项目自评表</w:t>
      </w:r>
      <w:r>
        <w:rPr>
          <w:rFonts w:hint="eastAsia" w:asciiTheme="majorEastAsia" w:hAnsiTheme="majorEastAsia" w:eastAsiaTheme="majorEastAsia" w:cstheme="majorEastAsia"/>
          <w:b/>
          <w:bCs/>
          <w:sz w:val="36"/>
          <w:szCs w:val="36"/>
          <w:lang w:val="en-US" w:eastAsia="zh-CN"/>
        </w:rPr>
        <w:t xml:space="preserve">  </w:t>
      </w:r>
      <w:r>
        <w:rPr>
          <w:rFonts w:ascii="楷体_GB2312" w:hAnsi="仿宋" w:eastAsia="楷体_GB2312" w:cs="楷体_GB2312"/>
          <w:kern w:val="0"/>
          <w:sz w:val="28"/>
          <w:szCs w:val="28"/>
        </w:rPr>
        <w:t xml:space="preserve"> </w:t>
      </w:r>
    </w:p>
    <w:tbl>
      <w:tblPr>
        <w:tblStyle w:val="5"/>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43"/>
        <w:gridCol w:w="1738"/>
        <w:gridCol w:w="546"/>
        <w:gridCol w:w="863"/>
        <w:gridCol w:w="1560"/>
        <w:gridCol w:w="73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65"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491" w:type="dxa"/>
            <w:gridSpan w:val="7"/>
            <w:vAlign w:val="center"/>
          </w:tcPr>
          <w:p>
            <w:pPr>
              <w:widowControl/>
              <w:snapToGrid w:val="0"/>
              <w:jc w:val="center"/>
              <w:rPr>
                <w:rFonts w:hint="eastAsia" w:ascii="宋体" w:hAnsi="宋体" w:eastAsia="仿宋_GB2312" w:cs="Arial"/>
                <w:kern w:val="0"/>
                <w:sz w:val="20"/>
                <w:szCs w:val="20"/>
                <w:shd w:val="clear" w:color="auto" w:fill="FFFFFF"/>
                <w:lang w:eastAsia="zh-CN"/>
              </w:rPr>
            </w:pPr>
            <w:r>
              <w:rPr>
                <w:rFonts w:hint="eastAsia" w:ascii="宋体" w:hAnsi="宋体" w:eastAsia="仿宋_GB2312" w:cs="Arial"/>
                <w:kern w:val="0"/>
                <w:sz w:val="20"/>
                <w:szCs w:val="20"/>
                <w:shd w:val="clear" w:color="auto" w:fill="FFFFFF"/>
                <w:lang w:eastAsia="zh-CN"/>
              </w:rPr>
              <w:t>作风建设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65"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727"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鄂州市督查考评办公室</w:t>
            </w:r>
          </w:p>
        </w:tc>
        <w:tc>
          <w:tcPr>
            <w:tcW w:w="863"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3901"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鄂</w:t>
            </w:r>
            <w:bookmarkStart w:id="0" w:name="_GoBack"/>
            <w:bookmarkEnd w:id="0"/>
            <w:r>
              <w:rPr>
                <w:rFonts w:hint="eastAsia" w:ascii="仿宋_GB2312" w:hAnsi="宋体" w:eastAsia="仿宋_GB2312" w:cs="仿宋_GB2312"/>
                <w:kern w:val="0"/>
              </w:rPr>
              <w:t>州市督查考评办公室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491" w:type="dxa"/>
            <w:gridSpan w:val="7"/>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hint="eastAsia" w:ascii="仿宋_GB2312" w:hAnsi="宋体" w:eastAsia="仿宋_GB2312" w:cs="仿宋_GB2312"/>
                <w:kern w:val="0"/>
                <w:lang w:val="en-US" w:eastAsia="zh-CN"/>
              </w:rPr>
              <w:t xml:space="preserve">  </w:t>
            </w:r>
            <w:r>
              <w:rPr>
                <w:rFonts w:hint="eastAsia" w:ascii="Arial" w:hAnsi="Arial" w:eastAsia="Arial" w:cs="Arial"/>
                <w:i w:val="0"/>
                <w:iCs w:val="0"/>
                <w:caps w:val="0"/>
                <w:color w:val="191919"/>
                <w:spacing w:val="0"/>
                <w:sz w:val="24"/>
                <w:szCs w:val="24"/>
                <w:shd w:val="clear" w:fill="FFFFFF"/>
              </w:rPr>
              <w:sym w:font="Wingdings" w:char="00FE"/>
            </w:r>
            <w:r>
              <w:rPr>
                <w:rFonts w:ascii="仿宋_GB2312" w:hAnsi="宋体" w:eastAsia="仿宋_GB2312" w:cs="仿宋_GB2312"/>
                <w:kern w:val="0"/>
                <w:sz w:val="20"/>
                <w:szCs w:val="21"/>
              </w:rPr>
              <w:t xml:space="preserve"> </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491" w:type="dxa"/>
            <w:gridSpan w:val="7"/>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Arial" w:hAnsi="Arial" w:eastAsia="Arial" w:cs="Arial"/>
                <w:i w:val="0"/>
                <w:iCs w:val="0"/>
                <w:caps w:val="0"/>
                <w:color w:val="191919"/>
                <w:spacing w:val="0"/>
                <w:sz w:val="24"/>
                <w:szCs w:val="24"/>
                <w:shd w:val="clear" w:fill="FFFFFF"/>
              </w:rPr>
              <w:sym w:font="Wingdings" w:char="00FE"/>
            </w:r>
            <w:r>
              <w:rPr>
                <w:rFonts w:ascii="仿宋_GB2312" w:hAnsi="宋体" w:eastAsia="仿宋_GB2312" w:cs="仿宋_GB2312"/>
                <w:kern w:val="0"/>
                <w:sz w:val="20"/>
                <w:szCs w:val="21"/>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65"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491" w:type="dxa"/>
            <w:gridSpan w:val="7"/>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Arial" w:hAnsi="Arial" w:eastAsia="Arial" w:cs="Arial"/>
                <w:i w:val="0"/>
                <w:iCs w:val="0"/>
                <w:caps w:val="0"/>
                <w:color w:val="191919"/>
                <w:spacing w:val="0"/>
                <w:sz w:val="24"/>
                <w:szCs w:val="24"/>
                <w:shd w:val="clear" w:fill="FFFFFF"/>
              </w:rPr>
              <w:sym w:font="Wingdings" w:char="00FE"/>
            </w:r>
            <w:r>
              <w:rPr>
                <w:rFonts w:ascii="仿宋_GB2312" w:hAnsi="宋体" w:eastAsia="仿宋_GB2312" w:cs="仿宋_GB2312"/>
                <w:kern w:val="0"/>
                <w:sz w:val="20"/>
                <w:szCs w:val="21"/>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65" w:type="dxa"/>
            <w:vMerge w:val="restart"/>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年度总体目标</w:t>
            </w:r>
          </w:p>
        </w:tc>
        <w:tc>
          <w:tcPr>
            <w:tcW w:w="3181"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预期目标</w:t>
            </w:r>
          </w:p>
        </w:tc>
        <w:tc>
          <w:tcPr>
            <w:tcW w:w="5310" w:type="dxa"/>
            <w:gridSpan w:val="5"/>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65" w:type="dxa"/>
            <w:vMerge w:val="continue"/>
            <w:vAlign w:val="center"/>
          </w:tcPr>
          <w:p>
            <w:pPr>
              <w:widowControl/>
              <w:snapToGrid w:val="0"/>
              <w:jc w:val="both"/>
              <w:rPr>
                <w:rFonts w:hint="eastAsia" w:ascii="仿宋_GB2312" w:hAnsi="宋体" w:eastAsia="仿宋_GB2312" w:cs="Times New Roman"/>
                <w:kern w:val="0"/>
                <w:lang w:eastAsia="zh-CN"/>
              </w:rPr>
            </w:pPr>
          </w:p>
        </w:tc>
        <w:tc>
          <w:tcPr>
            <w:tcW w:w="3181" w:type="dxa"/>
            <w:gridSpan w:val="2"/>
            <w:vAlign w:val="center"/>
          </w:tcPr>
          <w:p>
            <w:pPr>
              <w:widowControl/>
              <w:snapToGrid w:val="0"/>
              <w:jc w:val="both"/>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fldChar w:fldCharType="begin">
                <w:fldData xml:space="preserve">QgA2ADUAQgA2ADgARAA5AEUAMwBGADUANABFAEIARQBCADMARgBCADYANAA5AEMAOQBFAEEARABG
ADAAOQBEAA==
</w:fldData>
              </w:fldChar>
            </w:r>
            <w:r>
              <w:rPr>
                <w:rFonts w:hint="eastAsia" w:ascii="仿宋_GB2312" w:hAnsi="宋体" w:eastAsia="仿宋_GB2312" w:cs="Times New Roman"/>
                <w:kern w:val="0"/>
                <w:lang w:eastAsia="zh-CN"/>
              </w:rPr>
              <w:instrText xml:space="preserve">Addin 项目总体目标</w:instrText>
            </w:r>
            <w:r>
              <w:rPr>
                <w:rFonts w:hint="eastAsia" w:ascii="仿宋_GB2312" w:hAnsi="宋体" w:eastAsia="仿宋_GB2312" w:cs="Times New Roman"/>
                <w:kern w:val="0"/>
                <w:lang w:eastAsia="zh-CN"/>
              </w:rPr>
              <w:fldChar w:fldCharType="separate"/>
            </w:r>
            <w:r>
              <w:rPr>
                <w:rFonts w:hint="eastAsia" w:ascii="仿宋_GB2312" w:hAnsi="宋体" w:eastAsia="仿宋_GB2312" w:cs="Times New Roman"/>
                <w:kern w:val="0"/>
                <w:lang w:eastAsia="zh-CN"/>
              </w:rPr>
              <w:t>推动全市上下进一步提高担当作为的精气神，进一步提高履行职责、服务群众、推动发展的能力，进一步提升工作质效，进一步密切党群干群关系，大力营造务实重行、真抓实干、讲求实效的深厚氛围，努力实现各方面工作提档升级进位。</w:t>
            </w:r>
            <w:r>
              <w:rPr>
                <w:rFonts w:hint="eastAsia" w:ascii="仿宋_GB2312" w:hAnsi="宋体" w:eastAsia="仿宋_GB2312" w:cs="Times New Roman"/>
                <w:kern w:val="0"/>
                <w:lang w:eastAsia="zh-CN"/>
              </w:rPr>
              <w:fldChar w:fldCharType="end"/>
            </w:r>
          </w:p>
        </w:tc>
        <w:tc>
          <w:tcPr>
            <w:tcW w:w="5310" w:type="dxa"/>
            <w:gridSpan w:val="5"/>
            <w:vAlign w:val="center"/>
          </w:tcPr>
          <w:p>
            <w:pPr>
              <w:widowControl/>
              <w:snapToGrid w:val="0"/>
              <w:jc w:val="both"/>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会同市纪委监委持续聚焦优化营商环境，请湖北电视台对5个区拍摄暗访短片，费用为15.75万元，内容包括鄂城区重点项目推进慢，葛店开发区企业通电难，华容区企业办证难，梁子湖区生态保护不到位，临空经济区扬尘重。由于疫情等多方面原因，此次电视问效没有选择现场问效，采用一对一曝光问题，发送交办单形式，督促相关单位认领问题，解决问题。已发送5份交办单，推进问题得到妥善解决，推动干部作风持续好转，营商环境持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65"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snapToGrid w:val="0"/>
              <w:jc w:val="center"/>
              <w:rPr>
                <w:rFonts w:ascii="仿宋_GB2312" w:hAnsi="宋体" w:eastAsia="仿宋_GB2312" w:cs="Times New Roman"/>
                <w:kern w:val="0"/>
              </w:rPr>
            </w:pPr>
          </w:p>
        </w:tc>
        <w:tc>
          <w:tcPr>
            <w:tcW w:w="1443"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一</w:t>
            </w:r>
            <w:r>
              <w:rPr>
                <w:rFonts w:hint="eastAsia" w:ascii="仿宋_GB2312" w:hAnsi="宋体" w:eastAsia="仿宋_GB2312" w:cs="仿宋_GB2312"/>
                <w:kern w:val="0"/>
              </w:rPr>
              <w:t>级指标</w:t>
            </w:r>
          </w:p>
        </w:tc>
        <w:tc>
          <w:tcPr>
            <w:tcW w:w="173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二</w:t>
            </w:r>
            <w:r>
              <w:rPr>
                <w:rFonts w:hint="eastAsia" w:ascii="仿宋_GB2312" w:hAnsi="宋体" w:eastAsia="仿宋_GB2312" w:cs="仿宋_GB2312"/>
                <w:kern w:val="0"/>
              </w:rPr>
              <w:t>级指标</w:t>
            </w:r>
          </w:p>
        </w:tc>
        <w:tc>
          <w:tcPr>
            <w:tcW w:w="140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p>
        </w:tc>
        <w:tc>
          <w:tcPr>
            <w:tcW w:w="1560"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p>
        </w:tc>
        <w:tc>
          <w:tcPr>
            <w:tcW w:w="7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c>
          <w:tcPr>
            <w:tcW w:w="1605"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eastAsia="zh-CN"/>
              </w:rPr>
              <w:t>偏差原因分析及改正措施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165" w:type="dxa"/>
            <w:vMerge w:val="continue"/>
            <w:vAlign w:val="center"/>
          </w:tcPr>
          <w:p>
            <w:pPr>
              <w:snapToGrid w:val="0"/>
              <w:jc w:val="center"/>
              <w:rPr>
                <w:rFonts w:hint="eastAsia" w:ascii="仿宋_GB2312" w:hAnsi="宋体" w:eastAsia="仿宋_GB2312" w:cs="仿宋_GB2312"/>
                <w:kern w:val="0"/>
              </w:rPr>
            </w:pPr>
          </w:p>
        </w:tc>
        <w:tc>
          <w:tcPr>
            <w:tcW w:w="1443"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数量指标</w:t>
            </w:r>
          </w:p>
        </w:tc>
        <w:tc>
          <w:tcPr>
            <w:tcW w:w="1738" w:type="dxa"/>
            <w:vAlign w:val="center"/>
          </w:tcPr>
          <w:p>
            <w:pPr>
              <w:widowControl/>
              <w:snapToGrid w:val="0"/>
              <w:jc w:val="both"/>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安排4场，每场按88万元，租会议室2次等</w:t>
            </w:r>
          </w:p>
        </w:tc>
        <w:tc>
          <w:tcPr>
            <w:tcW w:w="1409"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100％</w:t>
            </w:r>
          </w:p>
        </w:tc>
        <w:tc>
          <w:tcPr>
            <w:tcW w:w="156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c>
          <w:tcPr>
            <w:tcW w:w="7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w:t>
            </w:r>
          </w:p>
        </w:tc>
        <w:tc>
          <w:tcPr>
            <w:tcW w:w="1605"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受疫情因素等影响202年度电视问效因疫情等原因未开展。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65" w:type="dxa"/>
            <w:vMerge w:val="continue"/>
            <w:vAlign w:val="center"/>
          </w:tcPr>
          <w:p>
            <w:pPr>
              <w:widowControl/>
              <w:snapToGrid w:val="0"/>
              <w:jc w:val="center"/>
              <w:rPr>
                <w:rFonts w:ascii="仿宋_GB2312" w:hAnsi="宋体" w:eastAsia="仿宋_GB2312" w:cs="Times New Roman"/>
                <w:kern w:val="0"/>
              </w:rPr>
            </w:pPr>
          </w:p>
        </w:tc>
        <w:tc>
          <w:tcPr>
            <w:tcW w:w="1443"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eastAsia="zh-CN"/>
              </w:rPr>
              <w:t>质量指标</w:t>
            </w:r>
          </w:p>
        </w:tc>
        <w:tc>
          <w:tcPr>
            <w:tcW w:w="1738" w:type="dxa"/>
            <w:vAlign w:val="center"/>
          </w:tcPr>
          <w:p>
            <w:pPr>
              <w:widowControl/>
              <w:snapToGrid w:val="0"/>
              <w:jc w:val="both"/>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转变工作作风提升群众满意度</w:t>
            </w:r>
          </w:p>
        </w:tc>
        <w:tc>
          <w:tcPr>
            <w:tcW w:w="1409"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100％</w:t>
            </w:r>
          </w:p>
        </w:tc>
        <w:tc>
          <w:tcPr>
            <w:tcW w:w="156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7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50</w:t>
            </w:r>
          </w:p>
        </w:tc>
        <w:tc>
          <w:tcPr>
            <w:tcW w:w="1605" w:type="dxa"/>
            <w:vAlign w:val="center"/>
          </w:tcPr>
          <w:p>
            <w:pPr>
              <w:widowControl/>
              <w:snapToGrid w:val="0"/>
              <w:jc w:val="center"/>
              <w:rPr>
                <w:rFonts w:hint="eastAsia" w:ascii="仿宋_GB2312" w:hAnsi="宋体" w:eastAsia="仿宋_GB2312" w:cs="Times New Roman"/>
                <w:kern w:val="0"/>
                <w:lang w:val="en-US" w:eastAsia="zh-CN"/>
              </w:rPr>
            </w:pPr>
          </w:p>
        </w:tc>
      </w:tr>
    </w:tbl>
    <w:p>
      <w:pPr>
        <w:rPr>
          <w:rFonts w:hint="eastAsia" w:ascii="黑体" w:hAnsi="黑体" w:eastAsia="黑体" w:cs="黑体"/>
          <w:b w:val="0"/>
          <w:bCs w:val="0"/>
          <w:color w:val="auto"/>
          <w:kern w:val="0"/>
          <w:sz w:val="30"/>
          <w:szCs w:val="30"/>
        </w:rPr>
      </w:pPr>
    </w:p>
    <w:p>
      <w:pPr>
        <w:rPr>
          <w:rFonts w:hint="eastAsia" w:ascii="黑体" w:hAnsi="黑体" w:eastAsia="黑体" w:cs="黑体"/>
          <w:b w:val="0"/>
          <w:bCs w:val="0"/>
          <w:color w:val="auto"/>
          <w:kern w:val="0"/>
          <w:sz w:val="30"/>
          <w:szCs w:val="30"/>
        </w:rPr>
      </w:pPr>
    </w:p>
    <w:p>
      <w:pPr>
        <w:rPr>
          <w:rFonts w:hint="eastAsia" w:ascii="黑体" w:hAnsi="黑体" w:eastAsia="黑体" w:cs="黑体"/>
          <w:b w:val="0"/>
          <w:bCs w:val="0"/>
          <w:color w:val="auto"/>
          <w:kern w:val="0"/>
          <w:sz w:val="30"/>
          <w:szCs w:val="30"/>
        </w:rPr>
      </w:pPr>
    </w:p>
    <w:p>
      <w:pPr>
        <w:rPr>
          <w:rFonts w:hint="eastAsia" w:ascii="黑体" w:hAnsi="黑体" w:eastAsia="黑体" w:cs="黑体"/>
          <w:b w:val="0"/>
          <w:bCs w:val="0"/>
          <w:color w:val="auto"/>
          <w:kern w:val="0"/>
          <w:sz w:val="30"/>
          <w:szCs w:val="30"/>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kern w:val="0"/>
          <w:sz w:val="30"/>
          <w:szCs w:val="30"/>
          <w:lang w:val="en-US" w:eastAsia="zh-CN"/>
        </w:rPr>
      </w:pPr>
    </w:p>
    <w:sectPr>
      <w:footerReference r:id="rId3" w:type="default"/>
      <w:pgSz w:w="11906" w:h="16838"/>
      <w:pgMar w:top="2098" w:right="1474" w:bottom="198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394F12B-6478-4F8A-808E-4B02291820ED}"/>
  </w:font>
  <w:font w:name="Arial">
    <w:panose1 w:val="020B0604020202020204"/>
    <w:charset w:val="01"/>
    <w:family w:val="swiss"/>
    <w:pitch w:val="default"/>
    <w:sig w:usb0="E0002AFF" w:usb1="C0007843" w:usb2="00000009" w:usb3="00000000" w:csb0="400001FF" w:csb1="FFFF0000"/>
    <w:embedRegular r:id="rId2" w:fontKey="{370360A9-00EF-4306-B485-06DD82DD3185}"/>
  </w:font>
  <w:font w:name="黑体">
    <w:panose1 w:val="02010609060101010101"/>
    <w:charset w:val="86"/>
    <w:family w:val="auto"/>
    <w:pitch w:val="default"/>
    <w:sig w:usb0="800002BF" w:usb1="38CF7CFA" w:usb2="00000016" w:usb3="00000000" w:csb0="00040001" w:csb1="00000000"/>
    <w:embedRegular r:id="rId3" w:fontKey="{E6B8A7E5-0ABE-4FD2-938E-273F6B8888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4" w:fontKey="{CC9B217E-010B-45E2-BCC9-8F499F054B72}"/>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C362C7E8-C76E-4E93-8126-EAC8C9C93B9D}"/>
  </w:font>
  <w:font w:name="仿宋">
    <w:panose1 w:val="02010609060101010101"/>
    <w:charset w:val="86"/>
    <w:family w:val="auto"/>
    <w:pitch w:val="default"/>
    <w:sig w:usb0="800002BF" w:usb1="38CF7CFA" w:usb2="00000016" w:usb3="00000000" w:csb0="00040001" w:csb1="00000000"/>
    <w:embedRegular r:id="rId6" w:fontKey="{1659AF02-E6A6-400D-946C-9DEB930BFA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Times New Roman" w:hAnsi="Times New Roman"/>
        <w:sz w:val="24"/>
        <w:szCs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ODFlOGFjZDY4NTEzN2E2YjgzYTAwY2Y2OWE5NGIifQ=="/>
  </w:docVars>
  <w:rsids>
    <w:rsidRoot w:val="298F1008"/>
    <w:rsid w:val="01262172"/>
    <w:rsid w:val="072510A5"/>
    <w:rsid w:val="14ED3D4F"/>
    <w:rsid w:val="16401EBD"/>
    <w:rsid w:val="17487DE3"/>
    <w:rsid w:val="17524A7B"/>
    <w:rsid w:val="22F457E7"/>
    <w:rsid w:val="24E10DB5"/>
    <w:rsid w:val="298F1008"/>
    <w:rsid w:val="2AE00186"/>
    <w:rsid w:val="2BC067AF"/>
    <w:rsid w:val="2C0E5189"/>
    <w:rsid w:val="2EA53BF6"/>
    <w:rsid w:val="3E24022A"/>
    <w:rsid w:val="439E2273"/>
    <w:rsid w:val="528E23DD"/>
    <w:rsid w:val="57000968"/>
    <w:rsid w:val="57C432F4"/>
    <w:rsid w:val="58A01C43"/>
    <w:rsid w:val="59184192"/>
    <w:rsid w:val="5B4478E7"/>
    <w:rsid w:val="5D6F4621"/>
    <w:rsid w:val="616E5794"/>
    <w:rsid w:val="61705965"/>
    <w:rsid w:val="61A7575F"/>
    <w:rsid w:val="62F211EA"/>
    <w:rsid w:val="64053132"/>
    <w:rsid w:val="65CD2084"/>
    <w:rsid w:val="697505E2"/>
    <w:rsid w:val="70F3688B"/>
    <w:rsid w:val="71E314D6"/>
    <w:rsid w:val="730E028E"/>
    <w:rsid w:val="744B027A"/>
    <w:rsid w:val="749E3893"/>
    <w:rsid w:val="7580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 Text First Indent 21"/>
    <w:basedOn w:val="9"/>
    <w:qFormat/>
    <w:uiPriority w:val="0"/>
    <w:pPr>
      <w:ind w:firstLine="420" w:firstLineChars="200"/>
    </w:pPr>
    <w:rPr>
      <w:rFonts w:ascii="Calibri" w:hAnsi="Calibri" w:eastAsia="宋体" w:cs="Times New Roman"/>
    </w:rPr>
  </w:style>
  <w:style w:type="paragraph" w:customStyle="1" w:styleId="9">
    <w:name w:val="Body Text Indent1"/>
    <w:basedOn w:val="1"/>
    <w:next w:val="8"/>
    <w:qFormat/>
    <w:uiPriority w:val="0"/>
    <w:pPr>
      <w:ind w:left="420" w:leftChars="200"/>
    </w:pPr>
  </w:style>
  <w:style w:type="character" w:customStyle="1" w:styleId="10">
    <w:name w:val="font1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4220</Words>
  <Characters>4712</Characters>
  <Lines>0</Lines>
  <Paragraphs>0</Paragraphs>
  <TotalTime>0</TotalTime>
  <ScaleCrop>false</ScaleCrop>
  <LinksUpToDate>false</LinksUpToDate>
  <CharactersWithSpaces>4837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2023-04-21T08:24:00Z</dcterms:created>
  <dc:creator>活着的滋味</dc:creator>
  <cp:lastModifiedBy>糖逗( •̀∀•́ )逗糖</cp:lastModifiedBy>
  <cp:lastPrinted>2023-06-02T08:16:00Z</cp:lastPrinted>
  <dcterms:modified xsi:type="dcterms:W3CDTF">2023-07-28T07:21:21Z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43FCA449752D4047BCEE5D46DD7EDF78_11</vt:lpwstr>
  </property>
</Properties>
</file>