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numPr>
          <w:ilvl w:val="0"/>
          <w:numId w:val="0"/>
        </w:numPr>
        <w:ind w:left="0" w:leftChars="0" w:firstLine="0" w:firstLineChars="0"/>
        <w:jc w:val="both"/>
        <w:rPr>
          <w:rFonts w:hint="eastAsia" w:ascii="方正小标宋简体" w:hAnsi="方正小标宋简体" w:eastAsia="方正小标宋简体" w:cs="方正小标宋简体"/>
          <w:kern w:val="2"/>
          <w:sz w:val="40"/>
          <w:szCs w:val="40"/>
          <w:lang w:val="en-US" w:eastAsia="zh-CN" w:bidi="ar-SA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kern w:val="2"/>
          <w:sz w:val="40"/>
          <w:szCs w:val="40"/>
          <w:lang w:val="en-US" w:eastAsia="zh-CN" w:bidi="ar-SA"/>
        </w:rPr>
        <w:t>第六部分鄂州市教育局（汇总）2021年部门项目绩效总体自评表</w:t>
      </w:r>
    </w:p>
    <w:bookmarkEnd w:id="0"/>
    <w:p>
      <w:pPr>
        <w:jc w:val="center"/>
        <w:rPr>
          <w:rFonts w:cs="Times New Roman"/>
        </w:rPr>
      </w:pPr>
      <w:r>
        <w:rPr>
          <w:rFonts w:hint="eastAsia" w:asciiTheme="majorEastAsia" w:hAnsiTheme="majorEastAsia" w:eastAsiaTheme="majorEastAsia" w:cstheme="majorEastAsia"/>
          <w:b/>
          <w:bCs/>
          <w:sz w:val="32"/>
          <w:szCs w:val="32"/>
          <w:lang w:val="en-US" w:eastAsia="zh-CN"/>
        </w:rPr>
        <w:t>2021</w:t>
      </w:r>
      <w:r>
        <w:rPr>
          <w:rFonts w:hint="eastAsia" w:asciiTheme="majorEastAsia" w:hAnsiTheme="majorEastAsia" w:eastAsiaTheme="majorEastAsia" w:cstheme="majorEastAsia"/>
          <w:b/>
          <w:bCs/>
          <w:sz w:val="32"/>
          <w:szCs w:val="32"/>
        </w:rPr>
        <w:t>年度部门</w:t>
      </w:r>
      <w:r>
        <w:rPr>
          <w:rFonts w:hint="eastAsia" w:asciiTheme="majorEastAsia" w:hAnsiTheme="majorEastAsia" w:eastAsiaTheme="majorEastAsia" w:cstheme="majorEastAsia"/>
          <w:b/>
          <w:bCs/>
          <w:sz w:val="32"/>
          <w:szCs w:val="32"/>
          <w:lang w:val="en-US" w:eastAsia="zh-CN"/>
        </w:rPr>
        <w:t>总体</w:t>
      </w:r>
      <w:r>
        <w:rPr>
          <w:rFonts w:hint="eastAsia" w:asciiTheme="majorEastAsia" w:hAnsiTheme="majorEastAsia" w:eastAsiaTheme="majorEastAsia" w:cstheme="majorEastAsia"/>
          <w:b/>
          <w:bCs/>
          <w:sz w:val="32"/>
          <w:szCs w:val="32"/>
        </w:rPr>
        <w:t>绩效自评表</w:t>
      </w:r>
    </w:p>
    <w:p>
      <w:pPr>
        <w:widowControl/>
        <w:ind w:firstLine="2520" w:firstLineChars="900"/>
        <w:jc w:val="left"/>
        <w:rPr>
          <w:rFonts w:ascii="楷体_GB2312" w:hAnsi="黑体" w:eastAsia="楷体_GB2312" w:cs="Times New Roman"/>
          <w:kern w:val="0"/>
          <w:sz w:val="24"/>
          <w:szCs w:val="24"/>
        </w:rPr>
      </w:pPr>
      <w:r>
        <w:rPr>
          <w:rFonts w:hint="eastAsia" w:ascii="楷体_GB2312" w:hAnsi="仿宋" w:eastAsia="楷体_GB2312" w:cs="楷体_GB2312"/>
          <w:kern w:val="0"/>
          <w:sz w:val="28"/>
          <w:szCs w:val="28"/>
        </w:rPr>
        <w:t>单位名称：</w:t>
      </w:r>
      <w:r>
        <w:rPr>
          <w:rFonts w:ascii="楷体_GB2312" w:hAnsi="仿宋" w:eastAsia="楷体_GB2312" w:cs="楷体_GB2312"/>
          <w:kern w:val="0"/>
          <w:sz w:val="28"/>
          <w:szCs w:val="28"/>
        </w:rPr>
        <w:t xml:space="preserve">  </w:t>
      </w:r>
      <w:r>
        <w:rPr>
          <w:rFonts w:hint="eastAsia" w:ascii="楷体_GB2312" w:hAnsi="仿宋" w:eastAsia="楷体_GB2312" w:cs="楷体_GB2312"/>
          <w:kern w:val="0"/>
          <w:sz w:val="28"/>
          <w:szCs w:val="28"/>
          <w:lang w:val="en-US" w:eastAsia="zh-CN"/>
        </w:rPr>
        <w:t>鄂州市教育局</w:t>
      </w:r>
      <w:r>
        <w:rPr>
          <w:rFonts w:ascii="楷体_GB2312" w:hAnsi="仿宋" w:eastAsia="楷体_GB2312" w:cs="楷体_GB2312"/>
          <w:kern w:val="0"/>
          <w:sz w:val="24"/>
          <w:szCs w:val="24"/>
        </w:rPr>
        <w:t xml:space="preserve">              </w:t>
      </w:r>
      <w:r>
        <w:rPr>
          <w:rFonts w:hint="eastAsia" w:ascii="楷体_GB2312" w:hAnsi="仿宋" w:eastAsia="楷体_GB2312" w:cs="楷体_GB2312"/>
          <w:kern w:val="0"/>
          <w:sz w:val="28"/>
          <w:szCs w:val="28"/>
        </w:rPr>
        <w:t>填报日期：</w:t>
      </w:r>
      <w:r>
        <w:rPr>
          <w:rFonts w:hint="eastAsia" w:ascii="楷体_GB2312" w:hAnsi="仿宋" w:eastAsia="楷体_GB2312" w:cs="楷体_GB2312"/>
          <w:kern w:val="0"/>
          <w:sz w:val="28"/>
          <w:szCs w:val="28"/>
          <w:lang w:val="en-US" w:eastAsia="zh-CN"/>
        </w:rPr>
        <w:t>2022年4月3日</w:t>
      </w:r>
    </w:p>
    <w:tbl>
      <w:tblPr>
        <w:tblStyle w:val="4"/>
        <w:tblW w:w="894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94"/>
        <w:gridCol w:w="534"/>
        <w:gridCol w:w="1215"/>
        <w:gridCol w:w="1551"/>
        <w:gridCol w:w="1552"/>
        <w:gridCol w:w="1157"/>
        <w:gridCol w:w="1068"/>
        <w:gridCol w:w="87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  <w:jc w:val="center"/>
        </w:trPr>
        <w:tc>
          <w:tcPr>
            <w:tcW w:w="1528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单位名称</w:t>
            </w:r>
          </w:p>
        </w:tc>
        <w:tc>
          <w:tcPr>
            <w:tcW w:w="7420" w:type="dxa"/>
            <w:gridSpan w:val="6"/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鄂州市教育局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  <w:jc w:val="center"/>
        </w:trPr>
        <w:tc>
          <w:tcPr>
            <w:tcW w:w="1528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Times New Roman"/>
                <w:kern w:val="0"/>
              </w:rPr>
              <w:t>基本支出总额</w:t>
            </w:r>
          </w:p>
        </w:tc>
        <w:tc>
          <w:tcPr>
            <w:tcW w:w="2766" w:type="dxa"/>
            <w:gridSpan w:val="2"/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仿宋_GB2312" w:cs="Times New Roman"/>
                <w:kern w:val="0"/>
                <w:lang w:val="en-US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highlight w:val="none"/>
                <w:lang w:val="en-US" w:eastAsia="zh-CN"/>
              </w:rPr>
              <w:t>65683.25万元</w:t>
            </w:r>
          </w:p>
        </w:tc>
        <w:tc>
          <w:tcPr>
            <w:tcW w:w="2709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项目支出总额</w:t>
            </w:r>
          </w:p>
        </w:tc>
        <w:tc>
          <w:tcPr>
            <w:tcW w:w="1945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highlight w:val="none"/>
                <w:lang w:val="en-US" w:eastAsia="zh-CN"/>
              </w:rPr>
              <w:t xml:space="preserve">13347.04万元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  <w:jc w:val="center"/>
        </w:trPr>
        <w:tc>
          <w:tcPr>
            <w:tcW w:w="1528" w:type="dxa"/>
            <w:gridSpan w:val="2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预算执行情况（万元）</w:t>
            </w:r>
          </w:p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（</w:t>
            </w:r>
            <w:r>
              <w:rPr>
                <w:rFonts w:ascii="仿宋_GB2312" w:hAnsi="宋体" w:eastAsia="仿宋_GB2312" w:cs="仿宋_GB2312"/>
                <w:kern w:val="0"/>
              </w:rPr>
              <w:t>20</w:t>
            </w:r>
            <w:r>
              <w:rPr>
                <w:rFonts w:hint="eastAsia" w:ascii="仿宋_GB2312" w:hAnsi="宋体" w:eastAsia="仿宋_GB2312" w:cs="仿宋_GB2312"/>
                <w:kern w:val="0"/>
              </w:rPr>
              <w:t>分）</w:t>
            </w:r>
          </w:p>
        </w:tc>
        <w:tc>
          <w:tcPr>
            <w:tcW w:w="1215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551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预算数（</w:t>
            </w:r>
            <w:r>
              <w:rPr>
                <w:rFonts w:ascii="仿宋_GB2312" w:hAnsi="宋体" w:eastAsia="仿宋_GB2312" w:cs="仿宋_GB2312"/>
                <w:kern w:val="0"/>
              </w:rPr>
              <w:t>A）</w:t>
            </w:r>
          </w:p>
        </w:tc>
        <w:tc>
          <w:tcPr>
            <w:tcW w:w="1552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执行数</w:t>
            </w:r>
            <w:r>
              <w:rPr>
                <w:rFonts w:ascii="仿宋_GB2312" w:hAnsi="宋体" w:eastAsia="仿宋_GB2312" w:cs="仿宋_GB2312"/>
                <w:kern w:val="0"/>
              </w:rPr>
              <w:t>（B）</w:t>
            </w:r>
          </w:p>
        </w:tc>
        <w:tc>
          <w:tcPr>
            <w:tcW w:w="1157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执行率</w:t>
            </w:r>
            <w:r>
              <w:rPr>
                <w:rFonts w:ascii="仿宋_GB2312" w:hAnsi="宋体" w:eastAsia="仿宋_GB2312" w:cs="仿宋_GB2312"/>
                <w:kern w:val="0"/>
              </w:rPr>
              <w:t>（B/A）</w:t>
            </w:r>
          </w:p>
        </w:tc>
        <w:tc>
          <w:tcPr>
            <w:tcW w:w="1945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得分</w:t>
            </w:r>
          </w:p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（</w:t>
            </w:r>
            <w:r>
              <w:rPr>
                <w:rFonts w:ascii="仿宋_GB2312" w:hAnsi="宋体" w:eastAsia="仿宋_GB2312" w:cs="仿宋_GB2312"/>
                <w:kern w:val="0"/>
              </w:rPr>
              <w:t>20</w:t>
            </w:r>
            <w:r>
              <w:rPr>
                <w:rFonts w:hint="eastAsia" w:ascii="仿宋_GB2312" w:hAnsi="宋体" w:eastAsia="仿宋_GB2312" w:cs="仿宋_GB2312"/>
                <w:kern w:val="0"/>
              </w:rPr>
              <w:t>分</w:t>
            </w:r>
            <w:r>
              <w:rPr>
                <w:rFonts w:ascii="仿宋_GB2312" w:hAnsi="宋体" w:eastAsia="仿宋_GB2312" w:cs="仿宋_GB2312"/>
                <w:kern w:val="0"/>
              </w:rPr>
              <w:t>*</w:t>
            </w:r>
            <w:r>
              <w:rPr>
                <w:rFonts w:hint="eastAsia" w:ascii="仿宋_GB2312" w:hAnsi="宋体" w:eastAsia="仿宋_GB2312" w:cs="仿宋_GB2312"/>
                <w:kern w:val="0"/>
              </w:rPr>
              <w:t>执行率）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  <w:jc w:val="center"/>
        </w:trPr>
        <w:tc>
          <w:tcPr>
            <w:tcW w:w="1528" w:type="dxa"/>
            <w:gridSpan w:val="2"/>
            <w:vMerge w:val="continue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5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部门整体支出总额</w:t>
            </w:r>
          </w:p>
        </w:tc>
        <w:tc>
          <w:tcPr>
            <w:tcW w:w="1551" w:type="dxa"/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仿宋_GB2312" w:cs="Times New Roman"/>
                <w:kern w:val="0"/>
                <w:lang w:val="en-US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61321.45万元</w:t>
            </w:r>
          </w:p>
        </w:tc>
        <w:tc>
          <w:tcPr>
            <w:tcW w:w="1552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79030.29万元</w:t>
            </w:r>
          </w:p>
        </w:tc>
        <w:tc>
          <w:tcPr>
            <w:tcW w:w="1157" w:type="dxa"/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128.88%</w:t>
            </w:r>
          </w:p>
        </w:tc>
        <w:tc>
          <w:tcPr>
            <w:tcW w:w="1945" w:type="dxa"/>
            <w:gridSpan w:val="2"/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25.76分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  <w:jc w:val="center"/>
        </w:trPr>
        <w:tc>
          <w:tcPr>
            <w:tcW w:w="1528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Times New Roman"/>
                <w:kern w:val="0"/>
              </w:rPr>
              <w:t>年度目标1：</w:t>
            </w:r>
            <w:r>
              <w:rPr>
                <w:rFonts w:hint="eastAsia" w:ascii="仿宋_GB2312" w:hAnsi="宋体" w:eastAsia="仿宋_GB2312" w:cs="仿宋_GB2312"/>
                <w:kern w:val="0"/>
              </w:rPr>
              <w:t>（</w:t>
            </w: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10</w:t>
            </w:r>
            <w:r>
              <w:rPr>
                <w:rFonts w:hint="eastAsia" w:ascii="仿宋_GB2312" w:hAnsi="宋体" w:eastAsia="仿宋_GB2312" w:cs="仿宋_GB2312"/>
                <w:kern w:val="0"/>
              </w:rPr>
              <w:t>分）</w:t>
            </w:r>
          </w:p>
        </w:tc>
        <w:tc>
          <w:tcPr>
            <w:tcW w:w="7420" w:type="dxa"/>
            <w:gridSpan w:val="6"/>
            <w:vAlign w:val="center"/>
          </w:tcPr>
          <w:p>
            <w:pPr>
              <w:widowControl/>
              <w:snapToGrid w:val="0"/>
              <w:rPr>
                <w:rFonts w:ascii="宋体" w:hAnsi="宋体"/>
                <w:kern w:val="0"/>
              </w:rPr>
            </w:pPr>
            <w:r>
              <w:rPr>
                <w:rFonts w:hint="eastAsia" w:ascii="宋体" w:hAnsi="宋体" w:cs="仿宋_GB2312"/>
                <w:kern w:val="0"/>
              </w:rPr>
              <w:t>目标</w:t>
            </w:r>
            <w:r>
              <w:rPr>
                <w:rFonts w:ascii="宋体" w:hAnsi="宋体" w:cs="仿宋_GB2312"/>
                <w:kern w:val="0"/>
              </w:rPr>
              <w:t>1</w:t>
            </w:r>
            <w:r>
              <w:rPr>
                <w:rFonts w:hint="eastAsia" w:ascii="宋体" w:hAnsi="宋体" w:cs="仿宋_GB2312"/>
                <w:kern w:val="0"/>
              </w:rPr>
              <w:t>：推进义务教育均衡发展的促进教育公平，提升学校的办学标准、教学基本要求、教学基本条件。</w:t>
            </w:r>
          </w:p>
          <w:p>
            <w:pPr>
              <w:widowControl/>
              <w:snapToGrid w:val="0"/>
              <w:rPr>
                <w:rFonts w:ascii="宋体" w:hAnsi="宋体"/>
                <w:kern w:val="0"/>
              </w:rPr>
            </w:pPr>
            <w:r>
              <w:rPr>
                <w:rFonts w:hint="eastAsia" w:ascii="宋体" w:hAnsi="宋体" w:cs="仿宋_GB2312"/>
                <w:kern w:val="0"/>
              </w:rPr>
              <w:t>目标</w:t>
            </w:r>
            <w:r>
              <w:rPr>
                <w:rFonts w:ascii="宋体" w:hAnsi="宋体" w:cs="仿宋_GB2312"/>
                <w:kern w:val="0"/>
              </w:rPr>
              <w:t>2</w:t>
            </w:r>
            <w:r>
              <w:rPr>
                <w:rFonts w:hint="eastAsia" w:ascii="宋体" w:hAnsi="宋体" w:cs="仿宋_GB2312"/>
                <w:kern w:val="0"/>
              </w:rPr>
              <w:t>：让基础教育教学质量提升。</w:t>
            </w:r>
          </w:p>
          <w:p>
            <w:pPr>
              <w:widowControl/>
              <w:snapToGrid w:val="0"/>
              <w:rPr>
                <w:rFonts w:hint="eastAsia" w:ascii="宋体" w:hAnsi="宋体" w:cs="仿宋_GB2312"/>
                <w:kern w:val="0"/>
              </w:rPr>
            </w:pPr>
            <w:r>
              <w:rPr>
                <w:rFonts w:hint="eastAsia" w:ascii="宋体" w:hAnsi="宋体" w:cs="仿宋_GB2312"/>
                <w:kern w:val="0"/>
              </w:rPr>
              <w:t>目标</w:t>
            </w:r>
            <w:r>
              <w:rPr>
                <w:rFonts w:ascii="宋体" w:hAnsi="宋体" w:cs="仿宋_GB2312"/>
                <w:kern w:val="0"/>
              </w:rPr>
              <w:t>3</w:t>
            </w:r>
            <w:r>
              <w:rPr>
                <w:rFonts w:hint="eastAsia" w:ascii="宋体" w:hAnsi="宋体" w:cs="仿宋_GB2312"/>
                <w:kern w:val="0"/>
              </w:rPr>
              <w:t>：会同有关部门制定教育经费筹措、教育预算标准的政采和办法，管理使用教育拨款及其他教育资金。</w:t>
            </w:r>
          </w:p>
          <w:p>
            <w:pPr>
              <w:widowControl/>
              <w:snapToGrid w:val="0"/>
              <w:rPr>
                <w:rFonts w:hint="eastAsia" w:ascii="宋体" w:hAnsi="宋体" w:cs="仿宋_GB2312"/>
                <w:kern w:val="0"/>
              </w:rPr>
            </w:pPr>
            <w:r>
              <w:rPr>
                <w:rFonts w:hint="eastAsia" w:ascii="宋体" w:hAnsi="宋体" w:cs="仿宋_GB2312"/>
                <w:kern w:val="0"/>
              </w:rPr>
              <w:t>目标4：规划指导全市各级各类学校的社会治安综合治理、学校文明创建等工作。</w:t>
            </w:r>
          </w:p>
          <w:p>
            <w:pPr>
              <w:widowControl/>
              <w:snapToGrid w:val="0"/>
              <w:rPr>
                <w:rFonts w:hint="eastAsia" w:ascii="宋体" w:hAnsi="宋体" w:cs="仿宋_GB2312"/>
                <w:kern w:val="0"/>
              </w:rPr>
            </w:pPr>
            <w:r>
              <w:rPr>
                <w:rFonts w:hint="eastAsia" w:ascii="宋体" w:hAnsi="宋体" w:cs="仿宋_GB2312"/>
                <w:kern w:val="0"/>
              </w:rPr>
              <w:t>目标5：各级各类学校的思想政治教育工作、德育工作、体育卫生艺术教育和国防教育工作。</w:t>
            </w:r>
          </w:p>
          <w:p>
            <w:pPr>
              <w:widowControl/>
              <w:jc w:val="both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宋体" w:hAnsi="宋体" w:cs="仿宋_GB2312"/>
                <w:kern w:val="0"/>
              </w:rPr>
              <w:t>目标6：指导以就业为导向的职业教育的发展与改革。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  <w:jc w:val="center"/>
        </w:trPr>
        <w:tc>
          <w:tcPr>
            <w:tcW w:w="994" w:type="dxa"/>
            <w:vMerge w:val="restart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Times New Roman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年度绩效指标</w:t>
            </w:r>
            <w:r>
              <w:rPr>
                <w:rFonts w:hint="eastAsia" w:ascii="仿宋_GB2312" w:hAnsi="宋体" w:eastAsia="仿宋_GB2312" w:cs="仿宋_GB2312"/>
                <w:kern w:val="0"/>
                <w:lang w:eastAsia="zh-CN"/>
              </w:rPr>
              <w:t>（</w:t>
            </w: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60分</w:t>
            </w:r>
            <w:r>
              <w:rPr>
                <w:rFonts w:hint="eastAsia" w:ascii="仿宋_GB2312" w:hAnsi="宋体" w:eastAsia="仿宋_GB2312" w:cs="仿宋_GB2312"/>
                <w:kern w:val="0"/>
                <w:lang w:eastAsia="zh-CN"/>
              </w:rPr>
              <w:t>）</w:t>
            </w:r>
          </w:p>
        </w:tc>
        <w:tc>
          <w:tcPr>
            <w:tcW w:w="534" w:type="dxa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一级指标</w:t>
            </w:r>
          </w:p>
        </w:tc>
        <w:tc>
          <w:tcPr>
            <w:tcW w:w="1215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二级指标</w:t>
            </w:r>
          </w:p>
        </w:tc>
        <w:tc>
          <w:tcPr>
            <w:tcW w:w="3103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三级指标</w:t>
            </w:r>
          </w:p>
        </w:tc>
        <w:tc>
          <w:tcPr>
            <w:tcW w:w="1157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年初目标值（</w:t>
            </w:r>
            <w:r>
              <w:rPr>
                <w:rFonts w:ascii="仿宋_GB2312" w:hAnsi="宋体" w:eastAsia="仿宋_GB2312" w:cs="仿宋_GB2312"/>
                <w:kern w:val="0"/>
              </w:rPr>
              <w:t>A</w:t>
            </w:r>
            <w:r>
              <w:rPr>
                <w:rFonts w:hint="eastAsia" w:ascii="仿宋_GB2312" w:hAnsi="宋体" w:eastAsia="仿宋_GB2312" w:cs="仿宋_GB2312"/>
                <w:kern w:val="0"/>
              </w:rPr>
              <w:t>）</w:t>
            </w:r>
          </w:p>
        </w:tc>
        <w:tc>
          <w:tcPr>
            <w:tcW w:w="1068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实际完成值（</w:t>
            </w:r>
            <w:r>
              <w:rPr>
                <w:rFonts w:ascii="仿宋_GB2312" w:hAnsi="宋体" w:eastAsia="仿宋_GB2312" w:cs="仿宋_GB2312"/>
                <w:kern w:val="0"/>
              </w:rPr>
              <w:t>B</w:t>
            </w:r>
            <w:r>
              <w:rPr>
                <w:rFonts w:hint="eastAsia" w:ascii="仿宋_GB2312" w:hAnsi="宋体" w:eastAsia="仿宋_GB2312" w:cs="仿宋_GB2312"/>
                <w:kern w:val="0"/>
              </w:rPr>
              <w:t>）</w:t>
            </w:r>
          </w:p>
        </w:tc>
        <w:tc>
          <w:tcPr>
            <w:tcW w:w="877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得分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  <w:jc w:val="center"/>
        </w:trPr>
        <w:tc>
          <w:tcPr>
            <w:tcW w:w="994" w:type="dxa"/>
            <w:vMerge w:val="continue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534" w:type="dxa"/>
            <w:vMerge w:val="restart"/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产出指标</w:t>
            </w:r>
          </w:p>
        </w:tc>
        <w:tc>
          <w:tcPr>
            <w:tcW w:w="1215" w:type="dxa"/>
            <w:vMerge w:val="restart"/>
            <w:vAlign w:val="center"/>
          </w:tcPr>
          <w:p>
            <w:pPr>
              <w:widowControl/>
              <w:jc w:val="center"/>
              <w:rPr>
                <w:rFonts w:ascii="宋体" w:hAnsi="宋体" w:cs="仿宋_GB2312"/>
                <w:kern w:val="0"/>
              </w:rPr>
            </w:pPr>
            <w:r>
              <w:rPr>
                <w:rFonts w:ascii="宋体" w:hAnsi="宋体" w:cs="仿宋_GB2312"/>
                <w:kern w:val="0"/>
              </w:rPr>
              <w:t xml:space="preserve"> </w:t>
            </w:r>
            <w:r>
              <w:rPr>
                <w:rFonts w:hint="eastAsia" w:ascii="宋体" w:hAnsi="宋体" w:cs="仿宋_GB2312"/>
                <w:kern w:val="0"/>
              </w:rPr>
              <w:t>质量指标</w:t>
            </w:r>
          </w:p>
          <w:p>
            <w:pPr>
              <w:widowControl/>
              <w:jc w:val="center"/>
              <w:rPr>
                <w:rFonts w:hint="eastAsia" w:ascii="宋体" w:hAnsi="宋体" w:cs="仿宋_GB2312"/>
                <w:kern w:val="0"/>
              </w:rPr>
            </w:pPr>
          </w:p>
        </w:tc>
        <w:tc>
          <w:tcPr>
            <w:tcW w:w="3103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宋体" w:hAnsi="宋体" w:cs="仿宋_GB2312"/>
                <w:kern w:val="0"/>
              </w:rPr>
              <w:t>房屋修缮验收通过率</w:t>
            </w:r>
          </w:p>
        </w:tc>
        <w:tc>
          <w:tcPr>
            <w:tcW w:w="1157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≥</w:t>
            </w:r>
            <w:r>
              <w:rPr>
                <w:rFonts w:hint="eastAsia" w:ascii="宋体" w:hAnsi="宋体" w:cs="仿宋_GB2312"/>
                <w:kern w:val="0"/>
              </w:rPr>
              <w:t>9</w:t>
            </w:r>
            <w:r>
              <w:rPr>
                <w:rFonts w:hint="eastAsia" w:ascii="宋体" w:hAnsi="宋体" w:cs="仿宋_GB2312"/>
                <w:kern w:val="0"/>
                <w:lang w:val="en-US" w:eastAsia="zh-CN"/>
              </w:rPr>
              <w:t>2</w:t>
            </w:r>
            <w:r>
              <w:rPr>
                <w:rFonts w:hint="eastAsia" w:ascii="宋体" w:hAnsi="宋体" w:cs="仿宋_GB2312"/>
                <w:kern w:val="0"/>
              </w:rPr>
              <w:t>%</w:t>
            </w:r>
          </w:p>
        </w:tc>
        <w:tc>
          <w:tcPr>
            <w:tcW w:w="1068" w:type="dxa"/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95%</w:t>
            </w:r>
          </w:p>
        </w:tc>
        <w:tc>
          <w:tcPr>
            <w:tcW w:w="877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  <w:jc w:val="center"/>
        </w:trPr>
        <w:tc>
          <w:tcPr>
            <w:tcW w:w="994" w:type="dxa"/>
            <w:vMerge w:val="continue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534" w:type="dxa"/>
            <w:vMerge w:val="continue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5" w:type="dxa"/>
            <w:vMerge w:val="continue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3103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宋体" w:hAnsi="宋体" w:cs="仿宋_GB2312"/>
                <w:kern w:val="0"/>
              </w:rPr>
              <w:t>基础设施验收通过率</w:t>
            </w:r>
          </w:p>
        </w:tc>
        <w:tc>
          <w:tcPr>
            <w:tcW w:w="1157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≥</w:t>
            </w:r>
            <w:r>
              <w:rPr>
                <w:rFonts w:hint="eastAsia" w:ascii="宋体" w:hAnsi="宋体" w:cs="仿宋_GB2312"/>
                <w:kern w:val="0"/>
              </w:rPr>
              <w:t>9</w:t>
            </w:r>
            <w:r>
              <w:rPr>
                <w:rFonts w:hint="eastAsia" w:ascii="宋体" w:hAnsi="宋体" w:cs="仿宋_GB2312"/>
                <w:kern w:val="0"/>
                <w:lang w:val="en-US" w:eastAsia="zh-CN"/>
              </w:rPr>
              <w:t>3</w:t>
            </w:r>
            <w:r>
              <w:rPr>
                <w:rFonts w:hint="eastAsia" w:ascii="宋体" w:hAnsi="宋体" w:cs="仿宋_GB2312"/>
                <w:kern w:val="0"/>
              </w:rPr>
              <w:t>%</w:t>
            </w:r>
          </w:p>
        </w:tc>
        <w:tc>
          <w:tcPr>
            <w:tcW w:w="1068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95%</w:t>
            </w:r>
          </w:p>
        </w:tc>
        <w:tc>
          <w:tcPr>
            <w:tcW w:w="877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  <w:jc w:val="center"/>
        </w:trPr>
        <w:tc>
          <w:tcPr>
            <w:tcW w:w="994" w:type="dxa"/>
            <w:vMerge w:val="continue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534" w:type="dxa"/>
            <w:vMerge w:val="continue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5" w:type="dxa"/>
            <w:vMerge w:val="continue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</w:rPr>
            </w:pPr>
          </w:p>
        </w:tc>
        <w:tc>
          <w:tcPr>
            <w:tcW w:w="3103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宋体" w:hAnsi="宋体" w:cs="仿宋_GB2312"/>
                <w:kern w:val="0"/>
              </w:rPr>
              <w:t>教学教研成果达标率</w:t>
            </w:r>
          </w:p>
        </w:tc>
        <w:tc>
          <w:tcPr>
            <w:tcW w:w="1157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≥</w:t>
            </w:r>
            <w:r>
              <w:rPr>
                <w:rFonts w:hint="eastAsia" w:ascii="宋体" w:hAnsi="宋体" w:eastAsia="仿宋_GB2312" w:cs="仿宋_GB2312"/>
                <w:kern w:val="0"/>
                <w:lang w:val="en-US" w:eastAsia="zh-CN"/>
              </w:rPr>
              <w:t>7</w:t>
            </w:r>
            <w:r>
              <w:rPr>
                <w:rFonts w:hint="eastAsia" w:ascii="宋体" w:hAnsi="宋体" w:cs="仿宋_GB2312"/>
                <w:kern w:val="0"/>
              </w:rPr>
              <w:t>5%</w:t>
            </w:r>
          </w:p>
        </w:tc>
        <w:tc>
          <w:tcPr>
            <w:tcW w:w="1068" w:type="dxa"/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80&amp;</w:t>
            </w:r>
          </w:p>
        </w:tc>
        <w:tc>
          <w:tcPr>
            <w:tcW w:w="877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  <w:jc w:val="center"/>
        </w:trPr>
        <w:tc>
          <w:tcPr>
            <w:tcW w:w="994" w:type="dxa"/>
            <w:vMerge w:val="continue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534" w:type="dxa"/>
            <w:vMerge w:val="continue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5" w:type="dxa"/>
            <w:vMerge w:val="continue"/>
            <w:vAlign w:val="center"/>
          </w:tcPr>
          <w:p>
            <w:pPr>
              <w:widowControl/>
              <w:jc w:val="center"/>
              <w:rPr>
                <w:rFonts w:hint="eastAsia" w:ascii="宋体" w:hAnsi="宋体" w:cs="仿宋_GB2312"/>
                <w:kern w:val="0"/>
              </w:rPr>
            </w:pPr>
          </w:p>
        </w:tc>
        <w:tc>
          <w:tcPr>
            <w:tcW w:w="3103" w:type="dxa"/>
            <w:gridSpan w:val="2"/>
            <w:vAlign w:val="center"/>
          </w:tcPr>
          <w:p>
            <w:pPr>
              <w:widowControl/>
              <w:jc w:val="center"/>
              <w:rPr>
                <w:rFonts w:hint="eastAsia" w:ascii="宋体" w:hAnsi="宋体" w:cs="仿宋_GB2312"/>
                <w:kern w:val="0"/>
                <w:u w:val="single"/>
              </w:rPr>
            </w:pPr>
            <w:r>
              <w:rPr>
                <w:rFonts w:hint="eastAsia" w:ascii="宋体" w:hAnsi="宋体" w:cs="仿宋_GB2312"/>
                <w:kern w:val="0"/>
              </w:rPr>
              <w:t>中职学生就业率</w:t>
            </w:r>
          </w:p>
        </w:tc>
        <w:tc>
          <w:tcPr>
            <w:tcW w:w="1157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≥</w:t>
            </w:r>
            <w:r>
              <w:rPr>
                <w:rFonts w:hint="eastAsia" w:ascii="宋体" w:hAnsi="宋体" w:cs="仿宋_GB2312"/>
                <w:kern w:val="0"/>
              </w:rPr>
              <w:t>9</w:t>
            </w:r>
            <w:r>
              <w:rPr>
                <w:rFonts w:hint="eastAsia" w:ascii="宋体" w:hAnsi="宋体" w:cs="仿宋_GB2312"/>
                <w:kern w:val="0"/>
                <w:lang w:val="en-US" w:eastAsia="zh-CN"/>
              </w:rPr>
              <w:t>0</w:t>
            </w:r>
            <w:r>
              <w:rPr>
                <w:rFonts w:hint="eastAsia" w:ascii="宋体" w:hAnsi="宋体" w:cs="仿宋_GB2312"/>
                <w:kern w:val="0"/>
              </w:rPr>
              <w:t>%</w:t>
            </w:r>
          </w:p>
        </w:tc>
        <w:tc>
          <w:tcPr>
            <w:tcW w:w="1068" w:type="dxa"/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92%</w:t>
            </w:r>
          </w:p>
        </w:tc>
        <w:tc>
          <w:tcPr>
            <w:tcW w:w="877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  <w:jc w:val="center"/>
        </w:trPr>
        <w:tc>
          <w:tcPr>
            <w:tcW w:w="994" w:type="dxa"/>
            <w:vMerge w:val="continue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534" w:type="dxa"/>
            <w:vMerge w:val="continue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5" w:type="dxa"/>
            <w:vMerge w:val="continue"/>
            <w:vAlign w:val="center"/>
          </w:tcPr>
          <w:p>
            <w:pPr>
              <w:widowControl/>
              <w:jc w:val="center"/>
              <w:rPr>
                <w:rFonts w:hint="eastAsia" w:ascii="宋体" w:hAnsi="宋体" w:cs="仿宋_GB2312"/>
                <w:kern w:val="0"/>
              </w:rPr>
            </w:pPr>
          </w:p>
        </w:tc>
        <w:tc>
          <w:tcPr>
            <w:tcW w:w="3103" w:type="dxa"/>
            <w:gridSpan w:val="2"/>
            <w:vAlign w:val="center"/>
          </w:tcPr>
          <w:p>
            <w:pPr>
              <w:widowControl/>
              <w:jc w:val="center"/>
              <w:rPr>
                <w:rFonts w:hint="default" w:ascii="宋体" w:hAnsi="宋体" w:cs="仿宋_GB2312" w:eastAsiaTheme="minorEastAsia"/>
                <w:kern w:val="0"/>
                <w:u w:val="single"/>
                <w:lang w:val="en-US" w:eastAsia="zh-CN"/>
              </w:rPr>
            </w:pPr>
            <w:r>
              <w:rPr>
                <w:rFonts w:hint="eastAsia" w:ascii="宋体" w:hAnsi="宋体" w:cs="仿宋_GB2312"/>
                <w:kern w:val="0"/>
                <w:lang w:val="en-US" w:eastAsia="zh-CN"/>
              </w:rPr>
              <w:t>设备、设施验收通过率</w:t>
            </w:r>
          </w:p>
        </w:tc>
        <w:tc>
          <w:tcPr>
            <w:tcW w:w="1157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≥</w:t>
            </w:r>
            <w:r>
              <w:rPr>
                <w:rFonts w:hint="eastAsia" w:ascii="宋体" w:hAnsi="宋体" w:cs="仿宋_GB2312"/>
                <w:kern w:val="0"/>
              </w:rPr>
              <w:t>9</w:t>
            </w:r>
            <w:r>
              <w:rPr>
                <w:rFonts w:hint="eastAsia" w:ascii="宋体" w:hAnsi="宋体" w:cs="仿宋_GB2312"/>
                <w:kern w:val="0"/>
                <w:lang w:val="en-US" w:eastAsia="zh-CN"/>
              </w:rPr>
              <w:t>2</w:t>
            </w:r>
            <w:r>
              <w:rPr>
                <w:rFonts w:hint="eastAsia" w:ascii="宋体" w:hAnsi="宋体" w:cs="仿宋_GB2312"/>
                <w:kern w:val="0"/>
              </w:rPr>
              <w:t>%</w:t>
            </w:r>
          </w:p>
        </w:tc>
        <w:tc>
          <w:tcPr>
            <w:tcW w:w="1068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95%</w:t>
            </w:r>
          </w:p>
        </w:tc>
        <w:tc>
          <w:tcPr>
            <w:tcW w:w="877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  <w:jc w:val="center"/>
        </w:trPr>
        <w:tc>
          <w:tcPr>
            <w:tcW w:w="994" w:type="dxa"/>
            <w:vMerge w:val="continue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534" w:type="dxa"/>
            <w:vMerge w:val="continue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5" w:type="dxa"/>
            <w:vMerge w:val="continue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</w:rPr>
            </w:pPr>
          </w:p>
        </w:tc>
        <w:tc>
          <w:tcPr>
            <w:tcW w:w="3103" w:type="dxa"/>
            <w:gridSpan w:val="2"/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宋体" w:hAnsi="宋体" w:cs="仿宋_GB2312"/>
                <w:kern w:val="0"/>
                <w:lang w:val="en-US" w:eastAsia="zh-CN"/>
              </w:rPr>
              <w:t>配套工程验收通过率</w:t>
            </w:r>
          </w:p>
        </w:tc>
        <w:tc>
          <w:tcPr>
            <w:tcW w:w="1157" w:type="dxa"/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≥</w:t>
            </w:r>
            <w:r>
              <w:rPr>
                <w:rFonts w:hint="eastAsia" w:ascii="宋体" w:hAnsi="宋体" w:cs="仿宋_GB2312"/>
                <w:kern w:val="0"/>
              </w:rPr>
              <w:t>9</w:t>
            </w:r>
            <w:r>
              <w:rPr>
                <w:rFonts w:hint="eastAsia" w:ascii="宋体" w:hAnsi="宋体" w:cs="仿宋_GB2312"/>
                <w:kern w:val="0"/>
                <w:lang w:val="en-US" w:eastAsia="zh-CN"/>
              </w:rPr>
              <w:t>5</w:t>
            </w:r>
            <w:r>
              <w:rPr>
                <w:rFonts w:hint="eastAsia" w:ascii="宋体" w:hAnsi="宋体" w:cs="仿宋_GB2312"/>
                <w:kern w:val="0"/>
              </w:rPr>
              <w:t>%</w:t>
            </w:r>
          </w:p>
        </w:tc>
        <w:tc>
          <w:tcPr>
            <w:tcW w:w="1068" w:type="dxa"/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97%</w:t>
            </w:r>
          </w:p>
        </w:tc>
        <w:tc>
          <w:tcPr>
            <w:tcW w:w="877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  <w:jc w:val="center"/>
        </w:trPr>
        <w:tc>
          <w:tcPr>
            <w:tcW w:w="994" w:type="dxa"/>
            <w:vMerge w:val="continue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534" w:type="dxa"/>
            <w:vMerge w:val="continue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5" w:type="dxa"/>
            <w:vMerge w:val="restart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</w:rPr>
            </w:pPr>
            <w:r>
              <w:rPr>
                <w:rFonts w:hint="eastAsia" w:ascii="宋体" w:hAnsi="宋体" w:cs="仿宋_GB2312"/>
                <w:kern w:val="0"/>
              </w:rPr>
              <w:t>数量指标</w:t>
            </w:r>
          </w:p>
        </w:tc>
        <w:tc>
          <w:tcPr>
            <w:tcW w:w="3103" w:type="dxa"/>
            <w:gridSpan w:val="2"/>
            <w:vAlign w:val="center"/>
          </w:tcPr>
          <w:p>
            <w:pPr>
              <w:widowControl/>
              <w:jc w:val="center"/>
              <w:rPr>
                <w:rFonts w:hint="eastAsia" w:ascii="仿宋_GB2312" w:hAnsi="宋体" w:cs="Times New Roman" w:eastAsiaTheme="minorEastAsia"/>
                <w:kern w:val="0"/>
                <w:lang w:eastAsia="zh-CN"/>
              </w:rPr>
            </w:pPr>
            <w:r>
              <w:rPr>
                <w:rFonts w:hint="eastAsia" w:ascii="宋体" w:hAnsi="宋体" w:cs="仿宋_GB2312"/>
                <w:kern w:val="0"/>
              </w:rPr>
              <w:t>校园足球联赛、运动会、艺术进校园等活动举办</w:t>
            </w:r>
            <w:r>
              <w:rPr>
                <w:rFonts w:hint="eastAsia" w:ascii="宋体" w:hAnsi="宋体" w:cs="仿宋_GB2312"/>
                <w:kern w:val="0"/>
                <w:lang w:val="en-US" w:eastAsia="zh-CN"/>
              </w:rPr>
              <w:t>率</w:t>
            </w:r>
          </w:p>
        </w:tc>
        <w:tc>
          <w:tcPr>
            <w:tcW w:w="1157" w:type="dxa"/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≥28%</w:t>
            </w:r>
          </w:p>
        </w:tc>
        <w:tc>
          <w:tcPr>
            <w:tcW w:w="1068" w:type="dxa"/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30%</w:t>
            </w:r>
          </w:p>
        </w:tc>
        <w:tc>
          <w:tcPr>
            <w:tcW w:w="877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  <w:jc w:val="center"/>
        </w:trPr>
        <w:tc>
          <w:tcPr>
            <w:tcW w:w="994" w:type="dxa"/>
            <w:vMerge w:val="continue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534" w:type="dxa"/>
            <w:vMerge w:val="continue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5" w:type="dxa"/>
            <w:vMerge w:val="continue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</w:rPr>
            </w:pPr>
          </w:p>
        </w:tc>
        <w:tc>
          <w:tcPr>
            <w:tcW w:w="3103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宋体" w:hAnsi="宋体" w:cs="仿宋_GB2312"/>
                <w:kern w:val="0"/>
              </w:rPr>
              <w:t>职业教育改革政策制度数量</w:t>
            </w:r>
          </w:p>
        </w:tc>
        <w:tc>
          <w:tcPr>
            <w:tcW w:w="1157" w:type="dxa"/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2次</w:t>
            </w:r>
          </w:p>
        </w:tc>
        <w:tc>
          <w:tcPr>
            <w:tcW w:w="1068" w:type="dxa"/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3次</w:t>
            </w:r>
          </w:p>
        </w:tc>
        <w:tc>
          <w:tcPr>
            <w:tcW w:w="877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8" w:hRule="atLeast"/>
          <w:jc w:val="center"/>
        </w:trPr>
        <w:tc>
          <w:tcPr>
            <w:tcW w:w="994" w:type="dxa"/>
            <w:vMerge w:val="continue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534" w:type="dxa"/>
            <w:vMerge w:val="continue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5" w:type="dxa"/>
            <w:vMerge w:val="continue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</w:rPr>
            </w:pPr>
          </w:p>
        </w:tc>
        <w:tc>
          <w:tcPr>
            <w:tcW w:w="3103" w:type="dxa"/>
            <w:gridSpan w:val="2"/>
            <w:vAlign w:val="center"/>
          </w:tcPr>
          <w:p>
            <w:pPr>
              <w:widowControl/>
              <w:jc w:val="center"/>
              <w:rPr>
                <w:rFonts w:hint="default" w:ascii="宋体" w:hAnsi="宋体" w:cs="仿宋_GB2312"/>
                <w:kern w:val="0"/>
                <w:lang w:val="en-US" w:eastAsia="zh-CN"/>
              </w:rPr>
            </w:pPr>
            <w:r>
              <w:rPr>
                <w:rFonts w:hint="eastAsia" w:ascii="宋体" w:hAnsi="宋体" w:cs="仿宋_GB2312"/>
                <w:kern w:val="0"/>
                <w:lang w:val="en-US" w:eastAsia="zh-CN"/>
              </w:rPr>
              <w:t>支持教学名师数量</w:t>
            </w:r>
          </w:p>
        </w:tc>
        <w:tc>
          <w:tcPr>
            <w:tcW w:w="1157" w:type="dxa"/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≥30人</w:t>
            </w:r>
          </w:p>
        </w:tc>
        <w:tc>
          <w:tcPr>
            <w:tcW w:w="1068" w:type="dxa"/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36人</w:t>
            </w:r>
          </w:p>
        </w:tc>
        <w:tc>
          <w:tcPr>
            <w:tcW w:w="877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  <w:jc w:val="center"/>
        </w:trPr>
        <w:tc>
          <w:tcPr>
            <w:tcW w:w="994" w:type="dxa"/>
            <w:vMerge w:val="continue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534" w:type="dxa"/>
            <w:vMerge w:val="continue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5" w:type="dxa"/>
            <w:vMerge w:val="restart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</w:rPr>
            </w:pPr>
            <w:r>
              <w:rPr>
                <w:rFonts w:hint="eastAsia" w:ascii="宋体" w:hAnsi="宋体" w:cs="仿宋_GB2312"/>
                <w:kern w:val="0"/>
              </w:rPr>
              <w:t>时效指标</w:t>
            </w:r>
          </w:p>
        </w:tc>
        <w:tc>
          <w:tcPr>
            <w:tcW w:w="3103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宋体" w:hAnsi="宋体" w:cs="仿宋_GB2312"/>
                <w:kern w:val="0"/>
              </w:rPr>
              <w:t>各项任务完成及时率</w:t>
            </w:r>
          </w:p>
        </w:tc>
        <w:tc>
          <w:tcPr>
            <w:tcW w:w="1157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≥</w:t>
            </w:r>
            <w:r>
              <w:rPr>
                <w:rFonts w:hint="eastAsia" w:ascii="宋体" w:hAnsi="宋体" w:cs="仿宋_GB2312"/>
                <w:kern w:val="0"/>
              </w:rPr>
              <w:t>9</w:t>
            </w:r>
            <w:r>
              <w:rPr>
                <w:rFonts w:hint="eastAsia" w:ascii="宋体" w:hAnsi="宋体" w:cs="仿宋_GB2312"/>
                <w:kern w:val="0"/>
                <w:lang w:val="en-US" w:eastAsia="zh-CN"/>
              </w:rPr>
              <w:t>0</w:t>
            </w:r>
            <w:r>
              <w:rPr>
                <w:rFonts w:hint="eastAsia" w:ascii="宋体" w:hAnsi="宋体" w:cs="仿宋_GB2312"/>
                <w:kern w:val="0"/>
              </w:rPr>
              <w:t>%</w:t>
            </w:r>
          </w:p>
        </w:tc>
        <w:tc>
          <w:tcPr>
            <w:tcW w:w="1068" w:type="dxa"/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88%</w:t>
            </w:r>
          </w:p>
        </w:tc>
        <w:tc>
          <w:tcPr>
            <w:tcW w:w="877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  <w:jc w:val="center"/>
        </w:trPr>
        <w:tc>
          <w:tcPr>
            <w:tcW w:w="994" w:type="dxa"/>
            <w:vMerge w:val="continue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534" w:type="dxa"/>
            <w:vMerge w:val="continue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5" w:type="dxa"/>
            <w:vMerge w:val="continue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3103" w:type="dxa"/>
            <w:gridSpan w:val="2"/>
            <w:vAlign w:val="center"/>
          </w:tcPr>
          <w:p>
            <w:pPr>
              <w:widowControl/>
              <w:jc w:val="center"/>
              <w:rPr>
                <w:rFonts w:hint="default" w:ascii="宋体" w:hAnsi="宋体" w:cs="仿宋_GB2312" w:eastAsiaTheme="minorEastAsia"/>
                <w:kern w:val="0"/>
                <w:lang w:val="en-US" w:eastAsia="zh-CN"/>
              </w:rPr>
            </w:pPr>
            <w:r>
              <w:rPr>
                <w:rFonts w:hint="eastAsia" w:ascii="宋体" w:hAnsi="宋体" w:cs="仿宋_GB2312"/>
                <w:kern w:val="0"/>
                <w:lang w:val="en-US" w:eastAsia="zh-CN"/>
              </w:rPr>
              <w:t>设备购置完成及时率</w:t>
            </w:r>
          </w:p>
        </w:tc>
        <w:tc>
          <w:tcPr>
            <w:tcW w:w="1157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≥</w:t>
            </w:r>
            <w:r>
              <w:rPr>
                <w:rFonts w:hint="eastAsia" w:ascii="宋体" w:hAnsi="宋体" w:cs="仿宋_GB2312"/>
                <w:kern w:val="0"/>
              </w:rPr>
              <w:t>9</w:t>
            </w:r>
            <w:r>
              <w:rPr>
                <w:rFonts w:hint="eastAsia" w:ascii="宋体" w:hAnsi="宋体" w:cs="仿宋_GB2312"/>
                <w:kern w:val="0"/>
                <w:lang w:val="en-US" w:eastAsia="zh-CN"/>
              </w:rPr>
              <w:t>0</w:t>
            </w:r>
            <w:r>
              <w:rPr>
                <w:rFonts w:hint="eastAsia" w:ascii="宋体" w:hAnsi="宋体" w:cs="仿宋_GB2312"/>
                <w:kern w:val="0"/>
              </w:rPr>
              <w:t>%</w:t>
            </w:r>
          </w:p>
        </w:tc>
        <w:tc>
          <w:tcPr>
            <w:tcW w:w="1068" w:type="dxa"/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85%</w:t>
            </w:r>
          </w:p>
        </w:tc>
        <w:tc>
          <w:tcPr>
            <w:tcW w:w="877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  <w:jc w:val="center"/>
        </w:trPr>
        <w:tc>
          <w:tcPr>
            <w:tcW w:w="994" w:type="dxa"/>
            <w:vMerge w:val="continue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534" w:type="dxa"/>
            <w:vMerge w:val="continue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5" w:type="dxa"/>
            <w:vMerge w:val="continue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3103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="仿宋_GB2312"/>
                <w:kern w:val="0"/>
              </w:rPr>
              <w:t>修缮改造任务完成率</w:t>
            </w:r>
          </w:p>
        </w:tc>
        <w:tc>
          <w:tcPr>
            <w:tcW w:w="1157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≥</w:t>
            </w:r>
            <w:r>
              <w:rPr>
                <w:rFonts w:hint="eastAsia" w:ascii="宋体" w:hAnsi="宋体" w:cs="仿宋_GB2312"/>
                <w:kern w:val="0"/>
              </w:rPr>
              <w:t>9</w:t>
            </w:r>
            <w:r>
              <w:rPr>
                <w:rFonts w:hint="eastAsia" w:ascii="宋体" w:hAnsi="宋体" w:cs="仿宋_GB2312"/>
                <w:kern w:val="0"/>
                <w:lang w:val="en-US" w:eastAsia="zh-CN"/>
              </w:rPr>
              <w:t>0</w:t>
            </w:r>
            <w:r>
              <w:rPr>
                <w:rFonts w:hint="eastAsia" w:ascii="宋体" w:hAnsi="宋体" w:cs="仿宋_GB2312"/>
                <w:kern w:val="0"/>
              </w:rPr>
              <w:t>%</w:t>
            </w:r>
          </w:p>
        </w:tc>
        <w:tc>
          <w:tcPr>
            <w:tcW w:w="1068" w:type="dxa"/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85%</w:t>
            </w:r>
          </w:p>
        </w:tc>
        <w:tc>
          <w:tcPr>
            <w:tcW w:w="877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  <w:jc w:val="center"/>
        </w:trPr>
        <w:tc>
          <w:tcPr>
            <w:tcW w:w="994" w:type="dxa"/>
            <w:vMerge w:val="continue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534" w:type="dxa"/>
            <w:vMerge w:val="restart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效益指标</w:t>
            </w:r>
          </w:p>
        </w:tc>
        <w:tc>
          <w:tcPr>
            <w:tcW w:w="1215" w:type="dxa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宋体" w:hAnsi="宋体" w:cs="仿宋_GB2312"/>
                <w:kern w:val="0"/>
              </w:rPr>
              <w:t>社会效益指标</w:t>
            </w:r>
          </w:p>
        </w:tc>
        <w:tc>
          <w:tcPr>
            <w:tcW w:w="3103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宋体" w:hAnsi="宋体" w:cs="仿宋_GB2312"/>
                <w:kern w:val="0"/>
              </w:rPr>
              <w:t>改善广大师生员工的教学条件</w:t>
            </w:r>
          </w:p>
        </w:tc>
        <w:tc>
          <w:tcPr>
            <w:tcW w:w="1157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cs="仿宋_GB2312"/>
                <w:kern w:val="0"/>
              </w:rPr>
            </w:pPr>
            <w:r>
              <w:rPr>
                <w:rFonts w:hint="eastAsia" w:ascii="宋体" w:hAnsi="宋体" w:cs="仿宋_GB2312"/>
                <w:kern w:val="0"/>
                <w:lang w:val="en-US" w:eastAsia="zh-CN"/>
              </w:rPr>
              <w:t>较</w:t>
            </w:r>
            <w:r>
              <w:rPr>
                <w:rFonts w:hint="eastAsia" w:ascii="宋体" w:hAnsi="宋体" w:cs="仿宋_GB2312"/>
                <w:kern w:val="0"/>
              </w:rPr>
              <w:t>显著</w:t>
            </w:r>
          </w:p>
        </w:tc>
        <w:tc>
          <w:tcPr>
            <w:tcW w:w="1068" w:type="dxa"/>
            <w:vAlign w:val="center"/>
          </w:tcPr>
          <w:p>
            <w:pPr>
              <w:widowControl/>
              <w:jc w:val="center"/>
              <w:rPr>
                <w:rFonts w:hint="default" w:ascii="宋体" w:hAnsi="宋体" w:cs="仿宋_GB2312"/>
                <w:kern w:val="0"/>
                <w:lang w:val="en-US" w:eastAsia="zh-CN"/>
              </w:rPr>
            </w:pPr>
            <w:r>
              <w:rPr>
                <w:rFonts w:hint="eastAsia" w:ascii="宋体" w:hAnsi="宋体" w:cs="仿宋_GB2312"/>
                <w:kern w:val="0"/>
                <w:lang w:val="en-US" w:eastAsia="zh-CN"/>
              </w:rPr>
              <w:t>显著提高</w:t>
            </w:r>
          </w:p>
        </w:tc>
        <w:tc>
          <w:tcPr>
            <w:tcW w:w="877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cs="仿宋_GB2312" w:eastAsiaTheme="minorEastAsia"/>
                <w:kern w:val="0"/>
                <w:lang w:val="en-US" w:eastAsia="zh-CN"/>
              </w:rPr>
            </w:pPr>
            <w:r>
              <w:rPr>
                <w:rFonts w:hint="eastAsia" w:ascii="宋体" w:hAnsi="宋体" w:cs="仿宋_GB2312"/>
                <w:kern w:val="0"/>
                <w:lang w:val="en-US" w:eastAsia="zh-CN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  <w:jc w:val="center"/>
        </w:trPr>
        <w:tc>
          <w:tcPr>
            <w:tcW w:w="994" w:type="dxa"/>
            <w:vMerge w:val="continue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534" w:type="dxa"/>
            <w:vMerge w:val="continue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5" w:type="dxa"/>
            <w:vMerge w:val="continue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3103" w:type="dxa"/>
            <w:gridSpan w:val="2"/>
            <w:vAlign w:val="center"/>
          </w:tcPr>
          <w:p>
            <w:pPr>
              <w:widowControl/>
              <w:jc w:val="center"/>
              <w:rPr>
                <w:rFonts w:hint="default" w:ascii="宋体" w:hAnsi="宋体" w:cs="仿宋_GB2312"/>
                <w:kern w:val="0"/>
                <w:lang w:val="en-US" w:eastAsia="zh-CN"/>
              </w:rPr>
            </w:pPr>
            <w:r>
              <w:rPr>
                <w:rFonts w:hint="eastAsia" w:ascii="宋体" w:hAnsi="宋体" w:cs="仿宋_GB2312"/>
                <w:kern w:val="0"/>
                <w:lang w:val="en-US" w:eastAsia="zh-CN"/>
              </w:rPr>
              <w:t>受益学校数</w:t>
            </w:r>
          </w:p>
        </w:tc>
        <w:tc>
          <w:tcPr>
            <w:tcW w:w="1157" w:type="dxa"/>
            <w:vAlign w:val="center"/>
          </w:tcPr>
          <w:p>
            <w:pPr>
              <w:widowControl/>
              <w:jc w:val="center"/>
              <w:rPr>
                <w:rFonts w:hint="default" w:ascii="仿宋_GB2312" w:hAnsi="宋体" w:cs="Times New Roman" w:eastAsiaTheme="minorEastAsia"/>
                <w:kern w:val="0"/>
                <w:lang w:val="en-US" w:eastAsia="zh-CN"/>
              </w:rPr>
            </w:pPr>
            <w:r>
              <w:rPr>
                <w:rFonts w:hint="eastAsia" w:ascii="宋体" w:hAnsi="宋体" w:cs="仿宋_GB2312"/>
                <w:kern w:val="0"/>
                <w:lang w:val="en-US" w:eastAsia="zh-CN"/>
              </w:rPr>
              <w:t>=5所</w:t>
            </w:r>
          </w:p>
        </w:tc>
        <w:tc>
          <w:tcPr>
            <w:tcW w:w="1068" w:type="dxa"/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5所</w:t>
            </w:r>
          </w:p>
        </w:tc>
        <w:tc>
          <w:tcPr>
            <w:tcW w:w="877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  <w:jc w:val="center"/>
        </w:trPr>
        <w:tc>
          <w:tcPr>
            <w:tcW w:w="994" w:type="dxa"/>
            <w:vMerge w:val="continue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534" w:type="dxa"/>
            <w:vMerge w:val="continue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5" w:type="dxa"/>
            <w:vMerge w:val="continue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3103" w:type="dxa"/>
            <w:gridSpan w:val="2"/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宋体" w:hAnsi="宋体" w:cs="仿宋_GB2312"/>
                <w:kern w:val="0"/>
                <w:lang w:val="en-US" w:eastAsia="zh-CN"/>
              </w:rPr>
              <w:t>促进优质教育资源共享</w:t>
            </w:r>
          </w:p>
        </w:tc>
        <w:tc>
          <w:tcPr>
            <w:tcW w:w="1157" w:type="dxa"/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范围广</w:t>
            </w:r>
          </w:p>
        </w:tc>
        <w:tc>
          <w:tcPr>
            <w:tcW w:w="1068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范围广</w:t>
            </w:r>
          </w:p>
        </w:tc>
        <w:tc>
          <w:tcPr>
            <w:tcW w:w="877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  <w:jc w:val="center"/>
        </w:trPr>
        <w:tc>
          <w:tcPr>
            <w:tcW w:w="994" w:type="dxa"/>
            <w:vMerge w:val="continue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534" w:type="dxa"/>
            <w:vMerge w:val="continue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5" w:type="dxa"/>
            <w:vMerge w:val="restart"/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宋体" w:hAnsi="宋体" w:cs="仿宋_GB2312"/>
                <w:kern w:val="0"/>
                <w:lang w:val="en-US" w:eastAsia="zh-CN"/>
              </w:rPr>
              <w:t>可持续影响指标</w:t>
            </w:r>
          </w:p>
        </w:tc>
        <w:tc>
          <w:tcPr>
            <w:tcW w:w="3103" w:type="dxa"/>
            <w:gridSpan w:val="2"/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宋体" w:hAnsi="宋体" w:cs="仿宋_GB2312"/>
                <w:kern w:val="0"/>
                <w:lang w:val="en-US" w:eastAsia="zh-CN"/>
              </w:rPr>
              <w:t>房屋修缮类项目持续发挥作用期限</w:t>
            </w:r>
          </w:p>
        </w:tc>
        <w:tc>
          <w:tcPr>
            <w:tcW w:w="1157" w:type="dxa"/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≥</w:t>
            </w:r>
            <w:r>
              <w:rPr>
                <w:rFonts w:hint="eastAsia" w:ascii="宋体" w:hAnsi="宋体" w:eastAsia="仿宋_GB2312" w:cs="仿宋_GB2312"/>
                <w:kern w:val="0"/>
                <w:lang w:val="en-US" w:eastAsia="zh-CN"/>
              </w:rPr>
              <w:t>10年</w:t>
            </w:r>
          </w:p>
        </w:tc>
        <w:tc>
          <w:tcPr>
            <w:tcW w:w="1068" w:type="dxa"/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10年</w:t>
            </w:r>
          </w:p>
        </w:tc>
        <w:tc>
          <w:tcPr>
            <w:tcW w:w="877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  <w:jc w:val="center"/>
        </w:trPr>
        <w:tc>
          <w:tcPr>
            <w:tcW w:w="994" w:type="dxa"/>
            <w:vMerge w:val="continue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534" w:type="dxa"/>
            <w:vMerge w:val="continue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5" w:type="dxa"/>
            <w:vMerge w:val="continue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3103" w:type="dxa"/>
            <w:gridSpan w:val="2"/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宋体" w:hAnsi="宋体" w:cs="仿宋_GB2312"/>
                <w:kern w:val="0"/>
                <w:lang w:val="en-US" w:eastAsia="zh-CN"/>
              </w:rPr>
              <w:t>设备购置类项目持续发挥作用期限</w:t>
            </w:r>
          </w:p>
        </w:tc>
        <w:tc>
          <w:tcPr>
            <w:tcW w:w="1157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≥</w:t>
            </w:r>
            <w:r>
              <w:rPr>
                <w:rFonts w:hint="eastAsia" w:ascii="宋体" w:hAnsi="宋体" w:eastAsia="仿宋_GB2312" w:cs="仿宋_GB2312"/>
                <w:kern w:val="0"/>
                <w:lang w:val="en-US" w:eastAsia="zh-CN"/>
              </w:rPr>
              <w:t>10年</w:t>
            </w:r>
          </w:p>
        </w:tc>
        <w:tc>
          <w:tcPr>
            <w:tcW w:w="1068" w:type="dxa"/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10年</w:t>
            </w:r>
          </w:p>
        </w:tc>
        <w:tc>
          <w:tcPr>
            <w:tcW w:w="877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  <w:jc w:val="center"/>
        </w:trPr>
        <w:tc>
          <w:tcPr>
            <w:tcW w:w="994" w:type="dxa"/>
            <w:vMerge w:val="continue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534" w:type="dxa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Times New Roman"/>
                <w:kern w:val="0"/>
              </w:rPr>
              <w:t>满意度指标</w:t>
            </w:r>
          </w:p>
        </w:tc>
        <w:tc>
          <w:tcPr>
            <w:tcW w:w="1215" w:type="dxa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宋体" w:hAnsi="宋体"/>
                <w:kern w:val="0"/>
              </w:rPr>
              <w:t>满意度指标</w:t>
            </w:r>
          </w:p>
        </w:tc>
        <w:tc>
          <w:tcPr>
            <w:tcW w:w="3103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宋体" w:hAnsi="宋体" w:cs="仿宋_GB2312"/>
                <w:kern w:val="0"/>
              </w:rPr>
              <w:t>教职工</w:t>
            </w:r>
            <w:r>
              <w:rPr>
                <w:rFonts w:hint="eastAsia" w:ascii="宋体" w:hAnsi="宋体" w:cs="仿宋_GB2312"/>
                <w:kern w:val="0"/>
                <w:lang w:val="en-US" w:eastAsia="zh-CN"/>
              </w:rPr>
              <w:t>对项目实施</w:t>
            </w:r>
            <w:r>
              <w:rPr>
                <w:rFonts w:hint="eastAsia" w:ascii="宋体" w:hAnsi="宋体" w:cs="仿宋_GB2312"/>
                <w:kern w:val="0"/>
              </w:rPr>
              <w:t>满意度指标</w:t>
            </w:r>
          </w:p>
        </w:tc>
        <w:tc>
          <w:tcPr>
            <w:tcW w:w="1157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≥</w:t>
            </w:r>
            <w:r>
              <w:rPr>
                <w:rFonts w:hint="eastAsia" w:ascii="宋体" w:hAnsi="宋体" w:cs="仿宋_GB2312"/>
                <w:kern w:val="0"/>
              </w:rPr>
              <w:t>9</w:t>
            </w:r>
            <w:r>
              <w:rPr>
                <w:rFonts w:hint="eastAsia" w:ascii="宋体" w:hAnsi="宋体" w:cs="仿宋_GB2312"/>
                <w:kern w:val="0"/>
                <w:lang w:val="en-US" w:eastAsia="zh-CN"/>
              </w:rPr>
              <w:t>2</w:t>
            </w:r>
            <w:r>
              <w:rPr>
                <w:rFonts w:hint="eastAsia" w:ascii="宋体" w:hAnsi="宋体" w:cs="仿宋_GB2312"/>
                <w:kern w:val="0"/>
              </w:rPr>
              <w:t>%</w:t>
            </w:r>
          </w:p>
        </w:tc>
        <w:tc>
          <w:tcPr>
            <w:tcW w:w="1068" w:type="dxa"/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95%</w:t>
            </w:r>
          </w:p>
        </w:tc>
        <w:tc>
          <w:tcPr>
            <w:tcW w:w="877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  <w:jc w:val="center"/>
        </w:trPr>
        <w:tc>
          <w:tcPr>
            <w:tcW w:w="994" w:type="dxa"/>
            <w:vMerge w:val="continue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534" w:type="dxa"/>
            <w:vMerge w:val="continue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5" w:type="dxa"/>
            <w:vMerge w:val="continue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仿宋_GB2312"/>
                <w:kern w:val="0"/>
              </w:rPr>
            </w:pPr>
          </w:p>
        </w:tc>
        <w:tc>
          <w:tcPr>
            <w:tcW w:w="3103" w:type="dxa"/>
            <w:gridSpan w:val="2"/>
            <w:vAlign w:val="center"/>
          </w:tcPr>
          <w:p>
            <w:pPr>
              <w:widowControl/>
              <w:jc w:val="center"/>
              <w:rPr>
                <w:rFonts w:hint="eastAsia" w:ascii="宋体" w:hAnsi="宋体" w:cs="仿宋_GB2312"/>
                <w:kern w:val="0"/>
              </w:rPr>
            </w:pPr>
            <w:r>
              <w:rPr>
                <w:rFonts w:hint="eastAsia" w:ascii="宋体" w:hAnsi="宋体" w:cs="仿宋_GB2312"/>
                <w:kern w:val="0"/>
                <w:lang w:val="en-US" w:eastAsia="zh-CN"/>
              </w:rPr>
              <w:t>学校</w:t>
            </w:r>
            <w:r>
              <w:rPr>
                <w:rFonts w:hint="eastAsia" w:ascii="宋体" w:hAnsi="宋体" w:cs="仿宋_GB2312"/>
                <w:kern w:val="0"/>
              </w:rPr>
              <w:t>、家长满意度指标</w:t>
            </w:r>
          </w:p>
        </w:tc>
        <w:tc>
          <w:tcPr>
            <w:tcW w:w="1157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≥</w:t>
            </w:r>
            <w:r>
              <w:rPr>
                <w:rFonts w:hint="eastAsia" w:ascii="宋体" w:hAnsi="宋体" w:eastAsia="仿宋_GB2312" w:cs="仿宋_GB2312"/>
                <w:kern w:val="0"/>
                <w:lang w:val="en-US" w:eastAsia="zh-CN"/>
              </w:rPr>
              <w:t>85</w:t>
            </w:r>
            <w:r>
              <w:rPr>
                <w:rFonts w:hint="eastAsia" w:ascii="宋体" w:hAnsi="宋体" w:cs="仿宋_GB2312"/>
                <w:kern w:val="0"/>
              </w:rPr>
              <w:t>%</w:t>
            </w:r>
          </w:p>
        </w:tc>
        <w:tc>
          <w:tcPr>
            <w:tcW w:w="1068" w:type="dxa"/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90%</w:t>
            </w:r>
          </w:p>
        </w:tc>
        <w:tc>
          <w:tcPr>
            <w:tcW w:w="877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  <w:jc w:val="center"/>
        </w:trPr>
        <w:tc>
          <w:tcPr>
            <w:tcW w:w="994" w:type="dxa"/>
            <w:vMerge w:val="continue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534" w:type="dxa"/>
            <w:vMerge w:val="continue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5" w:type="dxa"/>
            <w:vMerge w:val="continue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仿宋_GB2312"/>
                <w:kern w:val="0"/>
              </w:rPr>
            </w:pPr>
          </w:p>
        </w:tc>
        <w:tc>
          <w:tcPr>
            <w:tcW w:w="3103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宋体" w:hAnsi="宋体" w:cs="仿宋_GB2312"/>
                <w:kern w:val="0"/>
              </w:rPr>
              <w:t>学生满意度指标</w:t>
            </w:r>
          </w:p>
        </w:tc>
        <w:tc>
          <w:tcPr>
            <w:tcW w:w="1157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≥</w:t>
            </w:r>
            <w:r>
              <w:rPr>
                <w:rFonts w:hint="eastAsia" w:ascii="宋体" w:hAnsi="宋体" w:cs="仿宋_GB2312"/>
                <w:kern w:val="0"/>
              </w:rPr>
              <w:t>9</w:t>
            </w:r>
            <w:r>
              <w:rPr>
                <w:rFonts w:hint="eastAsia" w:ascii="宋体" w:hAnsi="宋体" w:cs="仿宋_GB2312"/>
                <w:kern w:val="0"/>
                <w:lang w:val="en-US" w:eastAsia="zh-CN"/>
              </w:rPr>
              <w:t>2</w:t>
            </w:r>
            <w:r>
              <w:rPr>
                <w:rFonts w:hint="eastAsia" w:ascii="宋体" w:hAnsi="宋体" w:cs="仿宋_GB2312"/>
                <w:kern w:val="0"/>
              </w:rPr>
              <w:t>%</w:t>
            </w:r>
          </w:p>
        </w:tc>
        <w:tc>
          <w:tcPr>
            <w:tcW w:w="1068" w:type="dxa"/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95%</w:t>
            </w:r>
          </w:p>
        </w:tc>
        <w:tc>
          <w:tcPr>
            <w:tcW w:w="877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  <w:jc w:val="center"/>
        </w:trPr>
        <w:tc>
          <w:tcPr>
            <w:tcW w:w="1528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年度绩效目标</w:t>
            </w:r>
            <w:r>
              <w:rPr>
                <w:rFonts w:ascii="仿宋_GB2312" w:hAnsi="宋体" w:eastAsia="仿宋_GB2312" w:cs="仿宋_GB2312"/>
                <w:kern w:val="0"/>
              </w:rPr>
              <w:t>2</w:t>
            </w:r>
          </w:p>
        </w:tc>
        <w:tc>
          <w:tcPr>
            <w:tcW w:w="7420" w:type="dxa"/>
            <w:gridSpan w:val="6"/>
            <w:vAlign w:val="center"/>
          </w:tcPr>
          <w:p>
            <w:pPr>
              <w:widowControl/>
              <w:snapToGrid w:val="0"/>
              <w:rPr>
                <w:rFonts w:ascii="宋体" w:hAnsi="宋体"/>
                <w:kern w:val="0"/>
              </w:rPr>
            </w:pPr>
            <w:r>
              <w:rPr>
                <w:rFonts w:hint="eastAsia" w:ascii="宋体" w:hAnsi="宋体" w:cs="仿宋_GB2312"/>
                <w:kern w:val="0"/>
              </w:rPr>
              <w:t>目标</w:t>
            </w:r>
            <w:r>
              <w:rPr>
                <w:rFonts w:ascii="宋体" w:hAnsi="宋体" w:cs="仿宋_GB2312"/>
                <w:kern w:val="0"/>
              </w:rPr>
              <w:t>1</w:t>
            </w:r>
            <w:r>
              <w:rPr>
                <w:rFonts w:hint="eastAsia" w:ascii="宋体" w:hAnsi="宋体" w:cs="仿宋_GB2312"/>
                <w:kern w:val="0"/>
              </w:rPr>
              <w:t>：推进义务教育均衡发展的促进教育公平，提升学校的办学标准、教学基本要求、教学基本条件。</w:t>
            </w:r>
          </w:p>
          <w:p>
            <w:pPr>
              <w:widowControl/>
              <w:snapToGrid w:val="0"/>
              <w:rPr>
                <w:rFonts w:ascii="宋体" w:hAnsi="宋体"/>
                <w:kern w:val="0"/>
              </w:rPr>
            </w:pPr>
            <w:r>
              <w:rPr>
                <w:rFonts w:hint="eastAsia" w:ascii="宋体" w:hAnsi="宋体" w:cs="仿宋_GB2312"/>
                <w:kern w:val="0"/>
              </w:rPr>
              <w:t>目标</w:t>
            </w:r>
            <w:r>
              <w:rPr>
                <w:rFonts w:ascii="宋体" w:hAnsi="宋体" w:cs="仿宋_GB2312"/>
                <w:kern w:val="0"/>
              </w:rPr>
              <w:t>2</w:t>
            </w:r>
            <w:r>
              <w:rPr>
                <w:rFonts w:hint="eastAsia" w:ascii="宋体" w:hAnsi="宋体" w:cs="仿宋_GB2312"/>
                <w:kern w:val="0"/>
              </w:rPr>
              <w:t>：让基础教育教学质量提升。</w:t>
            </w:r>
          </w:p>
          <w:p>
            <w:pPr>
              <w:widowControl/>
              <w:snapToGrid w:val="0"/>
              <w:rPr>
                <w:rFonts w:hint="eastAsia" w:ascii="宋体" w:hAnsi="宋体" w:cs="仿宋_GB2312"/>
                <w:kern w:val="0"/>
              </w:rPr>
            </w:pPr>
            <w:r>
              <w:rPr>
                <w:rFonts w:hint="eastAsia" w:ascii="宋体" w:hAnsi="宋体" w:cs="仿宋_GB2312"/>
                <w:kern w:val="0"/>
              </w:rPr>
              <w:t>目标</w:t>
            </w:r>
            <w:r>
              <w:rPr>
                <w:rFonts w:ascii="宋体" w:hAnsi="宋体" w:cs="仿宋_GB2312"/>
                <w:kern w:val="0"/>
              </w:rPr>
              <w:t>3</w:t>
            </w:r>
            <w:r>
              <w:rPr>
                <w:rFonts w:hint="eastAsia" w:ascii="宋体" w:hAnsi="宋体" w:cs="仿宋_GB2312"/>
                <w:kern w:val="0"/>
              </w:rPr>
              <w:t>：会同有关部门制定教育经费筹措、教育预算标准的政采和办法，管理使用教育拨款及其他教育资金。</w:t>
            </w:r>
          </w:p>
          <w:p>
            <w:pPr>
              <w:widowControl/>
              <w:snapToGrid w:val="0"/>
              <w:rPr>
                <w:rFonts w:hint="eastAsia" w:ascii="宋体" w:hAnsi="宋体" w:cs="仿宋_GB2312"/>
                <w:kern w:val="0"/>
              </w:rPr>
            </w:pPr>
            <w:r>
              <w:rPr>
                <w:rFonts w:hint="eastAsia" w:ascii="宋体" w:hAnsi="宋体" w:cs="仿宋_GB2312"/>
                <w:kern w:val="0"/>
              </w:rPr>
              <w:t>目标4：规划指导全市各级各类学校的社会治安综合治理、学校文明创建等工作。</w:t>
            </w:r>
          </w:p>
          <w:p>
            <w:pPr>
              <w:widowControl/>
              <w:snapToGrid w:val="0"/>
              <w:rPr>
                <w:rFonts w:hint="eastAsia" w:ascii="宋体" w:hAnsi="宋体" w:cs="仿宋_GB2312"/>
                <w:kern w:val="0"/>
              </w:rPr>
            </w:pPr>
            <w:r>
              <w:rPr>
                <w:rFonts w:hint="eastAsia" w:ascii="宋体" w:hAnsi="宋体" w:cs="仿宋_GB2312"/>
                <w:kern w:val="0"/>
              </w:rPr>
              <w:t>目标5：各级各类学校的思想政治教育工作、德育工作、体育卫生艺术教育和国防教育工作。</w:t>
            </w:r>
          </w:p>
          <w:p>
            <w:pPr>
              <w:widowControl/>
              <w:snapToGrid w:val="0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宋体" w:hAnsi="宋体" w:cs="仿宋_GB2312"/>
                <w:kern w:val="0"/>
              </w:rPr>
              <w:t>目标6：指导以就业为导向的职业教育的发展与改革。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  <w:jc w:val="center"/>
        </w:trPr>
        <w:tc>
          <w:tcPr>
            <w:tcW w:w="994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总分</w:t>
            </w:r>
          </w:p>
        </w:tc>
        <w:tc>
          <w:tcPr>
            <w:tcW w:w="7954" w:type="dxa"/>
            <w:gridSpan w:val="7"/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95.76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2" w:hRule="atLeast"/>
          <w:jc w:val="center"/>
        </w:trPr>
        <w:tc>
          <w:tcPr>
            <w:tcW w:w="1528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偏差大或</w:t>
            </w:r>
          </w:p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目标未完成</w:t>
            </w:r>
          </w:p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原因分析</w:t>
            </w:r>
          </w:p>
        </w:tc>
        <w:tc>
          <w:tcPr>
            <w:tcW w:w="7420" w:type="dxa"/>
            <w:gridSpan w:val="6"/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8" w:hRule="atLeast"/>
          <w:jc w:val="center"/>
        </w:trPr>
        <w:tc>
          <w:tcPr>
            <w:tcW w:w="1528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改进措施及</w:t>
            </w:r>
          </w:p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结果应用方案</w:t>
            </w:r>
          </w:p>
        </w:tc>
        <w:tc>
          <w:tcPr>
            <w:tcW w:w="7420" w:type="dxa"/>
            <w:gridSpan w:val="6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  <w:t>做好财政预算收入、支出以及各项目的管理工作，对预算的资金进行全方位的监督和管理，使每一笔资金都能起到最大的使用效益。</w:t>
            </w:r>
          </w:p>
        </w:tc>
      </w:tr>
    </w:tbl>
    <w:p>
      <w:pPr>
        <w:numPr>
          <w:ilvl w:val="0"/>
          <w:numId w:val="0"/>
        </w:numPr>
        <w:ind w:left="0" w:leftChars="0" w:firstLine="0" w:firstLineChars="0"/>
        <w:jc w:val="both"/>
        <w:rPr>
          <w:rFonts w:hint="eastAsia" w:ascii="方正小标宋简体" w:hAnsi="方正小标宋简体" w:eastAsia="方正小标宋简体" w:cs="方正小标宋简体"/>
          <w:kern w:val="2"/>
          <w:sz w:val="40"/>
          <w:szCs w:val="40"/>
          <w:lang w:val="en-US" w:eastAsia="zh-CN" w:bidi="ar-SA"/>
        </w:rPr>
      </w:pPr>
    </w:p>
    <w:p>
      <w:pPr>
        <w:numPr>
          <w:ilvl w:val="0"/>
          <w:numId w:val="0"/>
        </w:numPr>
        <w:ind w:left="0" w:leftChars="0" w:firstLine="0" w:firstLineChars="0"/>
        <w:jc w:val="both"/>
        <w:rPr>
          <w:rFonts w:hint="eastAsia" w:ascii="方正小标宋简体" w:hAnsi="方正小标宋简体" w:eastAsia="方正小标宋简体" w:cs="方正小标宋简体"/>
          <w:kern w:val="2"/>
          <w:sz w:val="40"/>
          <w:szCs w:val="40"/>
          <w:lang w:val="en-US" w:eastAsia="zh-CN" w:bidi="ar-SA"/>
        </w:rPr>
      </w:pPr>
      <w:r>
        <w:rPr>
          <w:rFonts w:hint="eastAsia" w:ascii="方正小标宋简体" w:hAnsi="方正小标宋简体" w:eastAsia="方正小标宋简体" w:cs="方正小标宋简体"/>
          <w:kern w:val="2"/>
          <w:sz w:val="40"/>
          <w:szCs w:val="40"/>
          <w:lang w:val="en-US" w:eastAsia="zh-CN" w:bidi="ar-SA"/>
        </w:rPr>
        <w:t>第七部分  鄂州市教育局2021（汇总）年部门项目总体绩效自评结果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一、自评结论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</w:rPr>
        <w:t>（一）部门整体绩效自评得分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为95.76分。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（二）部门整体绩效目标完成情况</w:t>
      </w:r>
    </w:p>
    <w:p>
      <w:pPr>
        <w:spacing w:line="580" w:lineRule="exact"/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、城区义务教师招生信息平台建设、核算中心运行经费、湖北文化鄂州篇和综合实践包、教师培训及招聘、教育扶贫控辍保学送教上门、名校长工程专项费用、市直义务教育学校优质均衡发展专项经费、体卫艺活动经费、校园安全及评估经费、校园监控指挥平台建设等共73个项目执行率平均均为96%。</w:t>
      </w:r>
    </w:p>
    <w:p>
      <w:pPr>
        <w:spacing w:line="58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2、城区义务教师招生信息平台建设、核算中心运行经费、湖北文化鄂州篇和综合实践包、教师培训及招聘、教育扶贫控辍保学送教上门、名校长工程专项费用、市直义务教育学校优质均衡发展专项经费、体卫艺活动经费、校园安全及评估经费、校园监控指挥平台建设等共73个项目年初设置的绩效目标已基本全部完成。 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（三）存在的问题和原因</w:t>
      </w:r>
    </w:p>
    <w:p>
      <w:pPr>
        <w:spacing w:line="58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我部门依据2020年度项目绩效目标完成情况，及时调整2021年项目预算金额，按照轻重缓急、统筹兼顾的原则安排使用，保证开展日常教学活动所需的基本开支。由于绩效管理的经验不足，仍存在预算编制不够细化，过于笼统，项目金额无法满足单位需求的问题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（四）下一步工作打算</w:t>
      </w:r>
    </w:p>
    <w:p>
      <w:pPr>
        <w:shd w:val="clear" w:color="auto" w:fill="FFFFFF"/>
        <w:ind w:firstLine="600" w:firstLineChars="200"/>
        <w:jc w:val="left"/>
        <w:rPr>
          <w:rFonts w:hint="eastAsia" w:ascii="仿宋" w:hAnsi="仿宋" w:eastAsia="仿宋" w:cs="仿宋"/>
          <w:color w:val="000000"/>
          <w:kern w:val="0"/>
          <w:sz w:val="30"/>
          <w:szCs w:val="30"/>
        </w:rPr>
      </w:pPr>
      <w:r>
        <w:rPr>
          <w:rFonts w:hint="eastAsia" w:ascii="仿宋" w:hAnsi="仿宋" w:eastAsia="仿宋" w:cs="仿宋"/>
          <w:color w:val="000000"/>
          <w:kern w:val="0"/>
          <w:sz w:val="30"/>
          <w:szCs w:val="30"/>
        </w:rPr>
        <w:t>1．</w:t>
      </w:r>
      <w:r>
        <w:rPr>
          <w:rFonts w:hint="eastAsia" w:ascii="仿宋" w:hAnsi="仿宋" w:eastAsia="仿宋" w:cs="仿宋"/>
          <w:color w:val="000000"/>
          <w:kern w:val="0"/>
          <w:sz w:val="30"/>
          <w:szCs w:val="30"/>
          <w:lang w:val="en-US" w:eastAsia="zh-CN"/>
        </w:rPr>
        <w:t>部门</w:t>
      </w:r>
      <w:r>
        <w:rPr>
          <w:rFonts w:hint="eastAsia" w:ascii="仿宋" w:hAnsi="仿宋" w:eastAsia="仿宋" w:cs="仿宋"/>
          <w:color w:val="000000"/>
          <w:kern w:val="0"/>
          <w:sz w:val="30"/>
          <w:szCs w:val="30"/>
        </w:rPr>
        <w:t>预算实行“统一领导，分级管理，权责结合”的管理体制。</w:t>
      </w:r>
      <w:r>
        <w:rPr>
          <w:rFonts w:hint="eastAsia" w:ascii="仿宋" w:hAnsi="仿宋" w:eastAsia="仿宋" w:cs="仿宋"/>
          <w:color w:val="000000"/>
          <w:kern w:val="0"/>
          <w:sz w:val="30"/>
          <w:szCs w:val="30"/>
          <w:lang w:val="en-US" w:eastAsia="zh-CN"/>
        </w:rPr>
        <w:t>单位</w:t>
      </w:r>
      <w:r>
        <w:rPr>
          <w:rFonts w:hint="eastAsia" w:ascii="仿宋" w:hAnsi="仿宋" w:eastAsia="仿宋" w:cs="仿宋"/>
          <w:color w:val="000000"/>
          <w:kern w:val="0"/>
          <w:sz w:val="30"/>
          <w:szCs w:val="30"/>
        </w:rPr>
        <w:t>预算编制要遵循“量入为出，收支平衡”的总原则，根据</w:t>
      </w:r>
      <w:r>
        <w:rPr>
          <w:rFonts w:hint="eastAsia" w:ascii="仿宋" w:hAnsi="仿宋" w:eastAsia="仿宋" w:cs="仿宋"/>
          <w:color w:val="000000"/>
          <w:kern w:val="0"/>
          <w:sz w:val="30"/>
          <w:szCs w:val="30"/>
          <w:lang w:val="en-US" w:eastAsia="zh-CN"/>
        </w:rPr>
        <w:t>单位</w:t>
      </w:r>
      <w:r>
        <w:rPr>
          <w:rFonts w:hint="eastAsia" w:ascii="仿宋" w:hAnsi="仿宋" w:eastAsia="仿宋" w:cs="仿宋"/>
          <w:color w:val="000000"/>
          <w:kern w:val="0"/>
          <w:sz w:val="30"/>
          <w:szCs w:val="30"/>
        </w:rPr>
        <w:t>发展规划和预算年度</w:t>
      </w:r>
      <w:r>
        <w:rPr>
          <w:rFonts w:hint="eastAsia" w:ascii="仿宋" w:hAnsi="仿宋" w:eastAsia="仿宋" w:cs="仿宋"/>
          <w:color w:val="000000"/>
          <w:kern w:val="0"/>
          <w:sz w:val="30"/>
          <w:szCs w:val="30"/>
          <w:lang w:val="en-US" w:eastAsia="zh-CN"/>
        </w:rPr>
        <w:t>单位</w:t>
      </w:r>
      <w:r>
        <w:rPr>
          <w:rFonts w:hint="eastAsia" w:ascii="仿宋" w:hAnsi="仿宋" w:eastAsia="仿宋" w:cs="仿宋"/>
          <w:color w:val="000000"/>
          <w:kern w:val="0"/>
          <w:sz w:val="30"/>
          <w:szCs w:val="30"/>
        </w:rPr>
        <w:t>的收入情况，统筹合理安排支出项目，不搞赤字预算。</w:t>
      </w:r>
    </w:p>
    <w:p>
      <w:pPr>
        <w:shd w:val="clear" w:color="auto" w:fill="FFFFFF"/>
        <w:ind w:firstLine="600" w:firstLineChars="200"/>
        <w:jc w:val="left"/>
        <w:rPr>
          <w:rFonts w:hint="eastAsia" w:ascii="仿宋" w:hAnsi="仿宋" w:eastAsia="仿宋" w:cs="仿宋"/>
          <w:color w:val="000000"/>
          <w:kern w:val="0"/>
          <w:sz w:val="30"/>
          <w:szCs w:val="30"/>
        </w:rPr>
      </w:pPr>
      <w:r>
        <w:rPr>
          <w:rFonts w:hint="eastAsia" w:ascii="仿宋" w:hAnsi="仿宋" w:eastAsia="仿宋" w:cs="仿宋"/>
          <w:color w:val="000000"/>
          <w:kern w:val="0"/>
          <w:sz w:val="30"/>
          <w:szCs w:val="30"/>
          <w:lang w:val="en-US" w:eastAsia="zh-CN"/>
        </w:rPr>
        <w:t>2</w:t>
      </w:r>
      <w:r>
        <w:rPr>
          <w:rFonts w:hint="eastAsia" w:ascii="仿宋" w:hAnsi="仿宋" w:eastAsia="仿宋" w:cs="仿宋"/>
          <w:color w:val="000000"/>
          <w:kern w:val="0"/>
          <w:sz w:val="30"/>
          <w:szCs w:val="30"/>
        </w:rPr>
        <w:t>．做好预算编制前期准备工作。要分析上年度预算执行情况，通过实际情况与预算的对比，摸索收支规律，为本年度的预算编制打下基础；要了解和掌握预算年度事业发展计划及其资金供需情况，以便安排支出预算时做到保证重点，兼顾一般。</w:t>
      </w:r>
    </w:p>
    <w:p>
      <w:pPr>
        <w:shd w:val="clear" w:color="auto" w:fill="FFFFFF"/>
        <w:ind w:firstLine="600" w:firstLineChars="200"/>
        <w:jc w:val="left"/>
        <w:rPr>
          <w:rFonts w:hint="eastAsia" w:ascii="仿宋" w:hAnsi="仿宋" w:eastAsia="仿宋" w:cs="仿宋"/>
          <w:color w:val="000000"/>
          <w:kern w:val="0"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color w:val="000000"/>
          <w:kern w:val="0"/>
          <w:sz w:val="30"/>
          <w:szCs w:val="30"/>
          <w:lang w:val="en-US" w:eastAsia="zh-CN"/>
        </w:rPr>
        <w:t>3</w:t>
      </w:r>
      <w:r>
        <w:rPr>
          <w:rFonts w:hint="eastAsia" w:ascii="仿宋" w:hAnsi="仿宋" w:eastAsia="仿宋" w:cs="仿宋"/>
          <w:color w:val="000000"/>
          <w:kern w:val="0"/>
          <w:sz w:val="30"/>
          <w:szCs w:val="30"/>
        </w:rPr>
        <w:t>．预算的编制要坚持稳健的原则，尽可能排除收入的不确定因素，不将上年非经常性的收入作为预算年度的收入依据。收入预算的编制按来源测算：在编制财政补助收入时应根据有关政策法规、人员工资标准及市公用经费定额标准编列</w:t>
      </w:r>
      <w:r>
        <w:rPr>
          <w:rFonts w:hint="eastAsia" w:ascii="仿宋" w:hAnsi="仿宋" w:eastAsia="仿宋" w:cs="仿宋"/>
          <w:color w:val="000000"/>
          <w:kern w:val="0"/>
          <w:sz w:val="30"/>
          <w:szCs w:val="30"/>
          <w:lang w:eastAsia="zh-CN"/>
        </w:rPr>
        <w:t>。</w:t>
      </w:r>
    </w:p>
    <w:p>
      <w:pPr>
        <w:shd w:val="clear" w:color="auto" w:fill="FFFFFF"/>
        <w:ind w:firstLine="600" w:firstLineChars="200"/>
        <w:jc w:val="left"/>
        <w:rPr>
          <w:rFonts w:hint="eastAsia" w:ascii="仿宋" w:hAnsi="仿宋" w:eastAsia="仿宋" w:cs="仿宋"/>
          <w:color w:val="000000"/>
          <w:kern w:val="0"/>
          <w:sz w:val="30"/>
          <w:szCs w:val="30"/>
        </w:rPr>
      </w:pPr>
      <w:r>
        <w:rPr>
          <w:rFonts w:hint="eastAsia" w:ascii="仿宋" w:hAnsi="仿宋" w:eastAsia="仿宋" w:cs="仿宋"/>
          <w:color w:val="000000"/>
          <w:kern w:val="0"/>
          <w:sz w:val="30"/>
          <w:szCs w:val="30"/>
          <w:lang w:val="en-US" w:eastAsia="zh-CN"/>
        </w:rPr>
        <w:t>4</w:t>
      </w:r>
      <w:r>
        <w:rPr>
          <w:rFonts w:hint="eastAsia" w:ascii="仿宋" w:hAnsi="仿宋" w:eastAsia="仿宋" w:cs="仿宋"/>
          <w:color w:val="000000"/>
          <w:kern w:val="0"/>
          <w:sz w:val="30"/>
          <w:szCs w:val="30"/>
        </w:rPr>
        <w:t>．预算的编制要坚持统筹兼顾、保证重点、勤俭节约的原则，各</w:t>
      </w:r>
      <w:r>
        <w:rPr>
          <w:rFonts w:hint="eastAsia" w:ascii="仿宋" w:hAnsi="仿宋" w:eastAsia="仿宋" w:cs="仿宋"/>
          <w:color w:val="000000"/>
          <w:kern w:val="0"/>
          <w:sz w:val="30"/>
          <w:szCs w:val="30"/>
          <w:lang w:val="en-US" w:eastAsia="zh-CN"/>
        </w:rPr>
        <w:t>科室</w:t>
      </w:r>
      <w:r>
        <w:rPr>
          <w:rFonts w:hint="eastAsia" w:ascii="仿宋" w:hAnsi="仿宋" w:eastAsia="仿宋" w:cs="仿宋"/>
          <w:color w:val="000000"/>
          <w:kern w:val="0"/>
          <w:sz w:val="30"/>
          <w:szCs w:val="30"/>
        </w:rPr>
        <w:t>应根据</w:t>
      </w:r>
      <w:r>
        <w:rPr>
          <w:rFonts w:hint="eastAsia" w:ascii="仿宋" w:hAnsi="仿宋" w:eastAsia="仿宋" w:cs="仿宋"/>
          <w:color w:val="000000"/>
          <w:kern w:val="0"/>
          <w:sz w:val="30"/>
          <w:szCs w:val="30"/>
          <w:lang w:val="en-US" w:eastAsia="zh-CN"/>
        </w:rPr>
        <w:t>各科室</w:t>
      </w:r>
      <w:r>
        <w:rPr>
          <w:rFonts w:hint="eastAsia" w:ascii="仿宋" w:hAnsi="仿宋" w:eastAsia="仿宋" w:cs="仿宋"/>
          <w:color w:val="000000"/>
          <w:kern w:val="0"/>
          <w:sz w:val="30"/>
          <w:szCs w:val="30"/>
        </w:rPr>
        <w:t>的年度工作计划，参照上年度本</w:t>
      </w:r>
      <w:r>
        <w:rPr>
          <w:rFonts w:hint="eastAsia" w:ascii="仿宋" w:hAnsi="仿宋" w:eastAsia="仿宋" w:cs="仿宋"/>
          <w:color w:val="000000"/>
          <w:kern w:val="0"/>
          <w:sz w:val="30"/>
          <w:szCs w:val="30"/>
          <w:lang w:val="en-US" w:eastAsia="zh-CN"/>
        </w:rPr>
        <w:t>部门</w:t>
      </w:r>
      <w:r>
        <w:rPr>
          <w:rFonts w:hint="eastAsia" w:ascii="仿宋" w:hAnsi="仿宋" w:eastAsia="仿宋" w:cs="仿宋"/>
          <w:color w:val="000000"/>
          <w:kern w:val="0"/>
          <w:sz w:val="30"/>
          <w:szCs w:val="30"/>
        </w:rPr>
        <w:t>各项实际开支，考虑可能出现的变化因素，先自行作出本</w:t>
      </w:r>
      <w:r>
        <w:rPr>
          <w:rFonts w:hint="eastAsia" w:ascii="仿宋" w:hAnsi="仿宋" w:eastAsia="仿宋" w:cs="仿宋"/>
          <w:color w:val="000000"/>
          <w:kern w:val="0"/>
          <w:sz w:val="30"/>
          <w:szCs w:val="30"/>
          <w:lang w:val="en-US" w:eastAsia="zh-CN"/>
        </w:rPr>
        <w:t>单位</w:t>
      </w:r>
      <w:r>
        <w:rPr>
          <w:rFonts w:hint="eastAsia" w:ascii="仿宋" w:hAnsi="仿宋" w:eastAsia="仿宋" w:cs="仿宋"/>
          <w:color w:val="000000"/>
          <w:kern w:val="0"/>
          <w:sz w:val="30"/>
          <w:szCs w:val="30"/>
        </w:rPr>
        <w:t>费用预算。财务</w:t>
      </w:r>
      <w:r>
        <w:rPr>
          <w:rFonts w:hint="eastAsia" w:ascii="仿宋" w:hAnsi="仿宋" w:eastAsia="仿宋" w:cs="仿宋"/>
          <w:color w:val="000000"/>
          <w:kern w:val="0"/>
          <w:sz w:val="30"/>
          <w:szCs w:val="30"/>
          <w:lang w:val="en-US" w:eastAsia="zh-CN"/>
        </w:rPr>
        <w:t>科室</w:t>
      </w:r>
      <w:r>
        <w:rPr>
          <w:rFonts w:hint="eastAsia" w:ascii="仿宋" w:hAnsi="仿宋" w:eastAsia="仿宋" w:cs="仿宋"/>
          <w:color w:val="000000"/>
          <w:kern w:val="0"/>
          <w:sz w:val="30"/>
          <w:szCs w:val="30"/>
        </w:rPr>
        <w:t>汇总后编制</w:t>
      </w:r>
      <w:r>
        <w:rPr>
          <w:rFonts w:hint="eastAsia" w:ascii="仿宋" w:hAnsi="仿宋" w:eastAsia="仿宋" w:cs="仿宋"/>
          <w:color w:val="000000"/>
          <w:kern w:val="0"/>
          <w:sz w:val="30"/>
          <w:szCs w:val="30"/>
          <w:lang w:val="en-US" w:eastAsia="zh-CN"/>
        </w:rPr>
        <w:t>单位</w:t>
      </w:r>
      <w:r>
        <w:rPr>
          <w:rFonts w:hint="eastAsia" w:ascii="仿宋" w:hAnsi="仿宋" w:eastAsia="仿宋" w:cs="仿宋"/>
          <w:color w:val="000000"/>
          <w:kern w:val="0"/>
          <w:sz w:val="30"/>
          <w:szCs w:val="30"/>
        </w:rPr>
        <w:t>年度预算草案。</w:t>
      </w:r>
    </w:p>
    <w:p>
      <w:pPr>
        <w:shd w:val="clear" w:color="auto" w:fill="FFFFFF"/>
        <w:ind w:firstLine="600" w:firstLineChars="200"/>
        <w:jc w:val="left"/>
        <w:rPr>
          <w:rFonts w:hint="eastAsia" w:ascii="仿宋" w:hAnsi="仿宋" w:eastAsia="仿宋" w:cs="仿宋"/>
          <w:color w:val="000000"/>
          <w:kern w:val="0"/>
          <w:sz w:val="30"/>
          <w:szCs w:val="30"/>
        </w:rPr>
      </w:pPr>
      <w:r>
        <w:rPr>
          <w:rFonts w:hint="eastAsia" w:ascii="仿宋" w:hAnsi="仿宋" w:eastAsia="仿宋" w:cs="仿宋"/>
          <w:color w:val="000000"/>
          <w:kern w:val="0"/>
          <w:sz w:val="30"/>
          <w:szCs w:val="30"/>
          <w:lang w:val="en-US" w:eastAsia="zh-CN"/>
        </w:rPr>
        <w:t>5</w:t>
      </w:r>
      <w:r>
        <w:rPr>
          <w:rFonts w:hint="eastAsia" w:ascii="仿宋" w:hAnsi="仿宋" w:eastAsia="仿宋" w:cs="仿宋"/>
          <w:color w:val="000000"/>
          <w:kern w:val="0"/>
          <w:sz w:val="30"/>
          <w:szCs w:val="30"/>
        </w:rPr>
        <w:t>．项目支出的预算要与</w:t>
      </w:r>
      <w:r>
        <w:rPr>
          <w:rFonts w:hint="eastAsia" w:ascii="仿宋" w:hAnsi="仿宋" w:eastAsia="仿宋" w:cs="仿宋"/>
          <w:color w:val="000000"/>
          <w:kern w:val="0"/>
          <w:sz w:val="30"/>
          <w:szCs w:val="30"/>
          <w:lang w:val="en-US" w:eastAsia="zh-CN"/>
        </w:rPr>
        <w:t>部门</w:t>
      </w:r>
      <w:r>
        <w:rPr>
          <w:rFonts w:hint="eastAsia" w:ascii="仿宋" w:hAnsi="仿宋" w:eastAsia="仿宋" w:cs="仿宋"/>
          <w:color w:val="000000"/>
          <w:kern w:val="0"/>
          <w:sz w:val="30"/>
          <w:szCs w:val="30"/>
        </w:rPr>
        <w:t>发展规划相结合，其安排要做到“量力而行”，对于不能短期完成的项目要制定项目规划，分步实施。在编制项目支出预算时，“行政事业性项目支出”和“其他项目支出”，在对申报项目进行充分的可行性论证和严格审核的基础上，项目支出实行</w:t>
      </w:r>
      <w:r>
        <w:rPr>
          <w:rFonts w:hint="eastAsia" w:ascii="仿宋" w:hAnsi="仿宋" w:eastAsia="仿宋" w:cs="仿宋"/>
          <w:color w:val="000000"/>
          <w:kern w:val="0"/>
          <w:sz w:val="30"/>
          <w:szCs w:val="30"/>
          <w:lang w:val="en-US" w:eastAsia="zh-CN"/>
        </w:rPr>
        <w:t>绩效</w:t>
      </w:r>
      <w:r>
        <w:rPr>
          <w:rFonts w:hint="eastAsia" w:ascii="仿宋" w:hAnsi="仿宋" w:eastAsia="仿宋" w:cs="仿宋"/>
          <w:color w:val="000000"/>
          <w:kern w:val="0"/>
          <w:sz w:val="30"/>
          <w:szCs w:val="30"/>
        </w:rPr>
        <w:t>管理，要有执行项目完成情况报告、项目审核制度和绩效考评制度。</w:t>
      </w:r>
    </w:p>
    <w:p>
      <w:pPr>
        <w:shd w:val="clear" w:color="auto" w:fill="FFFFFF"/>
        <w:ind w:firstLine="600" w:firstLineChars="200"/>
        <w:jc w:val="left"/>
        <w:rPr>
          <w:rFonts w:hint="eastAsia" w:ascii="仿宋" w:hAnsi="仿宋" w:eastAsia="仿宋" w:cs="仿宋"/>
          <w:color w:val="000000"/>
          <w:kern w:val="0"/>
          <w:sz w:val="30"/>
          <w:szCs w:val="30"/>
        </w:rPr>
      </w:pPr>
      <w:r>
        <w:rPr>
          <w:rFonts w:hint="eastAsia" w:ascii="仿宋" w:hAnsi="仿宋" w:eastAsia="仿宋" w:cs="仿宋"/>
          <w:color w:val="000000"/>
          <w:kern w:val="0"/>
          <w:sz w:val="30"/>
          <w:szCs w:val="30"/>
          <w:lang w:val="en-US" w:eastAsia="zh-CN"/>
        </w:rPr>
        <w:t>6</w:t>
      </w:r>
      <w:r>
        <w:rPr>
          <w:rFonts w:hint="eastAsia" w:ascii="仿宋" w:hAnsi="仿宋" w:eastAsia="仿宋" w:cs="仿宋"/>
          <w:color w:val="000000"/>
          <w:kern w:val="0"/>
          <w:sz w:val="30"/>
          <w:szCs w:val="30"/>
        </w:rPr>
        <w:t>．</w:t>
      </w:r>
      <w:r>
        <w:rPr>
          <w:rFonts w:hint="eastAsia" w:ascii="仿宋" w:hAnsi="仿宋" w:eastAsia="仿宋" w:cs="仿宋"/>
          <w:color w:val="000000"/>
          <w:kern w:val="0"/>
          <w:sz w:val="30"/>
          <w:szCs w:val="30"/>
          <w:lang w:val="en-US" w:eastAsia="zh-CN"/>
        </w:rPr>
        <w:t>部门</w:t>
      </w:r>
      <w:r>
        <w:rPr>
          <w:rFonts w:hint="eastAsia" w:ascii="仿宋" w:hAnsi="仿宋" w:eastAsia="仿宋" w:cs="仿宋"/>
          <w:color w:val="000000"/>
          <w:kern w:val="0"/>
          <w:sz w:val="30"/>
          <w:szCs w:val="30"/>
        </w:rPr>
        <w:t>财务预算一经批准实施,必须确保预算的严肃性和权威性。各</w:t>
      </w:r>
      <w:r>
        <w:rPr>
          <w:rFonts w:hint="eastAsia" w:ascii="仿宋" w:hAnsi="仿宋" w:eastAsia="仿宋" w:cs="仿宋"/>
          <w:color w:val="000000"/>
          <w:kern w:val="0"/>
          <w:sz w:val="30"/>
          <w:szCs w:val="30"/>
          <w:lang w:val="en-US" w:eastAsia="zh-CN"/>
        </w:rPr>
        <w:t>单位</w:t>
      </w:r>
      <w:r>
        <w:rPr>
          <w:rFonts w:hint="eastAsia" w:ascii="仿宋" w:hAnsi="仿宋" w:eastAsia="仿宋" w:cs="仿宋"/>
          <w:color w:val="000000"/>
          <w:kern w:val="0"/>
          <w:sz w:val="30"/>
          <w:szCs w:val="30"/>
        </w:rPr>
        <w:t>应严格按预算进度执行，严格控制超过预算及无预算开支情况，非经规定程序，不得随意更改和突破。</w:t>
      </w:r>
    </w:p>
    <w:p>
      <w:pPr>
        <w:shd w:val="clear" w:color="auto" w:fill="FFFFFF"/>
        <w:ind w:firstLine="600" w:firstLineChars="200"/>
        <w:jc w:val="left"/>
        <w:rPr>
          <w:rFonts w:hint="eastAsia" w:ascii="仿宋" w:hAnsi="仿宋" w:eastAsia="仿宋" w:cs="仿宋"/>
          <w:color w:val="000000"/>
          <w:kern w:val="0"/>
          <w:sz w:val="30"/>
          <w:szCs w:val="30"/>
        </w:rPr>
      </w:pPr>
      <w:r>
        <w:rPr>
          <w:rFonts w:hint="eastAsia" w:ascii="仿宋" w:hAnsi="仿宋" w:eastAsia="仿宋" w:cs="仿宋"/>
          <w:color w:val="000000"/>
          <w:kern w:val="0"/>
          <w:sz w:val="30"/>
          <w:szCs w:val="30"/>
          <w:lang w:val="en-US" w:eastAsia="zh-CN"/>
        </w:rPr>
        <w:t>7</w:t>
      </w:r>
      <w:r>
        <w:rPr>
          <w:rFonts w:hint="eastAsia" w:ascii="仿宋" w:hAnsi="仿宋" w:eastAsia="仿宋" w:cs="仿宋"/>
          <w:color w:val="000000"/>
          <w:kern w:val="0"/>
          <w:sz w:val="30"/>
          <w:szCs w:val="30"/>
        </w:rPr>
        <w:t>．凡是未报预算或未经批准执行的预算项目，所需支出必须写出书面报告，经</w:t>
      </w:r>
      <w:r>
        <w:rPr>
          <w:rFonts w:hint="eastAsia" w:ascii="仿宋" w:hAnsi="仿宋" w:eastAsia="仿宋" w:cs="仿宋"/>
          <w:color w:val="000000"/>
          <w:kern w:val="0"/>
          <w:sz w:val="30"/>
          <w:szCs w:val="30"/>
          <w:lang w:val="en-US" w:eastAsia="zh-CN"/>
        </w:rPr>
        <w:t>单位负责人</w:t>
      </w:r>
      <w:r>
        <w:rPr>
          <w:rFonts w:hint="eastAsia" w:ascii="仿宋" w:hAnsi="仿宋" w:eastAsia="仿宋" w:cs="仿宋"/>
          <w:color w:val="000000"/>
          <w:kern w:val="0"/>
          <w:sz w:val="30"/>
          <w:szCs w:val="30"/>
          <w:lang w:eastAsia="zh-CN"/>
        </w:rPr>
        <w:t>、</w:t>
      </w:r>
      <w:r>
        <w:rPr>
          <w:rFonts w:hint="eastAsia" w:ascii="仿宋" w:hAnsi="仿宋" w:eastAsia="仿宋" w:cs="仿宋"/>
          <w:color w:val="000000"/>
          <w:kern w:val="0"/>
          <w:sz w:val="30"/>
          <w:szCs w:val="30"/>
          <w:lang w:val="en-US" w:eastAsia="zh-CN"/>
        </w:rPr>
        <w:t>分管领导</w:t>
      </w:r>
      <w:r>
        <w:rPr>
          <w:rFonts w:hint="eastAsia" w:ascii="仿宋" w:hAnsi="仿宋" w:eastAsia="仿宋" w:cs="仿宋"/>
          <w:color w:val="000000"/>
          <w:kern w:val="0"/>
          <w:sz w:val="30"/>
          <w:szCs w:val="30"/>
        </w:rPr>
        <w:t>批准后方可执行。</w:t>
      </w:r>
    </w:p>
    <w:p>
      <w:pPr>
        <w:shd w:val="clear" w:color="auto" w:fill="FFFFFF"/>
        <w:ind w:firstLine="600" w:firstLineChars="200"/>
        <w:jc w:val="left"/>
        <w:rPr>
          <w:rFonts w:hint="eastAsia" w:ascii="仿宋" w:hAnsi="仿宋" w:eastAsia="仿宋" w:cs="仿宋"/>
          <w:color w:val="000000"/>
          <w:kern w:val="0"/>
          <w:sz w:val="30"/>
          <w:szCs w:val="30"/>
        </w:rPr>
      </w:pPr>
      <w:r>
        <w:rPr>
          <w:rFonts w:hint="eastAsia" w:ascii="仿宋" w:hAnsi="仿宋" w:eastAsia="仿宋" w:cs="仿宋"/>
          <w:color w:val="000000"/>
          <w:kern w:val="0"/>
          <w:sz w:val="30"/>
          <w:szCs w:val="30"/>
          <w:lang w:val="en-US" w:eastAsia="zh-CN"/>
        </w:rPr>
        <w:t>8</w:t>
      </w:r>
      <w:r>
        <w:rPr>
          <w:rFonts w:hint="eastAsia" w:ascii="仿宋" w:hAnsi="仿宋" w:eastAsia="仿宋" w:cs="仿宋"/>
          <w:color w:val="000000"/>
          <w:kern w:val="0"/>
          <w:sz w:val="30"/>
          <w:szCs w:val="30"/>
        </w:rPr>
        <w:t xml:space="preserve">、强化预算约束，严格审批制度。实行“多人会签”的审批办法。是集中资金，落实责任，加强预算管理的重大措施。  </w:t>
      </w:r>
    </w:p>
    <w:p>
      <w:pPr>
        <w:shd w:val="clear" w:color="auto" w:fill="FFFFFF"/>
        <w:ind w:firstLine="600" w:firstLineChars="200"/>
        <w:jc w:val="left"/>
        <w:rPr>
          <w:rFonts w:hint="eastAsia" w:ascii="仿宋" w:hAnsi="仿宋" w:eastAsia="仿宋" w:cs="仿宋"/>
          <w:color w:val="000000"/>
          <w:kern w:val="0"/>
          <w:sz w:val="30"/>
          <w:szCs w:val="30"/>
        </w:rPr>
      </w:pPr>
      <w:r>
        <w:rPr>
          <w:rFonts w:hint="eastAsia" w:ascii="仿宋" w:hAnsi="仿宋" w:eastAsia="仿宋" w:cs="仿宋"/>
          <w:color w:val="000000"/>
          <w:kern w:val="0"/>
          <w:sz w:val="30"/>
          <w:szCs w:val="30"/>
          <w:lang w:val="en-US" w:eastAsia="zh-CN"/>
        </w:rPr>
        <w:t>9</w:t>
      </w:r>
      <w:r>
        <w:rPr>
          <w:rFonts w:hint="eastAsia" w:ascii="仿宋" w:hAnsi="仿宋" w:eastAsia="仿宋" w:cs="仿宋"/>
          <w:color w:val="000000"/>
          <w:kern w:val="0"/>
          <w:sz w:val="30"/>
          <w:szCs w:val="30"/>
        </w:rPr>
        <w:t>、项目支出先请示后支出，报销发票在原始凭证正面由经办人、分管领导、</w:t>
      </w:r>
      <w:r>
        <w:rPr>
          <w:rFonts w:hint="eastAsia" w:ascii="仿宋" w:hAnsi="仿宋" w:eastAsia="仿宋" w:cs="仿宋"/>
          <w:color w:val="000000"/>
          <w:kern w:val="0"/>
          <w:sz w:val="30"/>
          <w:szCs w:val="30"/>
          <w:lang w:val="en-US" w:eastAsia="zh-CN"/>
        </w:rPr>
        <w:t>单位负责人</w:t>
      </w:r>
      <w:r>
        <w:rPr>
          <w:rFonts w:hint="eastAsia" w:ascii="仿宋" w:hAnsi="仿宋" w:eastAsia="仿宋" w:cs="仿宋"/>
          <w:color w:val="000000"/>
          <w:kern w:val="0"/>
          <w:sz w:val="30"/>
          <w:szCs w:val="30"/>
        </w:rPr>
        <w:t xml:space="preserve">审批签字，才能报销。未经以上三人签字一律不得在出纳处报销。  </w:t>
      </w:r>
    </w:p>
    <w:p>
      <w:pPr>
        <w:shd w:val="clear" w:color="auto" w:fill="FFFFFF"/>
        <w:ind w:firstLine="600" w:firstLineChars="200"/>
        <w:jc w:val="left"/>
        <w:rPr>
          <w:rFonts w:hint="eastAsia" w:ascii="仿宋" w:hAnsi="仿宋" w:eastAsia="仿宋" w:cs="仿宋"/>
          <w:color w:val="000000"/>
          <w:kern w:val="0"/>
          <w:sz w:val="30"/>
          <w:szCs w:val="30"/>
        </w:rPr>
      </w:pPr>
      <w:r>
        <w:rPr>
          <w:rFonts w:hint="eastAsia" w:ascii="仿宋" w:hAnsi="仿宋" w:eastAsia="仿宋" w:cs="仿宋"/>
          <w:color w:val="000000"/>
          <w:kern w:val="0"/>
          <w:sz w:val="30"/>
          <w:szCs w:val="30"/>
          <w:lang w:val="en-US" w:eastAsia="zh-CN"/>
        </w:rPr>
        <w:t>10</w:t>
      </w:r>
      <w:r>
        <w:rPr>
          <w:rFonts w:hint="eastAsia" w:ascii="仿宋" w:hAnsi="仿宋" w:eastAsia="仿宋" w:cs="仿宋"/>
          <w:color w:val="000000"/>
          <w:kern w:val="0"/>
          <w:sz w:val="30"/>
          <w:szCs w:val="30"/>
        </w:rPr>
        <w:t>、</w:t>
      </w:r>
      <w:r>
        <w:rPr>
          <w:rFonts w:hint="eastAsia" w:ascii="仿宋" w:hAnsi="仿宋" w:eastAsia="仿宋" w:cs="仿宋"/>
          <w:color w:val="000000"/>
          <w:kern w:val="0"/>
          <w:sz w:val="30"/>
          <w:szCs w:val="30"/>
          <w:lang w:val="en-US" w:eastAsia="zh-CN"/>
        </w:rPr>
        <w:t>部门单位</w:t>
      </w:r>
      <w:r>
        <w:rPr>
          <w:rFonts w:hint="eastAsia" w:ascii="仿宋" w:hAnsi="仿宋" w:eastAsia="仿宋" w:cs="仿宋"/>
          <w:color w:val="000000"/>
          <w:kern w:val="0"/>
          <w:sz w:val="30"/>
          <w:szCs w:val="30"/>
        </w:rPr>
        <w:t>购入的各种物资， 必须填写申购单，交</w:t>
      </w:r>
      <w:r>
        <w:rPr>
          <w:rFonts w:hint="eastAsia" w:ascii="仿宋" w:hAnsi="仿宋" w:eastAsia="仿宋" w:cs="仿宋"/>
          <w:color w:val="000000"/>
          <w:kern w:val="0"/>
          <w:sz w:val="30"/>
          <w:szCs w:val="30"/>
          <w:lang w:val="en-US" w:eastAsia="zh-CN"/>
        </w:rPr>
        <w:t>单位负责人</w:t>
      </w:r>
      <w:r>
        <w:rPr>
          <w:rFonts w:hint="eastAsia" w:ascii="仿宋" w:hAnsi="仿宋" w:eastAsia="仿宋" w:cs="仿宋"/>
          <w:color w:val="000000"/>
          <w:kern w:val="0"/>
          <w:sz w:val="30"/>
          <w:szCs w:val="30"/>
        </w:rPr>
        <w:t xml:space="preserve">签字后方可购买，急需购买的可电话报告后不填申购单。   </w:t>
      </w:r>
    </w:p>
    <w:p>
      <w:pPr>
        <w:shd w:val="clear" w:color="auto" w:fill="FFFFFF"/>
        <w:ind w:firstLine="600" w:firstLineChars="200"/>
        <w:jc w:val="left"/>
        <w:rPr>
          <w:rFonts w:hint="eastAsia" w:ascii="仿宋" w:hAnsi="仿宋" w:eastAsia="仿宋" w:cs="仿宋"/>
          <w:color w:val="000000"/>
          <w:kern w:val="0"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color w:val="000000"/>
          <w:kern w:val="0"/>
          <w:sz w:val="30"/>
          <w:szCs w:val="30"/>
          <w:lang w:val="en-US" w:eastAsia="zh-CN"/>
        </w:rPr>
        <w:t>11、</w:t>
      </w:r>
      <w:r>
        <w:rPr>
          <w:rFonts w:hint="eastAsia" w:ascii="仿宋" w:hAnsi="仿宋" w:eastAsia="仿宋" w:cs="仿宋"/>
          <w:color w:val="000000"/>
          <w:kern w:val="0"/>
          <w:sz w:val="30"/>
          <w:szCs w:val="30"/>
        </w:rPr>
        <w:t>着力推行中期财政规划管理，拓展预算测算年度，促进政策与预算相结合、规划与项目相衔接，完善跨年度预算平衡机制；着力优化财政支出结构，重点保障民生支出、政策支出和重大建设项目支出，从严从紧控制“三公”经费和行政运行经费等一般性支出；着力加大财政资金统筹使用力度，盘活存量资金，加快</w:t>
      </w:r>
      <w:r>
        <w:rPr>
          <w:rFonts w:hint="eastAsia" w:ascii="仿宋" w:hAnsi="仿宋" w:eastAsia="仿宋" w:cs="仿宋"/>
          <w:color w:val="000000"/>
          <w:kern w:val="0"/>
          <w:sz w:val="30"/>
          <w:szCs w:val="30"/>
          <w:lang w:val="en-US" w:eastAsia="zh-CN"/>
        </w:rPr>
        <w:t>资金</w:t>
      </w:r>
      <w:r>
        <w:rPr>
          <w:rFonts w:hint="eastAsia" w:ascii="仿宋" w:hAnsi="仿宋" w:eastAsia="仿宋" w:cs="仿宋"/>
          <w:color w:val="000000"/>
          <w:kern w:val="0"/>
          <w:sz w:val="30"/>
          <w:szCs w:val="30"/>
        </w:rPr>
        <w:t>执行进度</w:t>
      </w:r>
      <w:r>
        <w:rPr>
          <w:rFonts w:hint="eastAsia" w:ascii="仿宋" w:hAnsi="仿宋" w:eastAsia="仿宋" w:cs="仿宋"/>
          <w:color w:val="000000"/>
          <w:kern w:val="0"/>
          <w:sz w:val="30"/>
          <w:szCs w:val="30"/>
          <w:lang w:eastAsia="zh-CN"/>
        </w:rPr>
        <w:t>。</w:t>
      </w:r>
    </w:p>
    <w:p>
      <w:pPr>
        <w:pStyle w:val="8"/>
        <w:spacing w:line="500" w:lineRule="exact"/>
        <w:ind w:firstLine="600" w:firstLineChars="200"/>
        <w:rPr>
          <w:rFonts w:hint="eastAsia" w:ascii="仿宋" w:hAnsi="仿宋" w:eastAsia="仿宋" w:cs="仿宋"/>
          <w:color w:val="000000"/>
          <w:kern w:val="0"/>
          <w:sz w:val="30"/>
          <w:szCs w:val="30"/>
          <w:lang w:val="en-US" w:eastAsia="zh-CN" w:bidi="ar-SA"/>
        </w:rPr>
      </w:pPr>
      <w:r>
        <w:rPr>
          <w:rFonts w:hint="eastAsia" w:cs="仿宋"/>
          <w:color w:val="000000"/>
          <w:kern w:val="0"/>
          <w:sz w:val="30"/>
          <w:szCs w:val="30"/>
          <w:lang w:val="en-US" w:eastAsia="zh-CN" w:bidi="ar-SA"/>
        </w:rPr>
        <w:t>12</w:t>
      </w:r>
      <w:r>
        <w:rPr>
          <w:rFonts w:hint="eastAsia" w:ascii="仿宋" w:hAnsi="仿宋" w:eastAsia="仿宋" w:cs="仿宋"/>
          <w:color w:val="000000"/>
          <w:kern w:val="0"/>
          <w:sz w:val="30"/>
          <w:szCs w:val="30"/>
          <w:lang w:val="en-US" w:eastAsia="zh-CN" w:bidi="ar-SA"/>
        </w:rPr>
        <w:t>、加强绩效管理。完善预算评审机制，加强评审和审查结果的运用。结合中期规划管理，推进</w:t>
      </w:r>
      <w:r>
        <w:rPr>
          <w:rFonts w:hint="eastAsia" w:cs="仿宋"/>
          <w:color w:val="000000"/>
          <w:kern w:val="0"/>
          <w:sz w:val="30"/>
          <w:szCs w:val="30"/>
          <w:lang w:val="en-US" w:eastAsia="zh-CN" w:bidi="ar-SA"/>
        </w:rPr>
        <w:t>部门</w:t>
      </w:r>
      <w:r>
        <w:rPr>
          <w:rFonts w:hint="eastAsia" w:ascii="仿宋" w:hAnsi="仿宋" w:eastAsia="仿宋" w:cs="仿宋"/>
          <w:color w:val="000000"/>
          <w:kern w:val="0"/>
          <w:sz w:val="30"/>
          <w:szCs w:val="30"/>
          <w:lang w:val="en-US" w:eastAsia="zh-CN" w:bidi="ar-SA"/>
        </w:rPr>
        <w:t>项目库建设。强化预算绩效管理理念，认真组织开展重大项目支出绩效、部门整体支出绩效和市县财政管理绩效评价工作，充分运用绩效评价结果，加快建立绩效导向的</w:t>
      </w:r>
      <w:r>
        <w:rPr>
          <w:rFonts w:hint="eastAsia" w:cs="仿宋"/>
          <w:color w:val="000000"/>
          <w:kern w:val="0"/>
          <w:sz w:val="30"/>
          <w:szCs w:val="30"/>
          <w:lang w:val="en-US" w:eastAsia="zh-CN" w:bidi="ar-SA"/>
        </w:rPr>
        <w:t>决算绩效</w:t>
      </w:r>
      <w:r>
        <w:rPr>
          <w:rFonts w:hint="eastAsia" w:ascii="仿宋" w:hAnsi="仿宋" w:eastAsia="仿宋" w:cs="仿宋"/>
          <w:color w:val="000000"/>
          <w:kern w:val="0"/>
          <w:sz w:val="30"/>
          <w:szCs w:val="30"/>
          <w:lang w:val="en-US" w:eastAsia="zh-CN" w:bidi="ar-SA"/>
        </w:rPr>
        <w:t>管理制度。</w:t>
      </w:r>
    </w:p>
    <w:p>
      <w:pPr>
        <w:shd w:val="clear" w:color="auto" w:fill="FFFFFF"/>
        <w:ind w:firstLine="600" w:firstLineChars="200"/>
        <w:jc w:val="left"/>
        <w:rPr>
          <w:rFonts w:hint="eastAsia" w:ascii="仿宋" w:hAnsi="仿宋" w:eastAsia="仿宋" w:cs="仿宋"/>
          <w:color w:val="000000"/>
          <w:kern w:val="0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color w:val="000000"/>
          <w:kern w:val="0"/>
          <w:sz w:val="30"/>
          <w:szCs w:val="30"/>
          <w:lang w:val="en-US" w:eastAsia="zh-CN"/>
        </w:rPr>
        <w:t>13、编制项目支出预算，必须有经过充分论证的可行性研究报告和项目预算文本。同时，按照有关文件要求编制项目绩效目标，绩效目标要做到指向明确、具体细化、合理可行，凡绩效目标编制不明确、申报不符合要求的项目支出，一律不列入年度单位预算申报范围。</w:t>
      </w:r>
    </w:p>
    <w:p>
      <w:pPr>
        <w:shd w:val="clear" w:color="auto" w:fill="FFFFFF"/>
        <w:ind w:firstLine="600" w:firstLineChars="200"/>
        <w:jc w:val="left"/>
        <w:rPr>
          <w:rFonts w:hint="eastAsia" w:ascii="仿宋" w:hAnsi="仿宋" w:eastAsia="仿宋" w:cs="仿宋"/>
          <w:color w:val="000000"/>
          <w:kern w:val="0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color w:val="000000"/>
          <w:kern w:val="0"/>
          <w:sz w:val="30"/>
          <w:szCs w:val="30"/>
          <w:lang w:val="en-US" w:eastAsia="zh-CN"/>
        </w:rPr>
        <w:t>14、在安排项目支出时，要统筹安排、留有余地，避免“办一件事，要一笔钱”。为此，没有纳入年度项目支出预算的项目，预算单位不得安排支出；已列入年度项目支出预算的项目，预算单位在年度执行中不能随意调整；对没有资金来源且非急需安排的项目，预算单位不得作空头预算。</w:t>
      </w:r>
    </w:p>
    <w:p>
      <w:pPr>
        <w:numPr>
          <w:ilvl w:val="0"/>
          <w:numId w:val="0"/>
        </w:numPr>
        <w:ind w:leftChars="0"/>
        <w:jc w:val="both"/>
        <w:rPr>
          <w:rFonts w:hint="default" w:ascii="方正小标宋简体" w:hAnsi="方正小标宋简体" w:eastAsia="方正小标宋简体" w:cs="方正小标宋简体"/>
          <w:kern w:val="2"/>
          <w:sz w:val="40"/>
          <w:szCs w:val="40"/>
          <w:lang w:val="en-US" w:eastAsia="zh-CN" w:bidi="ar-SA"/>
        </w:rPr>
      </w:pPr>
    </w:p>
    <w:sectPr>
      <w:footerReference r:id="rId3" w:type="default"/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0F37820A-EFEF-4EB1-BEDA-88F1559909DF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2" w:fontKey="{4E5D003F-6746-4F93-9412-C3FD9405EFB3}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3" w:fontKey="{C56C8F13-A0A6-4656-9C5B-42355A5574BF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4" w:fontKey="{BECBB81F-5D86-4684-B267-BE06EFAE401A}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5" w:fontKey="{AF715379-2713-48BA-90B7-7236021D5B8F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t>1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IzXDnwqAgAAV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CLNmWdjqneUROirm&#10;7eoYIGCnaxSlV2LQCtPWdWZ4GXGc/9x3UY9/g+Vv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t>1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U2ZTcwOGZmMTRkODQ5MWU4MTM1N2I3YzEyOTVhN2QifQ=="/>
  </w:docVars>
  <w:rsids>
    <w:rsidRoot w:val="574C5359"/>
    <w:rsid w:val="002E0C1C"/>
    <w:rsid w:val="00692FA7"/>
    <w:rsid w:val="00790610"/>
    <w:rsid w:val="0087167F"/>
    <w:rsid w:val="0090270C"/>
    <w:rsid w:val="00B2494E"/>
    <w:rsid w:val="00B3723E"/>
    <w:rsid w:val="00D70859"/>
    <w:rsid w:val="00DE1BE7"/>
    <w:rsid w:val="00FF56BA"/>
    <w:rsid w:val="010D7DD7"/>
    <w:rsid w:val="01127FF3"/>
    <w:rsid w:val="0119677B"/>
    <w:rsid w:val="01197824"/>
    <w:rsid w:val="011E60E5"/>
    <w:rsid w:val="012F3551"/>
    <w:rsid w:val="014063FE"/>
    <w:rsid w:val="014F3D97"/>
    <w:rsid w:val="01761E20"/>
    <w:rsid w:val="017C4772"/>
    <w:rsid w:val="01A050EF"/>
    <w:rsid w:val="01AF70E0"/>
    <w:rsid w:val="01B3097E"/>
    <w:rsid w:val="020974AF"/>
    <w:rsid w:val="02117D9A"/>
    <w:rsid w:val="02201D8C"/>
    <w:rsid w:val="02290C40"/>
    <w:rsid w:val="023615AF"/>
    <w:rsid w:val="02467A44"/>
    <w:rsid w:val="025A34EF"/>
    <w:rsid w:val="025B1C52"/>
    <w:rsid w:val="02626E75"/>
    <w:rsid w:val="02694C11"/>
    <w:rsid w:val="026E0D49"/>
    <w:rsid w:val="02750329"/>
    <w:rsid w:val="0284056C"/>
    <w:rsid w:val="028725D1"/>
    <w:rsid w:val="029429C0"/>
    <w:rsid w:val="02AC063F"/>
    <w:rsid w:val="02BB429D"/>
    <w:rsid w:val="02C10E79"/>
    <w:rsid w:val="02D25196"/>
    <w:rsid w:val="02DF2C35"/>
    <w:rsid w:val="02F0273C"/>
    <w:rsid w:val="03192A63"/>
    <w:rsid w:val="031F3DF1"/>
    <w:rsid w:val="0371289F"/>
    <w:rsid w:val="03795BF7"/>
    <w:rsid w:val="03A92C1B"/>
    <w:rsid w:val="03D25E1A"/>
    <w:rsid w:val="03D270B5"/>
    <w:rsid w:val="03D50341"/>
    <w:rsid w:val="03DA7DF8"/>
    <w:rsid w:val="03EF7C67"/>
    <w:rsid w:val="03F434D0"/>
    <w:rsid w:val="04051239"/>
    <w:rsid w:val="04114082"/>
    <w:rsid w:val="04192F78"/>
    <w:rsid w:val="042F0447"/>
    <w:rsid w:val="043C1B55"/>
    <w:rsid w:val="045F6B9B"/>
    <w:rsid w:val="046619FB"/>
    <w:rsid w:val="04864F77"/>
    <w:rsid w:val="04952ADD"/>
    <w:rsid w:val="04A07F58"/>
    <w:rsid w:val="04BC223F"/>
    <w:rsid w:val="04BF3FBA"/>
    <w:rsid w:val="04CC1F8E"/>
    <w:rsid w:val="04D806FC"/>
    <w:rsid w:val="04F637CA"/>
    <w:rsid w:val="04F76DD4"/>
    <w:rsid w:val="050E236F"/>
    <w:rsid w:val="053D3062"/>
    <w:rsid w:val="05543F4C"/>
    <w:rsid w:val="055B3806"/>
    <w:rsid w:val="055C757F"/>
    <w:rsid w:val="056222A5"/>
    <w:rsid w:val="057166D8"/>
    <w:rsid w:val="058D14E6"/>
    <w:rsid w:val="059C364E"/>
    <w:rsid w:val="059E7B97"/>
    <w:rsid w:val="05A550F0"/>
    <w:rsid w:val="05DB23E3"/>
    <w:rsid w:val="05FB6D97"/>
    <w:rsid w:val="060979BE"/>
    <w:rsid w:val="06135E8F"/>
    <w:rsid w:val="061439B5"/>
    <w:rsid w:val="06182BF1"/>
    <w:rsid w:val="06266F6F"/>
    <w:rsid w:val="06287461"/>
    <w:rsid w:val="062A4F87"/>
    <w:rsid w:val="064918B1"/>
    <w:rsid w:val="064B64FC"/>
    <w:rsid w:val="065A086B"/>
    <w:rsid w:val="065D535C"/>
    <w:rsid w:val="06693D01"/>
    <w:rsid w:val="066C37F1"/>
    <w:rsid w:val="067B2B7F"/>
    <w:rsid w:val="06905732"/>
    <w:rsid w:val="06D2686E"/>
    <w:rsid w:val="06DA075B"/>
    <w:rsid w:val="070A346C"/>
    <w:rsid w:val="070F6816"/>
    <w:rsid w:val="0710164F"/>
    <w:rsid w:val="07233FC2"/>
    <w:rsid w:val="0730481F"/>
    <w:rsid w:val="074F1C14"/>
    <w:rsid w:val="074F33F4"/>
    <w:rsid w:val="0751351E"/>
    <w:rsid w:val="07686EEB"/>
    <w:rsid w:val="076B43DC"/>
    <w:rsid w:val="076F17EB"/>
    <w:rsid w:val="07750484"/>
    <w:rsid w:val="07884176"/>
    <w:rsid w:val="07A019A5"/>
    <w:rsid w:val="07A93794"/>
    <w:rsid w:val="07B13BB2"/>
    <w:rsid w:val="07BE06EE"/>
    <w:rsid w:val="07CD206E"/>
    <w:rsid w:val="07E6312F"/>
    <w:rsid w:val="08161C67"/>
    <w:rsid w:val="082C4FE6"/>
    <w:rsid w:val="08422C80"/>
    <w:rsid w:val="084451C8"/>
    <w:rsid w:val="08597DA5"/>
    <w:rsid w:val="0863717D"/>
    <w:rsid w:val="08676954"/>
    <w:rsid w:val="08713341"/>
    <w:rsid w:val="087846CF"/>
    <w:rsid w:val="087B41C0"/>
    <w:rsid w:val="08880B4F"/>
    <w:rsid w:val="08B3525E"/>
    <w:rsid w:val="08BE071F"/>
    <w:rsid w:val="08D30BA6"/>
    <w:rsid w:val="08D4742C"/>
    <w:rsid w:val="08D47695"/>
    <w:rsid w:val="08DA586E"/>
    <w:rsid w:val="09033BDF"/>
    <w:rsid w:val="09133118"/>
    <w:rsid w:val="09371E95"/>
    <w:rsid w:val="094D0564"/>
    <w:rsid w:val="097B0A8A"/>
    <w:rsid w:val="09811362"/>
    <w:rsid w:val="098175B4"/>
    <w:rsid w:val="098F1CD1"/>
    <w:rsid w:val="09AB4CE9"/>
    <w:rsid w:val="09B44F11"/>
    <w:rsid w:val="09D36DE1"/>
    <w:rsid w:val="09ED69F7"/>
    <w:rsid w:val="0A0B2A89"/>
    <w:rsid w:val="0A162ACD"/>
    <w:rsid w:val="0A311F18"/>
    <w:rsid w:val="0A3708BC"/>
    <w:rsid w:val="0A3D797F"/>
    <w:rsid w:val="0A522CFE"/>
    <w:rsid w:val="0A670558"/>
    <w:rsid w:val="0A6A629A"/>
    <w:rsid w:val="0AA458BA"/>
    <w:rsid w:val="0AB71DD5"/>
    <w:rsid w:val="0ACE4A7B"/>
    <w:rsid w:val="0ADA341F"/>
    <w:rsid w:val="0AE147AE"/>
    <w:rsid w:val="0B071D3B"/>
    <w:rsid w:val="0B0B35D9"/>
    <w:rsid w:val="0B0C55A3"/>
    <w:rsid w:val="0B1526A9"/>
    <w:rsid w:val="0B2F1F9E"/>
    <w:rsid w:val="0B355DB7"/>
    <w:rsid w:val="0B3D24DE"/>
    <w:rsid w:val="0B433436"/>
    <w:rsid w:val="0B445C59"/>
    <w:rsid w:val="0B544018"/>
    <w:rsid w:val="0B550CF8"/>
    <w:rsid w:val="0B5F3925"/>
    <w:rsid w:val="0B70168E"/>
    <w:rsid w:val="0B7A075E"/>
    <w:rsid w:val="0B7A42BB"/>
    <w:rsid w:val="0BA650B0"/>
    <w:rsid w:val="0BA70B09"/>
    <w:rsid w:val="0BAA4B5B"/>
    <w:rsid w:val="0BC419DA"/>
    <w:rsid w:val="0BC94D3A"/>
    <w:rsid w:val="0BD037A2"/>
    <w:rsid w:val="0BE0415F"/>
    <w:rsid w:val="0BE16C15"/>
    <w:rsid w:val="0BFB70E6"/>
    <w:rsid w:val="0C403756"/>
    <w:rsid w:val="0C632FA1"/>
    <w:rsid w:val="0C751714"/>
    <w:rsid w:val="0C94612F"/>
    <w:rsid w:val="0C965124"/>
    <w:rsid w:val="0C9D0740"/>
    <w:rsid w:val="0CD914B5"/>
    <w:rsid w:val="0CE51C08"/>
    <w:rsid w:val="0D0B5C2F"/>
    <w:rsid w:val="0D1126BC"/>
    <w:rsid w:val="0D2C632F"/>
    <w:rsid w:val="0D367BE2"/>
    <w:rsid w:val="0D3861DB"/>
    <w:rsid w:val="0D3D1A44"/>
    <w:rsid w:val="0D566142"/>
    <w:rsid w:val="0D584D00"/>
    <w:rsid w:val="0D691E9D"/>
    <w:rsid w:val="0D837D9E"/>
    <w:rsid w:val="0DA70084"/>
    <w:rsid w:val="0DBB7938"/>
    <w:rsid w:val="0DE93979"/>
    <w:rsid w:val="0DF522C3"/>
    <w:rsid w:val="0E0407B3"/>
    <w:rsid w:val="0E1275C5"/>
    <w:rsid w:val="0E2240AB"/>
    <w:rsid w:val="0E236E8B"/>
    <w:rsid w:val="0E5D7E42"/>
    <w:rsid w:val="0E7117D9"/>
    <w:rsid w:val="0E721BC1"/>
    <w:rsid w:val="0E794CFD"/>
    <w:rsid w:val="0E835B7C"/>
    <w:rsid w:val="0E980D00"/>
    <w:rsid w:val="0EB24EB7"/>
    <w:rsid w:val="0ECF491D"/>
    <w:rsid w:val="0EFA671D"/>
    <w:rsid w:val="0F113188"/>
    <w:rsid w:val="0F132E2F"/>
    <w:rsid w:val="0F182768"/>
    <w:rsid w:val="0F2C6214"/>
    <w:rsid w:val="0F39623B"/>
    <w:rsid w:val="0F3A26DF"/>
    <w:rsid w:val="0F552555"/>
    <w:rsid w:val="0F7F4595"/>
    <w:rsid w:val="0F977B31"/>
    <w:rsid w:val="0F9A4F2B"/>
    <w:rsid w:val="0FA1450C"/>
    <w:rsid w:val="0FA72AD2"/>
    <w:rsid w:val="0FBA55CD"/>
    <w:rsid w:val="0FDC6702"/>
    <w:rsid w:val="0FE32D76"/>
    <w:rsid w:val="0FE577F7"/>
    <w:rsid w:val="0FF87EA4"/>
    <w:rsid w:val="100A1081"/>
    <w:rsid w:val="10120F66"/>
    <w:rsid w:val="10274C2E"/>
    <w:rsid w:val="103709CC"/>
    <w:rsid w:val="1045153D"/>
    <w:rsid w:val="10501A8E"/>
    <w:rsid w:val="105B3322"/>
    <w:rsid w:val="10AA3894"/>
    <w:rsid w:val="10AC1E65"/>
    <w:rsid w:val="10AD5132"/>
    <w:rsid w:val="10CB7366"/>
    <w:rsid w:val="10DD491F"/>
    <w:rsid w:val="112D5CD6"/>
    <w:rsid w:val="1134315E"/>
    <w:rsid w:val="11382A05"/>
    <w:rsid w:val="114407E6"/>
    <w:rsid w:val="114D677E"/>
    <w:rsid w:val="115509ED"/>
    <w:rsid w:val="11561326"/>
    <w:rsid w:val="116972AB"/>
    <w:rsid w:val="116E041E"/>
    <w:rsid w:val="11851174"/>
    <w:rsid w:val="119D0D03"/>
    <w:rsid w:val="11A27578"/>
    <w:rsid w:val="11B81FE1"/>
    <w:rsid w:val="11C07F30"/>
    <w:rsid w:val="11CA7BFA"/>
    <w:rsid w:val="11F0177A"/>
    <w:rsid w:val="11F36F7A"/>
    <w:rsid w:val="12282CC2"/>
    <w:rsid w:val="12483364"/>
    <w:rsid w:val="12635AA8"/>
    <w:rsid w:val="127F48AC"/>
    <w:rsid w:val="12891287"/>
    <w:rsid w:val="128D0D77"/>
    <w:rsid w:val="12957C2C"/>
    <w:rsid w:val="129B7938"/>
    <w:rsid w:val="12AA1929"/>
    <w:rsid w:val="12B66520"/>
    <w:rsid w:val="12BE494F"/>
    <w:rsid w:val="12C0739F"/>
    <w:rsid w:val="12C66CC0"/>
    <w:rsid w:val="12EC1F42"/>
    <w:rsid w:val="12FE511D"/>
    <w:rsid w:val="130A23C8"/>
    <w:rsid w:val="130F60A2"/>
    <w:rsid w:val="1338690F"/>
    <w:rsid w:val="1344018C"/>
    <w:rsid w:val="134639A2"/>
    <w:rsid w:val="13637D2A"/>
    <w:rsid w:val="136A10B9"/>
    <w:rsid w:val="13907AC5"/>
    <w:rsid w:val="13954387"/>
    <w:rsid w:val="13961EAE"/>
    <w:rsid w:val="139E328E"/>
    <w:rsid w:val="13AC16D1"/>
    <w:rsid w:val="13B70D40"/>
    <w:rsid w:val="13CA4491"/>
    <w:rsid w:val="13D83CF6"/>
    <w:rsid w:val="13DB3D64"/>
    <w:rsid w:val="13F17430"/>
    <w:rsid w:val="141B4978"/>
    <w:rsid w:val="141D612B"/>
    <w:rsid w:val="142E50E2"/>
    <w:rsid w:val="146A26EA"/>
    <w:rsid w:val="146B41DF"/>
    <w:rsid w:val="14777F31"/>
    <w:rsid w:val="14831E96"/>
    <w:rsid w:val="148C6FE6"/>
    <w:rsid w:val="14951F61"/>
    <w:rsid w:val="1497412F"/>
    <w:rsid w:val="149948FE"/>
    <w:rsid w:val="14AE18AA"/>
    <w:rsid w:val="14B47694"/>
    <w:rsid w:val="14BF5434"/>
    <w:rsid w:val="14C74471"/>
    <w:rsid w:val="14D112AF"/>
    <w:rsid w:val="14D317E3"/>
    <w:rsid w:val="14E579F6"/>
    <w:rsid w:val="14FB2910"/>
    <w:rsid w:val="15121CB7"/>
    <w:rsid w:val="151E3F90"/>
    <w:rsid w:val="152421AA"/>
    <w:rsid w:val="15316332"/>
    <w:rsid w:val="153C2305"/>
    <w:rsid w:val="155B522B"/>
    <w:rsid w:val="155F416A"/>
    <w:rsid w:val="156F5F06"/>
    <w:rsid w:val="157078C5"/>
    <w:rsid w:val="15714A54"/>
    <w:rsid w:val="1571672E"/>
    <w:rsid w:val="157E0E4B"/>
    <w:rsid w:val="15891DE1"/>
    <w:rsid w:val="15A563D8"/>
    <w:rsid w:val="15D171CD"/>
    <w:rsid w:val="15D46CBD"/>
    <w:rsid w:val="15E05662"/>
    <w:rsid w:val="15E80D7B"/>
    <w:rsid w:val="16096967"/>
    <w:rsid w:val="161A3D80"/>
    <w:rsid w:val="161C14BF"/>
    <w:rsid w:val="16290DB7"/>
    <w:rsid w:val="165347D4"/>
    <w:rsid w:val="16980A14"/>
    <w:rsid w:val="169C38FA"/>
    <w:rsid w:val="16A86180"/>
    <w:rsid w:val="16B20DAC"/>
    <w:rsid w:val="16C122E6"/>
    <w:rsid w:val="16C8221E"/>
    <w:rsid w:val="16E11692"/>
    <w:rsid w:val="16E3540A"/>
    <w:rsid w:val="16EB42BE"/>
    <w:rsid w:val="16FB07A0"/>
    <w:rsid w:val="170A0BE8"/>
    <w:rsid w:val="172D48D7"/>
    <w:rsid w:val="17305017"/>
    <w:rsid w:val="17433E6C"/>
    <w:rsid w:val="17A80401"/>
    <w:rsid w:val="17D96728"/>
    <w:rsid w:val="17DE1791"/>
    <w:rsid w:val="17DF02C7"/>
    <w:rsid w:val="17E94CA2"/>
    <w:rsid w:val="17FD5F31"/>
    <w:rsid w:val="180D7253"/>
    <w:rsid w:val="180E5E58"/>
    <w:rsid w:val="184C5231"/>
    <w:rsid w:val="184E78D6"/>
    <w:rsid w:val="1853036D"/>
    <w:rsid w:val="18552337"/>
    <w:rsid w:val="18814EDA"/>
    <w:rsid w:val="18A706B9"/>
    <w:rsid w:val="18AE37F5"/>
    <w:rsid w:val="18B74E5C"/>
    <w:rsid w:val="18BB7EB4"/>
    <w:rsid w:val="18ED431E"/>
    <w:rsid w:val="190F6D25"/>
    <w:rsid w:val="1912647A"/>
    <w:rsid w:val="19306900"/>
    <w:rsid w:val="193D4655"/>
    <w:rsid w:val="1977008B"/>
    <w:rsid w:val="19801D7F"/>
    <w:rsid w:val="19BB08C0"/>
    <w:rsid w:val="19C75EF9"/>
    <w:rsid w:val="19CB76F3"/>
    <w:rsid w:val="19E05346"/>
    <w:rsid w:val="19E251C9"/>
    <w:rsid w:val="19E25E4D"/>
    <w:rsid w:val="19EC679E"/>
    <w:rsid w:val="19FE7A3A"/>
    <w:rsid w:val="1A004F91"/>
    <w:rsid w:val="1A0656A7"/>
    <w:rsid w:val="1A271AB1"/>
    <w:rsid w:val="1A320781"/>
    <w:rsid w:val="1A393593"/>
    <w:rsid w:val="1A7B1124"/>
    <w:rsid w:val="1A873FF4"/>
    <w:rsid w:val="1A8A3DEE"/>
    <w:rsid w:val="1A9334AF"/>
    <w:rsid w:val="1A9609E5"/>
    <w:rsid w:val="1A9D1D74"/>
    <w:rsid w:val="1AA90718"/>
    <w:rsid w:val="1AAA2986"/>
    <w:rsid w:val="1AAE3F81"/>
    <w:rsid w:val="1AB107E2"/>
    <w:rsid w:val="1AB377E9"/>
    <w:rsid w:val="1ABA7B4A"/>
    <w:rsid w:val="1ABC044C"/>
    <w:rsid w:val="1AC3534D"/>
    <w:rsid w:val="1ADE294C"/>
    <w:rsid w:val="1AF16C4B"/>
    <w:rsid w:val="1B031D63"/>
    <w:rsid w:val="1B154CCC"/>
    <w:rsid w:val="1B1A121B"/>
    <w:rsid w:val="1B1F5755"/>
    <w:rsid w:val="1B291859"/>
    <w:rsid w:val="1B3319E3"/>
    <w:rsid w:val="1BB10091"/>
    <w:rsid w:val="1BB27AA1"/>
    <w:rsid w:val="1BC17370"/>
    <w:rsid w:val="1BC87B33"/>
    <w:rsid w:val="1C102396"/>
    <w:rsid w:val="1C3461B3"/>
    <w:rsid w:val="1C3B1844"/>
    <w:rsid w:val="1C3F23CB"/>
    <w:rsid w:val="1C445B4B"/>
    <w:rsid w:val="1C5D1489"/>
    <w:rsid w:val="1C691077"/>
    <w:rsid w:val="1C6A4CEB"/>
    <w:rsid w:val="1C6C7C4F"/>
    <w:rsid w:val="1CA2751E"/>
    <w:rsid w:val="1CAB3710"/>
    <w:rsid w:val="1D0147ED"/>
    <w:rsid w:val="1D164E45"/>
    <w:rsid w:val="1D303373"/>
    <w:rsid w:val="1D321938"/>
    <w:rsid w:val="1D3A4BFC"/>
    <w:rsid w:val="1D3D7BD9"/>
    <w:rsid w:val="1D44260C"/>
    <w:rsid w:val="1D4754C2"/>
    <w:rsid w:val="1D660B43"/>
    <w:rsid w:val="1D81772B"/>
    <w:rsid w:val="1D886054"/>
    <w:rsid w:val="1D8D4321"/>
    <w:rsid w:val="1DBA07BA"/>
    <w:rsid w:val="1DD109F2"/>
    <w:rsid w:val="1DD43CFE"/>
    <w:rsid w:val="1DF50375"/>
    <w:rsid w:val="1E0A5972"/>
    <w:rsid w:val="1E0B7C38"/>
    <w:rsid w:val="1E1746E0"/>
    <w:rsid w:val="1E1C321D"/>
    <w:rsid w:val="1E2364A8"/>
    <w:rsid w:val="1E285DF8"/>
    <w:rsid w:val="1E2D41A2"/>
    <w:rsid w:val="1E2E20E9"/>
    <w:rsid w:val="1E45001E"/>
    <w:rsid w:val="1E4744D0"/>
    <w:rsid w:val="1EAC06E4"/>
    <w:rsid w:val="1EB27F3B"/>
    <w:rsid w:val="1EBA637E"/>
    <w:rsid w:val="1ECE2E43"/>
    <w:rsid w:val="1EDA5344"/>
    <w:rsid w:val="1EE05BC3"/>
    <w:rsid w:val="1EE77A61"/>
    <w:rsid w:val="1EF81C6E"/>
    <w:rsid w:val="1F053A37"/>
    <w:rsid w:val="1F0C1276"/>
    <w:rsid w:val="1F0D1E01"/>
    <w:rsid w:val="1F3D1F15"/>
    <w:rsid w:val="1F6D7F66"/>
    <w:rsid w:val="1F7E6F8B"/>
    <w:rsid w:val="1F861028"/>
    <w:rsid w:val="1F8B45B3"/>
    <w:rsid w:val="1F8F7679"/>
    <w:rsid w:val="1FA3607E"/>
    <w:rsid w:val="1FCB2F55"/>
    <w:rsid w:val="1FDA5BCA"/>
    <w:rsid w:val="1FDC6E9A"/>
    <w:rsid w:val="1FDE19B4"/>
    <w:rsid w:val="1FEF6BCD"/>
    <w:rsid w:val="2010411A"/>
    <w:rsid w:val="202076CF"/>
    <w:rsid w:val="202251F5"/>
    <w:rsid w:val="203942EC"/>
    <w:rsid w:val="20484530"/>
    <w:rsid w:val="20532DC7"/>
    <w:rsid w:val="205E3364"/>
    <w:rsid w:val="20635322"/>
    <w:rsid w:val="20686980"/>
    <w:rsid w:val="20835454"/>
    <w:rsid w:val="208E0FA0"/>
    <w:rsid w:val="209D6898"/>
    <w:rsid w:val="20A076E0"/>
    <w:rsid w:val="20A21E92"/>
    <w:rsid w:val="20A30FC9"/>
    <w:rsid w:val="20A43E5C"/>
    <w:rsid w:val="20AE3D68"/>
    <w:rsid w:val="20B41BC5"/>
    <w:rsid w:val="20C757F3"/>
    <w:rsid w:val="20DD55C0"/>
    <w:rsid w:val="20E437B2"/>
    <w:rsid w:val="20F16975"/>
    <w:rsid w:val="20F90E73"/>
    <w:rsid w:val="20FE42D5"/>
    <w:rsid w:val="21015E9E"/>
    <w:rsid w:val="21025026"/>
    <w:rsid w:val="211A411E"/>
    <w:rsid w:val="211B0A26"/>
    <w:rsid w:val="211F7986"/>
    <w:rsid w:val="213056EF"/>
    <w:rsid w:val="214E201A"/>
    <w:rsid w:val="21717AB6"/>
    <w:rsid w:val="2185149E"/>
    <w:rsid w:val="218B501C"/>
    <w:rsid w:val="219C3D3D"/>
    <w:rsid w:val="21A451C1"/>
    <w:rsid w:val="21A734D8"/>
    <w:rsid w:val="21A737C5"/>
    <w:rsid w:val="21BA6FC9"/>
    <w:rsid w:val="21BD7C6B"/>
    <w:rsid w:val="21BE719F"/>
    <w:rsid w:val="21C12FBD"/>
    <w:rsid w:val="220D3C83"/>
    <w:rsid w:val="22103DC4"/>
    <w:rsid w:val="22153238"/>
    <w:rsid w:val="22255FDC"/>
    <w:rsid w:val="223034CD"/>
    <w:rsid w:val="22486A69"/>
    <w:rsid w:val="22511DC1"/>
    <w:rsid w:val="225B679C"/>
    <w:rsid w:val="22625D7D"/>
    <w:rsid w:val="228E4DC3"/>
    <w:rsid w:val="229961E7"/>
    <w:rsid w:val="232474D6"/>
    <w:rsid w:val="233B65CE"/>
    <w:rsid w:val="23411E36"/>
    <w:rsid w:val="235339DB"/>
    <w:rsid w:val="235C09FC"/>
    <w:rsid w:val="238E0DF3"/>
    <w:rsid w:val="23917E5C"/>
    <w:rsid w:val="23BB243B"/>
    <w:rsid w:val="23BD6FE3"/>
    <w:rsid w:val="23CA7E3E"/>
    <w:rsid w:val="23E55E50"/>
    <w:rsid w:val="23E77E90"/>
    <w:rsid w:val="241207AA"/>
    <w:rsid w:val="24134CBB"/>
    <w:rsid w:val="24134E54"/>
    <w:rsid w:val="241A79CD"/>
    <w:rsid w:val="241F353D"/>
    <w:rsid w:val="24350DA1"/>
    <w:rsid w:val="24765B0F"/>
    <w:rsid w:val="249809AC"/>
    <w:rsid w:val="24BE0AEA"/>
    <w:rsid w:val="24BE74B6"/>
    <w:rsid w:val="24C662E1"/>
    <w:rsid w:val="24CC4448"/>
    <w:rsid w:val="24CC7C17"/>
    <w:rsid w:val="24CF3471"/>
    <w:rsid w:val="251D242F"/>
    <w:rsid w:val="252F3F10"/>
    <w:rsid w:val="25317C88"/>
    <w:rsid w:val="25445C0D"/>
    <w:rsid w:val="254C4AC2"/>
    <w:rsid w:val="2552762D"/>
    <w:rsid w:val="255536BF"/>
    <w:rsid w:val="255D282B"/>
    <w:rsid w:val="256C5420"/>
    <w:rsid w:val="257F09F3"/>
    <w:rsid w:val="25814182"/>
    <w:rsid w:val="25852406"/>
    <w:rsid w:val="25961FEA"/>
    <w:rsid w:val="259F4C9D"/>
    <w:rsid w:val="25A22934"/>
    <w:rsid w:val="25A944DA"/>
    <w:rsid w:val="25B7181B"/>
    <w:rsid w:val="25BC1C48"/>
    <w:rsid w:val="25CC15E4"/>
    <w:rsid w:val="25CF188C"/>
    <w:rsid w:val="25DC3EC9"/>
    <w:rsid w:val="26054D70"/>
    <w:rsid w:val="26116C00"/>
    <w:rsid w:val="26323CB8"/>
    <w:rsid w:val="26345C82"/>
    <w:rsid w:val="2652017F"/>
    <w:rsid w:val="26766D0B"/>
    <w:rsid w:val="267918E7"/>
    <w:rsid w:val="269F7801"/>
    <w:rsid w:val="26A0773C"/>
    <w:rsid w:val="26C223CD"/>
    <w:rsid w:val="26DF395B"/>
    <w:rsid w:val="26EF3957"/>
    <w:rsid w:val="26F14393"/>
    <w:rsid w:val="272B66A2"/>
    <w:rsid w:val="27455BB5"/>
    <w:rsid w:val="275163C0"/>
    <w:rsid w:val="276C4FA7"/>
    <w:rsid w:val="278E0648"/>
    <w:rsid w:val="27A75FE0"/>
    <w:rsid w:val="27AF6820"/>
    <w:rsid w:val="27AF7382"/>
    <w:rsid w:val="27C070A1"/>
    <w:rsid w:val="27D112AE"/>
    <w:rsid w:val="27EC60E8"/>
    <w:rsid w:val="27EF299C"/>
    <w:rsid w:val="27F84A8D"/>
    <w:rsid w:val="280D7E4E"/>
    <w:rsid w:val="281D49BB"/>
    <w:rsid w:val="2820263D"/>
    <w:rsid w:val="2858552C"/>
    <w:rsid w:val="286640ED"/>
    <w:rsid w:val="28A13801"/>
    <w:rsid w:val="28C826B1"/>
    <w:rsid w:val="28CC1C82"/>
    <w:rsid w:val="28CE7E42"/>
    <w:rsid w:val="28E868B0"/>
    <w:rsid w:val="28EF3353"/>
    <w:rsid w:val="28F039B6"/>
    <w:rsid w:val="290B259E"/>
    <w:rsid w:val="29192336"/>
    <w:rsid w:val="291C0797"/>
    <w:rsid w:val="29392739"/>
    <w:rsid w:val="29515315"/>
    <w:rsid w:val="29544CA8"/>
    <w:rsid w:val="29613037"/>
    <w:rsid w:val="29A053DC"/>
    <w:rsid w:val="29B36852"/>
    <w:rsid w:val="29BC337B"/>
    <w:rsid w:val="29C4731D"/>
    <w:rsid w:val="29D357B2"/>
    <w:rsid w:val="29D62BAC"/>
    <w:rsid w:val="29DF3326"/>
    <w:rsid w:val="29E277A3"/>
    <w:rsid w:val="29EA57D3"/>
    <w:rsid w:val="2A0934B4"/>
    <w:rsid w:val="2A1417F0"/>
    <w:rsid w:val="2A287485"/>
    <w:rsid w:val="2A3A736B"/>
    <w:rsid w:val="2A4873A1"/>
    <w:rsid w:val="2A4D10C0"/>
    <w:rsid w:val="2A742AF1"/>
    <w:rsid w:val="2A7C7BF7"/>
    <w:rsid w:val="2A817853"/>
    <w:rsid w:val="2A871F05"/>
    <w:rsid w:val="2AA93E12"/>
    <w:rsid w:val="2AAB3C66"/>
    <w:rsid w:val="2ABE5B1A"/>
    <w:rsid w:val="2ACD5BE2"/>
    <w:rsid w:val="2ADB2A24"/>
    <w:rsid w:val="2AEF03C9"/>
    <w:rsid w:val="2AF552B4"/>
    <w:rsid w:val="2B0B75FC"/>
    <w:rsid w:val="2B146082"/>
    <w:rsid w:val="2B2C33CC"/>
    <w:rsid w:val="2B395AE8"/>
    <w:rsid w:val="2B474602"/>
    <w:rsid w:val="2B522706"/>
    <w:rsid w:val="2B65039F"/>
    <w:rsid w:val="2B990335"/>
    <w:rsid w:val="2B9B40AD"/>
    <w:rsid w:val="2B9B61D1"/>
    <w:rsid w:val="2BB42C68"/>
    <w:rsid w:val="2BBA41BB"/>
    <w:rsid w:val="2BBF5FEE"/>
    <w:rsid w:val="2BC01AFE"/>
    <w:rsid w:val="2BE912BD"/>
    <w:rsid w:val="2BEA293F"/>
    <w:rsid w:val="2BEF0B9E"/>
    <w:rsid w:val="2C106849"/>
    <w:rsid w:val="2C3047F6"/>
    <w:rsid w:val="2C316E0A"/>
    <w:rsid w:val="2C4E2ECE"/>
    <w:rsid w:val="2C541B9F"/>
    <w:rsid w:val="2C5A3F68"/>
    <w:rsid w:val="2C6941AB"/>
    <w:rsid w:val="2C770676"/>
    <w:rsid w:val="2C7E1DCF"/>
    <w:rsid w:val="2C8965FC"/>
    <w:rsid w:val="2C9034E6"/>
    <w:rsid w:val="2C97709A"/>
    <w:rsid w:val="2C9867D0"/>
    <w:rsid w:val="2C9C00DD"/>
    <w:rsid w:val="2CA3146B"/>
    <w:rsid w:val="2CAB0320"/>
    <w:rsid w:val="2CB35427"/>
    <w:rsid w:val="2CC1123B"/>
    <w:rsid w:val="2CD07D87"/>
    <w:rsid w:val="2CE37DC1"/>
    <w:rsid w:val="2CED6B8B"/>
    <w:rsid w:val="2CFD5BB3"/>
    <w:rsid w:val="2D1E0AF2"/>
    <w:rsid w:val="2D216834"/>
    <w:rsid w:val="2D22674A"/>
    <w:rsid w:val="2D3C541C"/>
    <w:rsid w:val="2D4064BC"/>
    <w:rsid w:val="2D413780"/>
    <w:rsid w:val="2D4D587B"/>
    <w:rsid w:val="2D5B3AF4"/>
    <w:rsid w:val="2D6D6059"/>
    <w:rsid w:val="2D744BB6"/>
    <w:rsid w:val="2DB77A7F"/>
    <w:rsid w:val="2DEE571D"/>
    <w:rsid w:val="2DF857E7"/>
    <w:rsid w:val="2DFB4468"/>
    <w:rsid w:val="2DFB52D7"/>
    <w:rsid w:val="2E014A64"/>
    <w:rsid w:val="2E104609"/>
    <w:rsid w:val="2E1A575D"/>
    <w:rsid w:val="2E3B3926"/>
    <w:rsid w:val="2E4554E1"/>
    <w:rsid w:val="2E4F2F2D"/>
    <w:rsid w:val="2E7E7DC6"/>
    <w:rsid w:val="2EA43279"/>
    <w:rsid w:val="2EBA6F40"/>
    <w:rsid w:val="2EBC6814"/>
    <w:rsid w:val="2EE6563F"/>
    <w:rsid w:val="2EF064BE"/>
    <w:rsid w:val="2EF10702"/>
    <w:rsid w:val="2EFA10EB"/>
    <w:rsid w:val="2F074DFC"/>
    <w:rsid w:val="2F25085E"/>
    <w:rsid w:val="2F2E54B8"/>
    <w:rsid w:val="2F3677EE"/>
    <w:rsid w:val="2F3A3BDD"/>
    <w:rsid w:val="2F432A92"/>
    <w:rsid w:val="2F81180C"/>
    <w:rsid w:val="2F82048D"/>
    <w:rsid w:val="2F947791"/>
    <w:rsid w:val="2F9F67FF"/>
    <w:rsid w:val="2FA10A09"/>
    <w:rsid w:val="2FA2300B"/>
    <w:rsid w:val="2FB614B6"/>
    <w:rsid w:val="2FCD25BF"/>
    <w:rsid w:val="2FE87F24"/>
    <w:rsid w:val="30202DD3"/>
    <w:rsid w:val="302A5A00"/>
    <w:rsid w:val="302E2703"/>
    <w:rsid w:val="304C24C2"/>
    <w:rsid w:val="306233EC"/>
    <w:rsid w:val="30733FFC"/>
    <w:rsid w:val="30751371"/>
    <w:rsid w:val="30C469E4"/>
    <w:rsid w:val="30C54136"/>
    <w:rsid w:val="30C9346B"/>
    <w:rsid w:val="30E107B4"/>
    <w:rsid w:val="30ED29E5"/>
    <w:rsid w:val="30F60E17"/>
    <w:rsid w:val="312E1520"/>
    <w:rsid w:val="313528AE"/>
    <w:rsid w:val="313A7EC4"/>
    <w:rsid w:val="315C6CC6"/>
    <w:rsid w:val="316B4522"/>
    <w:rsid w:val="3179279B"/>
    <w:rsid w:val="317E24A7"/>
    <w:rsid w:val="31921AAF"/>
    <w:rsid w:val="319D518F"/>
    <w:rsid w:val="320F4EAD"/>
    <w:rsid w:val="321C75CA"/>
    <w:rsid w:val="324F2058"/>
    <w:rsid w:val="326571C3"/>
    <w:rsid w:val="32785148"/>
    <w:rsid w:val="327D485A"/>
    <w:rsid w:val="32827D75"/>
    <w:rsid w:val="328A13CC"/>
    <w:rsid w:val="328C4750"/>
    <w:rsid w:val="32943604"/>
    <w:rsid w:val="32A3745F"/>
    <w:rsid w:val="32D3668B"/>
    <w:rsid w:val="32D527AE"/>
    <w:rsid w:val="32D61E6F"/>
    <w:rsid w:val="32DB5D6E"/>
    <w:rsid w:val="32EC7821"/>
    <w:rsid w:val="330E1609"/>
    <w:rsid w:val="33114C55"/>
    <w:rsid w:val="33182487"/>
    <w:rsid w:val="33233306"/>
    <w:rsid w:val="3341209D"/>
    <w:rsid w:val="33466FF4"/>
    <w:rsid w:val="335541A3"/>
    <w:rsid w:val="3361798A"/>
    <w:rsid w:val="337C155A"/>
    <w:rsid w:val="339337F1"/>
    <w:rsid w:val="33AB0337"/>
    <w:rsid w:val="33C13C9E"/>
    <w:rsid w:val="33F94067"/>
    <w:rsid w:val="340565A1"/>
    <w:rsid w:val="34125129"/>
    <w:rsid w:val="341E2D11"/>
    <w:rsid w:val="34355558"/>
    <w:rsid w:val="34473E4C"/>
    <w:rsid w:val="34666BD6"/>
    <w:rsid w:val="34776692"/>
    <w:rsid w:val="34890FB5"/>
    <w:rsid w:val="349250A0"/>
    <w:rsid w:val="34BC7B5E"/>
    <w:rsid w:val="34C376E7"/>
    <w:rsid w:val="34C77CC1"/>
    <w:rsid w:val="34C91C8B"/>
    <w:rsid w:val="34DF794D"/>
    <w:rsid w:val="34EC3BCC"/>
    <w:rsid w:val="35492DCC"/>
    <w:rsid w:val="35586B6B"/>
    <w:rsid w:val="355B43B6"/>
    <w:rsid w:val="35635C3C"/>
    <w:rsid w:val="35A84AD4"/>
    <w:rsid w:val="35A973C7"/>
    <w:rsid w:val="35B538E8"/>
    <w:rsid w:val="35BA245F"/>
    <w:rsid w:val="35BE7497"/>
    <w:rsid w:val="35E77E4F"/>
    <w:rsid w:val="35F26FC0"/>
    <w:rsid w:val="3619178D"/>
    <w:rsid w:val="362D7FF8"/>
    <w:rsid w:val="36342867"/>
    <w:rsid w:val="363F1AD0"/>
    <w:rsid w:val="36525CB0"/>
    <w:rsid w:val="365955A0"/>
    <w:rsid w:val="36625EF3"/>
    <w:rsid w:val="36752E9F"/>
    <w:rsid w:val="36B070EC"/>
    <w:rsid w:val="36C60D43"/>
    <w:rsid w:val="36E0506A"/>
    <w:rsid w:val="36EE62FB"/>
    <w:rsid w:val="36F11025"/>
    <w:rsid w:val="370D16C9"/>
    <w:rsid w:val="37135440"/>
    <w:rsid w:val="37144D14"/>
    <w:rsid w:val="37296A11"/>
    <w:rsid w:val="37357164"/>
    <w:rsid w:val="37614753"/>
    <w:rsid w:val="376B527C"/>
    <w:rsid w:val="379A16BD"/>
    <w:rsid w:val="37B72065"/>
    <w:rsid w:val="37B7226F"/>
    <w:rsid w:val="37BA3B0D"/>
    <w:rsid w:val="37CD55EE"/>
    <w:rsid w:val="37D03331"/>
    <w:rsid w:val="37DC5518"/>
    <w:rsid w:val="37ED1DDA"/>
    <w:rsid w:val="37F963E3"/>
    <w:rsid w:val="38080D1C"/>
    <w:rsid w:val="381210B2"/>
    <w:rsid w:val="38172253"/>
    <w:rsid w:val="386817BB"/>
    <w:rsid w:val="386F66A6"/>
    <w:rsid w:val="38877E93"/>
    <w:rsid w:val="38A77265"/>
    <w:rsid w:val="38C033A5"/>
    <w:rsid w:val="38CA6E75"/>
    <w:rsid w:val="38CC58A6"/>
    <w:rsid w:val="38E32AE0"/>
    <w:rsid w:val="38E86458"/>
    <w:rsid w:val="38EF3C8A"/>
    <w:rsid w:val="38F13A35"/>
    <w:rsid w:val="39354F1D"/>
    <w:rsid w:val="3950297B"/>
    <w:rsid w:val="39746D9F"/>
    <w:rsid w:val="397E1974"/>
    <w:rsid w:val="39894666"/>
    <w:rsid w:val="39A46823"/>
    <w:rsid w:val="39AD58E0"/>
    <w:rsid w:val="39B63E9B"/>
    <w:rsid w:val="39BF34CA"/>
    <w:rsid w:val="39C742BF"/>
    <w:rsid w:val="39CA4947"/>
    <w:rsid w:val="39D013C6"/>
    <w:rsid w:val="39E66E3B"/>
    <w:rsid w:val="39EA2CE9"/>
    <w:rsid w:val="3A0D6176"/>
    <w:rsid w:val="3A2B7D28"/>
    <w:rsid w:val="3A3F3D49"/>
    <w:rsid w:val="3A4F5E72"/>
    <w:rsid w:val="3A86417A"/>
    <w:rsid w:val="3A940645"/>
    <w:rsid w:val="3AA36ADA"/>
    <w:rsid w:val="3AA840F1"/>
    <w:rsid w:val="3AAC3BE1"/>
    <w:rsid w:val="3AAE2615"/>
    <w:rsid w:val="3AEF2F2C"/>
    <w:rsid w:val="3AF235BE"/>
    <w:rsid w:val="3B0357CB"/>
    <w:rsid w:val="3B037579"/>
    <w:rsid w:val="3B135A0E"/>
    <w:rsid w:val="3B194FEF"/>
    <w:rsid w:val="3B1E0E32"/>
    <w:rsid w:val="3B44206B"/>
    <w:rsid w:val="3B4E6A46"/>
    <w:rsid w:val="3B51333D"/>
    <w:rsid w:val="3B5F0733"/>
    <w:rsid w:val="3B7356E5"/>
    <w:rsid w:val="3B762441"/>
    <w:rsid w:val="3B800EA0"/>
    <w:rsid w:val="3B9C3C56"/>
    <w:rsid w:val="3BA448B8"/>
    <w:rsid w:val="3BAA5C47"/>
    <w:rsid w:val="3BD01B51"/>
    <w:rsid w:val="3BD95A5A"/>
    <w:rsid w:val="3BE02958"/>
    <w:rsid w:val="3C0B2B89"/>
    <w:rsid w:val="3C0E61D6"/>
    <w:rsid w:val="3C263DF6"/>
    <w:rsid w:val="3C4557FF"/>
    <w:rsid w:val="3C6329C5"/>
    <w:rsid w:val="3C7544A7"/>
    <w:rsid w:val="3C920BB5"/>
    <w:rsid w:val="3C9E4EA6"/>
    <w:rsid w:val="3CA710BA"/>
    <w:rsid w:val="3CA803D8"/>
    <w:rsid w:val="3CAC4801"/>
    <w:rsid w:val="3CC64D02"/>
    <w:rsid w:val="3CD226DE"/>
    <w:rsid w:val="3CE25906"/>
    <w:rsid w:val="3D0D46DF"/>
    <w:rsid w:val="3D145A6E"/>
    <w:rsid w:val="3D182EAD"/>
    <w:rsid w:val="3D1933C7"/>
    <w:rsid w:val="3D1C4922"/>
    <w:rsid w:val="3D23409F"/>
    <w:rsid w:val="3D2C7FEA"/>
    <w:rsid w:val="3D2F0AF9"/>
    <w:rsid w:val="3D3E0D3C"/>
    <w:rsid w:val="3D6665D4"/>
    <w:rsid w:val="3D89645B"/>
    <w:rsid w:val="3D9336A3"/>
    <w:rsid w:val="3D960B78"/>
    <w:rsid w:val="3DA54918"/>
    <w:rsid w:val="3DCB3676"/>
    <w:rsid w:val="3DE25B6C"/>
    <w:rsid w:val="3DE47B36"/>
    <w:rsid w:val="3DFF671E"/>
    <w:rsid w:val="3E2717D1"/>
    <w:rsid w:val="3E4834A0"/>
    <w:rsid w:val="3E4E4FAF"/>
    <w:rsid w:val="3E9C262D"/>
    <w:rsid w:val="3EAD43CC"/>
    <w:rsid w:val="3F0F473E"/>
    <w:rsid w:val="3F1E7077"/>
    <w:rsid w:val="3F20350F"/>
    <w:rsid w:val="3F2A5A1C"/>
    <w:rsid w:val="3F34783E"/>
    <w:rsid w:val="3F5605BF"/>
    <w:rsid w:val="3F5813F0"/>
    <w:rsid w:val="3F5E1222"/>
    <w:rsid w:val="3F626F64"/>
    <w:rsid w:val="3F7722E4"/>
    <w:rsid w:val="3F854A01"/>
    <w:rsid w:val="3F964E60"/>
    <w:rsid w:val="3FBD3F7A"/>
    <w:rsid w:val="3FD339BE"/>
    <w:rsid w:val="3FFA0F4B"/>
    <w:rsid w:val="3FFC1906"/>
    <w:rsid w:val="40073668"/>
    <w:rsid w:val="401361F3"/>
    <w:rsid w:val="40170A7C"/>
    <w:rsid w:val="403950BF"/>
    <w:rsid w:val="403D5533"/>
    <w:rsid w:val="404B3E9C"/>
    <w:rsid w:val="404E573A"/>
    <w:rsid w:val="40542D09"/>
    <w:rsid w:val="40842F0A"/>
    <w:rsid w:val="408A49C4"/>
    <w:rsid w:val="409F1AF2"/>
    <w:rsid w:val="40A1586A"/>
    <w:rsid w:val="40AF442B"/>
    <w:rsid w:val="40D46307"/>
    <w:rsid w:val="40DD22A0"/>
    <w:rsid w:val="40E70812"/>
    <w:rsid w:val="41083B3B"/>
    <w:rsid w:val="410D73A4"/>
    <w:rsid w:val="41384C8F"/>
    <w:rsid w:val="413B1980"/>
    <w:rsid w:val="414032D5"/>
    <w:rsid w:val="41410DFB"/>
    <w:rsid w:val="418105B3"/>
    <w:rsid w:val="41936EB7"/>
    <w:rsid w:val="41A76EB0"/>
    <w:rsid w:val="41E346E8"/>
    <w:rsid w:val="420460B1"/>
    <w:rsid w:val="422E312E"/>
    <w:rsid w:val="423A5F76"/>
    <w:rsid w:val="42707BEA"/>
    <w:rsid w:val="4278084D"/>
    <w:rsid w:val="427B16DA"/>
    <w:rsid w:val="427C253A"/>
    <w:rsid w:val="4286740D"/>
    <w:rsid w:val="42975177"/>
    <w:rsid w:val="42DE2DA6"/>
    <w:rsid w:val="42F67077"/>
    <w:rsid w:val="42F97BDF"/>
    <w:rsid w:val="431B49EE"/>
    <w:rsid w:val="432054A9"/>
    <w:rsid w:val="432B281E"/>
    <w:rsid w:val="436D237B"/>
    <w:rsid w:val="437B7D51"/>
    <w:rsid w:val="437E1E93"/>
    <w:rsid w:val="438020AF"/>
    <w:rsid w:val="438254A7"/>
    <w:rsid w:val="438D20D6"/>
    <w:rsid w:val="438F11EC"/>
    <w:rsid w:val="43B9765D"/>
    <w:rsid w:val="43BE4985"/>
    <w:rsid w:val="43C717B4"/>
    <w:rsid w:val="43D107CA"/>
    <w:rsid w:val="43D23F8D"/>
    <w:rsid w:val="43D75DBE"/>
    <w:rsid w:val="43DC5EB4"/>
    <w:rsid w:val="43DE2931"/>
    <w:rsid w:val="442C5D93"/>
    <w:rsid w:val="443706C8"/>
    <w:rsid w:val="445B6215"/>
    <w:rsid w:val="44682474"/>
    <w:rsid w:val="4469669F"/>
    <w:rsid w:val="447C5A25"/>
    <w:rsid w:val="447E42CF"/>
    <w:rsid w:val="4488746D"/>
    <w:rsid w:val="44A1052F"/>
    <w:rsid w:val="44C10289"/>
    <w:rsid w:val="44CB55AC"/>
    <w:rsid w:val="44D949E6"/>
    <w:rsid w:val="44D97CC8"/>
    <w:rsid w:val="44DC3F75"/>
    <w:rsid w:val="44F468B0"/>
    <w:rsid w:val="450665E4"/>
    <w:rsid w:val="450E66A6"/>
    <w:rsid w:val="451A5BEB"/>
    <w:rsid w:val="451E56DB"/>
    <w:rsid w:val="45351421"/>
    <w:rsid w:val="455E01CE"/>
    <w:rsid w:val="456B4699"/>
    <w:rsid w:val="45703A5D"/>
    <w:rsid w:val="457273C9"/>
    <w:rsid w:val="459443F3"/>
    <w:rsid w:val="459D60E3"/>
    <w:rsid w:val="45A5362A"/>
    <w:rsid w:val="45AC15F9"/>
    <w:rsid w:val="45AD4CB1"/>
    <w:rsid w:val="45AF21F7"/>
    <w:rsid w:val="45C51FFB"/>
    <w:rsid w:val="45DC4237"/>
    <w:rsid w:val="45E05388"/>
    <w:rsid w:val="45E51E9E"/>
    <w:rsid w:val="45EC2F50"/>
    <w:rsid w:val="45F4643C"/>
    <w:rsid w:val="45F82FDB"/>
    <w:rsid w:val="46030FAE"/>
    <w:rsid w:val="461B60BF"/>
    <w:rsid w:val="46333408"/>
    <w:rsid w:val="46390A65"/>
    <w:rsid w:val="463E140B"/>
    <w:rsid w:val="465D2233"/>
    <w:rsid w:val="4669507C"/>
    <w:rsid w:val="46862B6D"/>
    <w:rsid w:val="46B02CAB"/>
    <w:rsid w:val="46B662D7"/>
    <w:rsid w:val="46C15AEA"/>
    <w:rsid w:val="46D06EA9"/>
    <w:rsid w:val="46D7609D"/>
    <w:rsid w:val="46DC584E"/>
    <w:rsid w:val="46F26D9C"/>
    <w:rsid w:val="46FA3F26"/>
    <w:rsid w:val="473016F6"/>
    <w:rsid w:val="475278BE"/>
    <w:rsid w:val="475950F1"/>
    <w:rsid w:val="475F1427"/>
    <w:rsid w:val="476475F1"/>
    <w:rsid w:val="47727F60"/>
    <w:rsid w:val="47753672"/>
    <w:rsid w:val="47774857"/>
    <w:rsid w:val="4783216D"/>
    <w:rsid w:val="4791382C"/>
    <w:rsid w:val="47A520E4"/>
    <w:rsid w:val="47B95642"/>
    <w:rsid w:val="47C50090"/>
    <w:rsid w:val="47D209FF"/>
    <w:rsid w:val="47D57184"/>
    <w:rsid w:val="47DC21FB"/>
    <w:rsid w:val="47E14E83"/>
    <w:rsid w:val="47E531EC"/>
    <w:rsid w:val="47FD07DD"/>
    <w:rsid w:val="48074B4D"/>
    <w:rsid w:val="484710F9"/>
    <w:rsid w:val="48475FD9"/>
    <w:rsid w:val="486503B3"/>
    <w:rsid w:val="48847F4B"/>
    <w:rsid w:val="48861F15"/>
    <w:rsid w:val="48873598"/>
    <w:rsid w:val="48881051"/>
    <w:rsid w:val="48C90054"/>
    <w:rsid w:val="48CC544E"/>
    <w:rsid w:val="48D4312C"/>
    <w:rsid w:val="48D93EAD"/>
    <w:rsid w:val="48F17372"/>
    <w:rsid w:val="48F2260D"/>
    <w:rsid w:val="48FE2C52"/>
    <w:rsid w:val="49156DF5"/>
    <w:rsid w:val="492E435B"/>
    <w:rsid w:val="49357F31"/>
    <w:rsid w:val="49437E06"/>
    <w:rsid w:val="49496A9F"/>
    <w:rsid w:val="494A2750"/>
    <w:rsid w:val="496A1CF9"/>
    <w:rsid w:val="497A3D4B"/>
    <w:rsid w:val="497A478D"/>
    <w:rsid w:val="4981092F"/>
    <w:rsid w:val="49D14B9B"/>
    <w:rsid w:val="49D5105C"/>
    <w:rsid w:val="49DF628C"/>
    <w:rsid w:val="49F7474D"/>
    <w:rsid w:val="49FC7FB5"/>
    <w:rsid w:val="4A031344"/>
    <w:rsid w:val="4A111CB3"/>
    <w:rsid w:val="4A1174C2"/>
    <w:rsid w:val="4A1C113E"/>
    <w:rsid w:val="4A235F41"/>
    <w:rsid w:val="4A365275"/>
    <w:rsid w:val="4A3E05CE"/>
    <w:rsid w:val="4A5B1180"/>
    <w:rsid w:val="4A704E76"/>
    <w:rsid w:val="4A7D2ECA"/>
    <w:rsid w:val="4A887E93"/>
    <w:rsid w:val="4A8C6CAA"/>
    <w:rsid w:val="4AAB5B1D"/>
    <w:rsid w:val="4AD7645F"/>
    <w:rsid w:val="4AE4170E"/>
    <w:rsid w:val="4AE57206"/>
    <w:rsid w:val="4B105AC6"/>
    <w:rsid w:val="4B35552D"/>
    <w:rsid w:val="4B3F63AB"/>
    <w:rsid w:val="4B4B19C4"/>
    <w:rsid w:val="4B575086"/>
    <w:rsid w:val="4BCD1C09"/>
    <w:rsid w:val="4BD42BD2"/>
    <w:rsid w:val="4BEE7F22"/>
    <w:rsid w:val="4C213D03"/>
    <w:rsid w:val="4C235CCD"/>
    <w:rsid w:val="4C327CBE"/>
    <w:rsid w:val="4C35675F"/>
    <w:rsid w:val="4C7D53DD"/>
    <w:rsid w:val="4C8C73CE"/>
    <w:rsid w:val="4CC0735A"/>
    <w:rsid w:val="4CD14E04"/>
    <w:rsid w:val="4CDF5113"/>
    <w:rsid w:val="4CE11504"/>
    <w:rsid w:val="4CE27EB0"/>
    <w:rsid w:val="4CE30FB8"/>
    <w:rsid w:val="4CEA0588"/>
    <w:rsid w:val="4CED5A17"/>
    <w:rsid w:val="4CF84A64"/>
    <w:rsid w:val="4D063619"/>
    <w:rsid w:val="4D105B53"/>
    <w:rsid w:val="4D183358"/>
    <w:rsid w:val="4D1D44CA"/>
    <w:rsid w:val="4D357A66"/>
    <w:rsid w:val="4D3D1397"/>
    <w:rsid w:val="4D4372DB"/>
    <w:rsid w:val="4D6469F5"/>
    <w:rsid w:val="4D654738"/>
    <w:rsid w:val="4DA34338"/>
    <w:rsid w:val="4DA90862"/>
    <w:rsid w:val="4DB36BDD"/>
    <w:rsid w:val="4DB647B5"/>
    <w:rsid w:val="4DBE5CAD"/>
    <w:rsid w:val="4DD54DA5"/>
    <w:rsid w:val="4DF25957"/>
    <w:rsid w:val="4DFA2A5E"/>
    <w:rsid w:val="4E35505B"/>
    <w:rsid w:val="4E385ADE"/>
    <w:rsid w:val="4E4940A8"/>
    <w:rsid w:val="4E557C94"/>
    <w:rsid w:val="4E686959"/>
    <w:rsid w:val="4E6B32CF"/>
    <w:rsid w:val="4E7520E4"/>
    <w:rsid w:val="4E834801"/>
    <w:rsid w:val="4E8567CB"/>
    <w:rsid w:val="4E8C7B5A"/>
    <w:rsid w:val="4E9A75B9"/>
    <w:rsid w:val="4EB40E5E"/>
    <w:rsid w:val="4ED16F69"/>
    <w:rsid w:val="4EE17B16"/>
    <w:rsid w:val="4EF21F73"/>
    <w:rsid w:val="4EF42EF8"/>
    <w:rsid w:val="4EFB3575"/>
    <w:rsid w:val="4F173CCD"/>
    <w:rsid w:val="4F181D81"/>
    <w:rsid w:val="4F484E5B"/>
    <w:rsid w:val="4F4C72E9"/>
    <w:rsid w:val="4F642884"/>
    <w:rsid w:val="4F893F57"/>
    <w:rsid w:val="4F93215C"/>
    <w:rsid w:val="4F98252E"/>
    <w:rsid w:val="4FC33C91"/>
    <w:rsid w:val="4FC6709B"/>
    <w:rsid w:val="4FFE6835"/>
    <w:rsid w:val="50033E4B"/>
    <w:rsid w:val="500B5558"/>
    <w:rsid w:val="50120532"/>
    <w:rsid w:val="501B43B3"/>
    <w:rsid w:val="501C4F0D"/>
    <w:rsid w:val="501E2A33"/>
    <w:rsid w:val="504644F6"/>
    <w:rsid w:val="504A7CCC"/>
    <w:rsid w:val="5052092F"/>
    <w:rsid w:val="50533D42"/>
    <w:rsid w:val="506608E7"/>
    <w:rsid w:val="507F51F1"/>
    <w:rsid w:val="50883755"/>
    <w:rsid w:val="50923421"/>
    <w:rsid w:val="50947D26"/>
    <w:rsid w:val="50C7131D"/>
    <w:rsid w:val="50D37F69"/>
    <w:rsid w:val="50D46432"/>
    <w:rsid w:val="50DC4DFF"/>
    <w:rsid w:val="50DD221E"/>
    <w:rsid w:val="50DE750B"/>
    <w:rsid w:val="50E333E2"/>
    <w:rsid w:val="50EF0BE9"/>
    <w:rsid w:val="510513BA"/>
    <w:rsid w:val="51085492"/>
    <w:rsid w:val="510D2AA8"/>
    <w:rsid w:val="51361FFF"/>
    <w:rsid w:val="513D0B98"/>
    <w:rsid w:val="514B3CFC"/>
    <w:rsid w:val="51517676"/>
    <w:rsid w:val="515801C7"/>
    <w:rsid w:val="516E45C5"/>
    <w:rsid w:val="519F5DF6"/>
    <w:rsid w:val="51A56401"/>
    <w:rsid w:val="51B25AF6"/>
    <w:rsid w:val="51C273F1"/>
    <w:rsid w:val="51D22043"/>
    <w:rsid w:val="52085325"/>
    <w:rsid w:val="521A0616"/>
    <w:rsid w:val="521C2531"/>
    <w:rsid w:val="52233E53"/>
    <w:rsid w:val="52265826"/>
    <w:rsid w:val="52470B06"/>
    <w:rsid w:val="52481FEA"/>
    <w:rsid w:val="5250162B"/>
    <w:rsid w:val="52631D56"/>
    <w:rsid w:val="52907A9C"/>
    <w:rsid w:val="52A24DE0"/>
    <w:rsid w:val="52AB4326"/>
    <w:rsid w:val="52B136B7"/>
    <w:rsid w:val="52E714AF"/>
    <w:rsid w:val="52F537F4"/>
    <w:rsid w:val="52FC4B82"/>
    <w:rsid w:val="530A1F2A"/>
    <w:rsid w:val="532540D9"/>
    <w:rsid w:val="53531332"/>
    <w:rsid w:val="5384386F"/>
    <w:rsid w:val="538471F9"/>
    <w:rsid w:val="53937294"/>
    <w:rsid w:val="53A01912"/>
    <w:rsid w:val="53B611D5"/>
    <w:rsid w:val="53B7699D"/>
    <w:rsid w:val="53E716E1"/>
    <w:rsid w:val="53E94A32"/>
    <w:rsid w:val="53F65A75"/>
    <w:rsid w:val="541303D5"/>
    <w:rsid w:val="54574766"/>
    <w:rsid w:val="545A24A8"/>
    <w:rsid w:val="546D5D40"/>
    <w:rsid w:val="547061C6"/>
    <w:rsid w:val="54BE2A37"/>
    <w:rsid w:val="54CD30CC"/>
    <w:rsid w:val="54D21DFE"/>
    <w:rsid w:val="54F55D2D"/>
    <w:rsid w:val="54F613CB"/>
    <w:rsid w:val="551E66FF"/>
    <w:rsid w:val="552503C0"/>
    <w:rsid w:val="554271C4"/>
    <w:rsid w:val="55553E0A"/>
    <w:rsid w:val="55627A6E"/>
    <w:rsid w:val="556B3880"/>
    <w:rsid w:val="55D6790C"/>
    <w:rsid w:val="55FF3307"/>
    <w:rsid w:val="56095F34"/>
    <w:rsid w:val="56256175"/>
    <w:rsid w:val="562C1C22"/>
    <w:rsid w:val="56424FA2"/>
    <w:rsid w:val="56674A08"/>
    <w:rsid w:val="56735488"/>
    <w:rsid w:val="5697709C"/>
    <w:rsid w:val="569A32DE"/>
    <w:rsid w:val="56A70289"/>
    <w:rsid w:val="56BF65F2"/>
    <w:rsid w:val="56EB73E7"/>
    <w:rsid w:val="570505BB"/>
    <w:rsid w:val="570F757A"/>
    <w:rsid w:val="571F6A41"/>
    <w:rsid w:val="5746243C"/>
    <w:rsid w:val="57462870"/>
    <w:rsid w:val="574C5359"/>
    <w:rsid w:val="57502ADC"/>
    <w:rsid w:val="57543256"/>
    <w:rsid w:val="57544334"/>
    <w:rsid w:val="57650F48"/>
    <w:rsid w:val="576E23B2"/>
    <w:rsid w:val="577473DD"/>
    <w:rsid w:val="578215C2"/>
    <w:rsid w:val="578730E0"/>
    <w:rsid w:val="578C0BCA"/>
    <w:rsid w:val="579730CB"/>
    <w:rsid w:val="57984CA2"/>
    <w:rsid w:val="57A35F14"/>
    <w:rsid w:val="57C540DC"/>
    <w:rsid w:val="57DB3900"/>
    <w:rsid w:val="582B03E3"/>
    <w:rsid w:val="58354DBE"/>
    <w:rsid w:val="58355790"/>
    <w:rsid w:val="58366D88"/>
    <w:rsid w:val="583C01A1"/>
    <w:rsid w:val="585A65D3"/>
    <w:rsid w:val="5864531E"/>
    <w:rsid w:val="587A2FAA"/>
    <w:rsid w:val="588F0029"/>
    <w:rsid w:val="58A65CBC"/>
    <w:rsid w:val="58C647A1"/>
    <w:rsid w:val="58D04AE7"/>
    <w:rsid w:val="58EE133B"/>
    <w:rsid w:val="58F5279F"/>
    <w:rsid w:val="591F4EFC"/>
    <w:rsid w:val="59202368"/>
    <w:rsid w:val="592A3A26"/>
    <w:rsid w:val="59317299"/>
    <w:rsid w:val="593212FE"/>
    <w:rsid w:val="593F10C7"/>
    <w:rsid w:val="59426606"/>
    <w:rsid w:val="594A2AEB"/>
    <w:rsid w:val="595B4CF8"/>
    <w:rsid w:val="59613991"/>
    <w:rsid w:val="599A1AF4"/>
    <w:rsid w:val="59A10231"/>
    <w:rsid w:val="59AC10B0"/>
    <w:rsid w:val="59BE0DE3"/>
    <w:rsid w:val="59C02DAD"/>
    <w:rsid w:val="59DD2F33"/>
    <w:rsid w:val="5A04713E"/>
    <w:rsid w:val="5A0C7DA1"/>
    <w:rsid w:val="5A20427A"/>
    <w:rsid w:val="5A35454F"/>
    <w:rsid w:val="5A71005B"/>
    <w:rsid w:val="5A7400A4"/>
    <w:rsid w:val="5A87525A"/>
    <w:rsid w:val="5A9512B0"/>
    <w:rsid w:val="5AA614AA"/>
    <w:rsid w:val="5AB506C7"/>
    <w:rsid w:val="5AC75083"/>
    <w:rsid w:val="5AC861CB"/>
    <w:rsid w:val="5AF947C9"/>
    <w:rsid w:val="5B046CCA"/>
    <w:rsid w:val="5B0E7B48"/>
    <w:rsid w:val="5B361EF0"/>
    <w:rsid w:val="5B4377F2"/>
    <w:rsid w:val="5B4A24A8"/>
    <w:rsid w:val="5B5419FF"/>
    <w:rsid w:val="5B5C6B06"/>
    <w:rsid w:val="5B5D1941"/>
    <w:rsid w:val="5B5E63DA"/>
    <w:rsid w:val="5B6339F0"/>
    <w:rsid w:val="5B6558EA"/>
    <w:rsid w:val="5B711DBD"/>
    <w:rsid w:val="5B772949"/>
    <w:rsid w:val="5B7D4360"/>
    <w:rsid w:val="5B84591C"/>
    <w:rsid w:val="5B904C74"/>
    <w:rsid w:val="5BA3311D"/>
    <w:rsid w:val="5BA504AD"/>
    <w:rsid w:val="5BA858A7"/>
    <w:rsid w:val="5BB07FD0"/>
    <w:rsid w:val="5BCD3341"/>
    <w:rsid w:val="5BCF43FA"/>
    <w:rsid w:val="5BE10DB9"/>
    <w:rsid w:val="5C1144EC"/>
    <w:rsid w:val="5C452ADC"/>
    <w:rsid w:val="5C480E38"/>
    <w:rsid w:val="5C653798"/>
    <w:rsid w:val="5C7A0CAF"/>
    <w:rsid w:val="5C816392"/>
    <w:rsid w:val="5C8B4A99"/>
    <w:rsid w:val="5C8E2CEF"/>
    <w:rsid w:val="5CAE2269"/>
    <w:rsid w:val="5CB7636E"/>
    <w:rsid w:val="5CCF5743"/>
    <w:rsid w:val="5CD03307"/>
    <w:rsid w:val="5CDA3A05"/>
    <w:rsid w:val="5CFE4C15"/>
    <w:rsid w:val="5D1F7DEB"/>
    <w:rsid w:val="5D421D00"/>
    <w:rsid w:val="5D69550A"/>
    <w:rsid w:val="5D7C6FEB"/>
    <w:rsid w:val="5D8E730D"/>
    <w:rsid w:val="5DA66FF6"/>
    <w:rsid w:val="5DB3034D"/>
    <w:rsid w:val="5DC56BE4"/>
    <w:rsid w:val="5E000374"/>
    <w:rsid w:val="5E0A598D"/>
    <w:rsid w:val="5E326C2A"/>
    <w:rsid w:val="5E393C95"/>
    <w:rsid w:val="5E415574"/>
    <w:rsid w:val="5E4775F9"/>
    <w:rsid w:val="5E6737F7"/>
    <w:rsid w:val="5E7B54F5"/>
    <w:rsid w:val="5E9B5B97"/>
    <w:rsid w:val="5EB21A09"/>
    <w:rsid w:val="5EB56C59"/>
    <w:rsid w:val="5EB73D3F"/>
    <w:rsid w:val="5EC944B2"/>
    <w:rsid w:val="5EDA2A50"/>
    <w:rsid w:val="5EF446F3"/>
    <w:rsid w:val="5EF74DE2"/>
    <w:rsid w:val="5EFA28BD"/>
    <w:rsid w:val="5F026F79"/>
    <w:rsid w:val="5F090D52"/>
    <w:rsid w:val="5F0C0844"/>
    <w:rsid w:val="5F1D6DFA"/>
    <w:rsid w:val="5F206585"/>
    <w:rsid w:val="5F217E4A"/>
    <w:rsid w:val="5F25590B"/>
    <w:rsid w:val="5F28567D"/>
    <w:rsid w:val="5F36141C"/>
    <w:rsid w:val="5F3A78C4"/>
    <w:rsid w:val="5F427DC1"/>
    <w:rsid w:val="5F612F1E"/>
    <w:rsid w:val="5F6627C3"/>
    <w:rsid w:val="5F6C69A2"/>
    <w:rsid w:val="5FB749AA"/>
    <w:rsid w:val="5FBA204D"/>
    <w:rsid w:val="5FBF65A4"/>
    <w:rsid w:val="5FC44C79"/>
    <w:rsid w:val="5FCD32BF"/>
    <w:rsid w:val="5FD0361E"/>
    <w:rsid w:val="5FDA624B"/>
    <w:rsid w:val="5FF90DC7"/>
    <w:rsid w:val="5FFB57B4"/>
    <w:rsid w:val="60011F50"/>
    <w:rsid w:val="60067040"/>
    <w:rsid w:val="60171389"/>
    <w:rsid w:val="60192DFB"/>
    <w:rsid w:val="603C0CB4"/>
    <w:rsid w:val="603E52AF"/>
    <w:rsid w:val="6042451C"/>
    <w:rsid w:val="604638E0"/>
    <w:rsid w:val="604A6F12"/>
    <w:rsid w:val="6050592E"/>
    <w:rsid w:val="606335FD"/>
    <w:rsid w:val="60636240"/>
    <w:rsid w:val="607C7302"/>
    <w:rsid w:val="60866FE9"/>
    <w:rsid w:val="60885CA7"/>
    <w:rsid w:val="609076F3"/>
    <w:rsid w:val="60B116A2"/>
    <w:rsid w:val="60B92AA1"/>
    <w:rsid w:val="60B978E1"/>
    <w:rsid w:val="60C767CF"/>
    <w:rsid w:val="61013D8C"/>
    <w:rsid w:val="610D1192"/>
    <w:rsid w:val="610E7639"/>
    <w:rsid w:val="61112140"/>
    <w:rsid w:val="611746C6"/>
    <w:rsid w:val="611B3CDB"/>
    <w:rsid w:val="612260FC"/>
    <w:rsid w:val="612E2CF2"/>
    <w:rsid w:val="613F280A"/>
    <w:rsid w:val="614776E2"/>
    <w:rsid w:val="61483969"/>
    <w:rsid w:val="615838CB"/>
    <w:rsid w:val="61791DB9"/>
    <w:rsid w:val="617A7CE6"/>
    <w:rsid w:val="61A11716"/>
    <w:rsid w:val="61A73772"/>
    <w:rsid w:val="61B22589"/>
    <w:rsid w:val="61B256D1"/>
    <w:rsid w:val="61B96A60"/>
    <w:rsid w:val="61BA5D22"/>
    <w:rsid w:val="61BC20AC"/>
    <w:rsid w:val="61BC5CB5"/>
    <w:rsid w:val="61DC7777"/>
    <w:rsid w:val="61F01D56"/>
    <w:rsid w:val="61F820D9"/>
    <w:rsid w:val="62015D11"/>
    <w:rsid w:val="620D4D8D"/>
    <w:rsid w:val="621D6D0B"/>
    <w:rsid w:val="62483940"/>
    <w:rsid w:val="62914BB0"/>
    <w:rsid w:val="62C63811"/>
    <w:rsid w:val="62CE02E9"/>
    <w:rsid w:val="62DD4B3D"/>
    <w:rsid w:val="62EF200D"/>
    <w:rsid w:val="63155F18"/>
    <w:rsid w:val="63181564"/>
    <w:rsid w:val="63384717"/>
    <w:rsid w:val="634E0490"/>
    <w:rsid w:val="635702D8"/>
    <w:rsid w:val="63620A31"/>
    <w:rsid w:val="636712EA"/>
    <w:rsid w:val="637B117C"/>
    <w:rsid w:val="638B442C"/>
    <w:rsid w:val="63AD27E7"/>
    <w:rsid w:val="63D35E18"/>
    <w:rsid w:val="63DF65BB"/>
    <w:rsid w:val="63F20B2D"/>
    <w:rsid w:val="63FC658A"/>
    <w:rsid w:val="64002DAD"/>
    <w:rsid w:val="64041C35"/>
    <w:rsid w:val="643A2480"/>
    <w:rsid w:val="644B4527"/>
    <w:rsid w:val="649B069F"/>
    <w:rsid w:val="64A14FE1"/>
    <w:rsid w:val="64A74B06"/>
    <w:rsid w:val="64A7518B"/>
    <w:rsid w:val="64C03C61"/>
    <w:rsid w:val="64CF20F6"/>
    <w:rsid w:val="64D67929"/>
    <w:rsid w:val="64E969F4"/>
    <w:rsid w:val="64F1206D"/>
    <w:rsid w:val="64F47DAF"/>
    <w:rsid w:val="64FE478A"/>
    <w:rsid w:val="65036F55"/>
    <w:rsid w:val="65044496"/>
    <w:rsid w:val="6505367B"/>
    <w:rsid w:val="651E528C"/>
    <w:rsid w:val="653B3C30"/>
    <w:rsid w:val="65444892"/>
    <w:rsid w:val="654716F9"/>
    <w:rsid w:val="65776A7D"/>
    <w:rsid w:val="65861CC6"/>
    <w:rsid w:val="6587477F"/>
    <w:rsid w:val="659832B3"/>
    <w:rsid w:val="65A417D5"/>
    <w:rsid w:val="65AD629D"/>
    <w:rsid w:val="65AE7F5E"/>
    <w:rsid w:val="65CB6D62"/>
    <w:rsid w:val="66091638"/>
    <w:rsid w:val="661B7593"/>
    <w:rsid w:val="66220981"/>
    <w:rsid w:val="66271AA6"/>
    <w:rsid w:val="662B18B7"/>
    <w:rsid w:val="66367D2C"/>
    <w:rsid w:val="66382EBD"/>
    <w:rsid w:val="666351EC"/>
    <w:rsid w:val="66651C6A"/>
    <w:rsid w:val="666B5E4F"/>
    <w:rsid w:val="66772A46"/>
    <w:rsid w:val="667D7174"/>
    <w:rsid w:val="66A44182"/>
    <w:rsid w:val="66AC6B93"/>
    <w:rsid w:val="66AE59EF"/>
    <w:rsid w:val="66B43C9A"/>
    <w:rsid w:val="66C20165"/>
    <w:rsid w:val="66C36923"/>
    <w:rsid w:val="66E83943"/>
    <w:rsid w:val="66F978FF"/>
    <w:rsid w:val="66FD73EF"/>
    <w:rsid w:val="67076618"/>
    <w:rsid w:val="671273F1"/>
    <w:rsid w:val="67217E19"/>
    <w:rsid w:val="6726322E"/>
    <w:rsid w:val="676553EA"/>
    <w:rsid w:val="67762CFD"/>
    <w:rsid w:val="67800C34"/>
    <w:rsid w:val="67957627"/>
    <w:rsid w:val="67AE06E9"/>
    <w:rsid w:val="67E265E5"/>
    <w:rsid w:val="67E759A9"/>
    <w:rsid w:val="68102A5A"/>
    <w:rsid w:val="68113BF3"/>
    <w:rsid w:val="68175212"/>
    <w:rsid w:val="681C710C"/>
    <w:rsid w:val="68222C62"/>
    <w:rsid w:val="68224C33"/>
    <w:rsid w:val="682C160E"/>
    <w:rsid w:val="682D18A6"/>
    <w:rsid w:val="682E5386"/>
    <w:rsid w:val="683230C8"/>
    <w:rsid w:val="684E77D6"/>
    <w:rsid w:val="685B6B1A"/>
    <w:rsid w:val="688356D2"/>
    <w:rsid w:val="688431F8"/>
    <w:rsid w:val="6892468E"/>
    <w:rsid w:val="68C1203C"/>
    <w:rsid w:val="68C53A78"/>
    <w:rsid w:val="68CA5B0A"/>
    <w:rsid w:val="68EB157C"/>
    <w:rsid w:val="6900217B"/>
    <w:rsid w:val="694E6F97"/>
    <w:rsid w:val="696D1EDE"/>
    <w:rsid w:val="696F68F1"/>
    <w:rsid w:val="697278E9"/>
    <w:rsid w:val="69A45744"/>
    <w:rsid w:val="69BB0E9B"/>
    <w:rsid w:val="69BC50E2"/>
    <w:rsid w:val="69C07911"/>
    <w:rsid w:val="69CC7359"/>
    <w:rsid w:val="69DD3507"/>
    <w:rsid w:val="69DE3CF7"/>
    <w:rsid w:val="69E47E59"/>
    <w:rsid w:val="6A0942FC"/>
    <w:rsid w:val="6A0E546F"/>
    <w:rsid w:val="6A536AD5"/>
    <w:rsid w:val="6A72252C"/>
    <w:rsid w:val="6A744EEB"/>
    <w:rsid w:val="6A7A539C"/>
    <w:rsid w:val="6A914FD7"/>
    <w:rsid w:val="6ABA1153"/>
    <w:rsid w:val="6ABD2798"/>
    <w:rsid w:val="6ADF06DE"/>
    <w:rsid w:val="6AE83F12"/>
    <w:rsid w:val="6AF02DC7"/>
    <w:rsid w:val="6AFD41B2"/>
    <w:rsid w:val="6AFE7291"/>
    <w:rsid w:val="6B1B3DAE"/>
    <w:rsid w:val="6B1C1E0E"/>
    <w:rsid w:val="6B1E4D42"/>
    <w:rsid w:val="6B1F21FA"/>
    <w:rsid w:val="6B2F730A"/>
    <w:rsid w:val="6B3C300E"/>
    <w:rsid w:val="6B566163"/>
    <w:rsid w:val="6B673089"/>
    <w:rsid w:val="6B6E6DBE"/>
    <w:rsid w:val="6B9450F7"/>
    <w:rsid w:val="6BAE2C22"/>
    <w:rsid w:val="6BB40E6D"/>
    <w:rsid w:val="6BCC36A7"/>
    <w:rsid w:val="6BCC7390"/>
    <w:rsid w:val="6BDB27CD"/>
    <w:rsid w:val="6BDB4707"/>
    <w:rsid w:val="6BDD334B"/>
    <w:rsid w:val="6BF61F3D"/>
    <w:rsid w:val="6BF951C8"/>
    <w:rsid w:val="6BFB26B9"/>
    <w:rsid w:val="6C220E34"/>
    <w:rsid w:val="6C4469FF"/>
    <w:rsid w:val="6C6D1224"/>
    <w:rsid w:val="6C814811"/>
    <w:rsid w:val="6CBC6CD7"/>
    <w:rsid w:val="6CC541AE"/>
    <w:rsid w:val="6CC93A4B"/>
    <w:rsid w:val="6CCC2CD9"/>
    <w:rsid w:val="6CD04C5E"/>
    <w:rsid w:val="6CF91A70"/>
    <w:rsid w:val="6CFE0FFB"/>
    <w:rsid w:val="6D013C1B"/>
    <w:rsid w:val="6D0E4E50"/>
    <w:rsid w:val="6D125276"/>
    <w:rsid w:val="6D430ACC"/>
    <w:rsid w:val="6D4318D3"/>
    <w:rsid w:val="6D463172"/>
    <w:rsid w:val="6D7101EF"/>
    <w:rsid w:val="6D722D9E"/>
    <w:rsid w:val="6D935B4C"/>
    <w:rsid w:val="6DA8067A"/>
    <w:rsid w:val="6DAA3BEC"/>
    <w:rsid w:val="6DB21DE4"/>
    <w:rsid w:val="6DB8406F"/>
    <w:rsid w:val="6DBB0EAE"/>
    <w:rsid w:val="6DE006FE"/>
    <w:rsid w:val="6DEE7A91"/>
    <w:rsid w:val="6E2B0AD8"/>
    <w:rsid w:val="6E3C6759"/>
    <w:rsid w:val="6E423939"/>
    <w:rsid w:val="6E5F44EB"/>
    <w:rsid w:val="6E781A51"/>
    <w:rsid w:val="6EA12D56"/>
    <w:rsid w:val="6EB93D49"/>
    <w:rsid w:val="6EBD3D1A"/>
    <w:rsid w:val="6EC00525"/>
    <w:rsid w:val="6EC16F54"/>
    <w:rsid w:val="6EC60872"/>
    <w:rsid w:val="6ED70525"/>
    <w:rsid w:val="6EEB3FD1"/>
    <w:rsid w:val="6EFF0B1F"/>
    <w:rsid w:val="6F0361D6"/>
    <w:rsid w:val="6F164747"/>
    <w:rsid w:val="6F1F39F4"/>
    <w:rsid w:val="6F2A64A1"/>
    <w:rsid w:val="6F2E0DBC"/>
    <w:rsid w:val="6F5416A4"/>
    <w:rsid w:val="6F6B6EC0"/>
    <w:rsid w:val="6F745D74"/>
    <w:rsid w:val="6FB1521A"/>
    <w:rsid w:val="6FC30F54"/>
    <w:rsid w:val="6FE80D46"/>
    <w:rsid w:val="6FF8698C"/>
    <w:rsid w:val="700B3400"/>
    <w:rsid w:val="70173FA5"/>
    <w:rsid w:val="7019691C"/>
    <w:rsid w:val="705B5186"/>
    <w:rsid w:val="707209E5"/>
    <w:rsid w:val="708F6BDE"/>
    <w:rsid w:val="70C745CA"/>
    <w:rsid w:val="70CD3F58"/>
    <w:rsid w:val="70CD7E32"/>
    <w:rsid w:val="70D951E5"/>
    <w:rsid w:val="70E21403"/>
    <w:rsid w:val="70EC5DDE"/>
    <w:rsid w:val="70F96E79"/>
    <w:rsid w:val="70FE26FF"/>
    <w:rsid w:val="710D6480"/>
    <w:rsid w:val="711C4915"/>
    <w:rsid w:val="713559D7"/>
    <w:rsid w:val="713954C7"/>
    <w:rsid w:val="71500A63"/>
    <w:rsid w:val="715220E5"/>
    <w:rsid w:val="71573184"/>
    <w:rsid w:val="71666E1D"/>
    <w:rsid w:val="717854ED"/>
    <w:rsid w:val="71864485"/>
    <w:rsid w:val="71892497"/>
    <w:rsid w:val="7194566A"/>
    <w:rsid w:val="719721EE"/>
    <w:rsid w:val="71A87F57"/>
    <w:rsid w:val="71AF12E6"/>
    <w:rsid w:val="71B61557"/>
    <w:rsid w:val="71BE59CD"/>
    <w:rsid w:val="71F80EDE"/>
    <w:rsid w:val="720A29C0"/>
    <w:rsid w:val="720E6FF0"/>
    <w:rsid w:val="72146AA3"/>
    <w:rsid w:val="722717C4"/>
    <w:rsid w:val="729115F8"/>
    <w:rsid w:val="7297334E"/>
    <w:rsid w:val="7298763E"/>
    <w:rsid w:val="72A2709C"/>
    <w:rsid w:val="72DD29DC"/>
    <w:rsid w:val="72F24482"/>
    <w:rsid w:val="72F97723"/>
    <w:rsid w:val="7306587D"/>
    <w:rsid w:val="730D6C0C"/>
    <w:rsid w:val="73121BD0"/>
    <w:rsid w:val="7318735E"/>
    <w:rsid w:val="731F06ED"/>
    <w:rsid w:val="732274E7"/>
    <w:rsid w:val="73233821"/>
    <w:rsid w:val="73454322"/>
    <w:rsid w:val="735E03D4"/>
    <w:rsid w:val="73634FBB"/>
    <w:rsid w:val="736D1458"/>
    <w:rsid w:val="7375135A"/>
    <w:rsid w:val="737722D7"/>
    <w:rsid w:val="737E5EEA"/>
    <w:rsid w:val="739509AF"/>
    <w:rsid w:val="73BE334D"/>
    <w:rsid w:val="73BE521F"/>
    <w:rsid w:val="73DB1277"/>
    <w:rsid w:val="73DE5EB2"/>
    <w:rsid w:val="73F2195D"/>
    <w:rsid w:val="740515F6"/>
    <w:rsid w:val="740A2DBE"/>
    <w:rsid w:val="740D4971"/>
    <w:rsid w:val="74131120"/>
    <w:rsid w:val="74152C8A"/>
    <w:rsid w:val="7420471D"/>
    <w:rsid w:val="74220495"/>
    <w:rsid w:val="742C4E6F"/>
    <w:rsid w:val="74534AF2"/>
    <w:rsid w:val="745925A1"/>
    <w:rsid w:val="747F7EBC"/>
    <w:rsid w:val="74806F69"/>
    <w:rsid w:val="748443A7"/>
    <w:rsid w:val="7485761B"/>
    <w:rsid w:val="7487479C"/>
    <w:rsid w:val="748C2B39"/>
    <w:rsid w:val="74B62592"/>
    <w:rsid w:val="74D77B1F"/>
    <w:rsid w:val="74DF6386"/>
    <w:rsid w:val="74E05C5A"/>
    <w:rsid w:val="74F967E1"/>
    <w:rsid w:val="74FF1335"/>
    <w:rsid w:val="74FF5A4B"/>
    <w:rsid w:val="7504563D"/>
    <w:rsid w:val="750951B1"/>
    <w:rsid w:val="75120509"/>
    <w:rsid w:val="75257BCB"/>
    <w:rsid w:val="75371D1E"/>
    <w:rsid w:val="753B03C8"/>
    <w:rsid w:val="754E0E15"/>
    <w:rsid w:val="755A1EB0"/>
    <w:rsid w:val="757A60AE"/>
    <w:rsid w:val="759A22AD"/>
    <w:rsid w:val="75A05F49"/>
    <w:rsid w:val="75C8506C"/>
    <w:rsid w:val="75CB06B8"/>
    <w:rsid w:val="75CB2BF9"/>
    <w:rsid w:val="75CE2716"/>
    <w:rsid w:val="75E654F2"/>
    <w:rsid w:val="75F61BD9"/>
    <w:rsid w:val="75FA3904"/>
    <w:rsid w:val="7601232C"/>
    <w:rsid w:val="76134C16"/>
    <w:rsid w:val="76164029"/>
    <w:rsid w:val="76191423"/>
    <w:rsid w:val="761E4C8C"/>
    <w:rsid w:val="76453472"/>
    <w:rsid w:val="7652302F"/>
    <w:rsid w:val="765377F5"/>
    <w:rsid w:val="766736F0"/>
    <w:rsid w:val="766823AB"/>
    <w:rsid w:val="76692538"/>
    <w:rsid w:val="767725F7"/>
    <w:rsid w:val="76790114"/>
    <w:rsid w:val="767E572A"/>
    <w:rsid w:val="76A002CB"/>
    <w:rsid w:val="76A21419"/>
    <w:rsid w:val="76C52723"/>
    <w:rsid w:val="76C926AF"/>
    <w:rsid w:val="76CD220E"/>
    <w:rsid w:val="76F36118"/>
    <w:rsid w:val="770E2F52"/>
    <w:rsid w:val="772236B3"/>
    <w:rsid w:val="77232FAB"/>
    <w:rsid w:val="77414717"/>
    <w:rsid w:val="775019A6"/>
    <w:rsid w:val="775F3697"/>
    <w:rsid w:val="7775502F"/>
    <w:rsid w:val="777C7EBC"/>
    <w:rsid w:val="777D59E2"/>
    <w:rsid w:val="778835E7"/>
    <w:rsid w:val="77935205"/>
    <w:rsid w:val="779A2A38"/>
    <w:rsid w:val="779A6594"/>
    <w:rsid w:val="77A41469"/>
    <w:rsid w:val="77A75781"/>
    <w:rsid w:val="77AB07A1"/>
    <w:rsid w:val="77BD373D"/>
    <w:rsid w:val="77F474AF"/>
    <w:rsid w:val="77FE03EB"/>
    <w:rsid w:val="780E7850"/>
    <w:rsid w:val="780F53CC"/>
    <w:rsid w:val="782A51CD"/>
    <w:rsid w:val="78372035"/>
    <w:rsid w:val="784059FC"/>
    <w:rsid w:val="784559B2"/>
    <w:rsid w:val="784F53AC"/>
    <w:rsid w:val="785F7F87"/>
    <w:rsid w:val="78640341"/>
    <w:rsid w:val="78766669"/>
    <w:rsid w:val="7879264D"/>
    <w:rsid w:val="78935032"/>
    <w:rsid w:val="78A50F00"/>
    <w:rsid w:val="78AB3106"/>
    <w:rsid w:val="78CB1EFD"/>
    <w:rsid w:val="79022643"/>
    <w:rsid w:val="79110372"/>
    <w:rsid w:val="79540CFD"/>
    <w:rsid w:val="79584959"/>
    <w:rsid w:val="796450AB"/>
    <w:rsid w:val="796F2956"/>
    <w:rsid w:val="79975481"/>
    <w:rsid w:val="79C168F8"/>
    <w:rsid w:val="79E63D82"/>
    <w:rsid w:val="79F0693F"/>
    <w:rsid w:val="79F17868"/>
    <w:rsid w:val="7A4555A2"/>
    <w:rsid w:val="7A48677B"/>
    <w:rsid w:val="7A505630"/>
    <w:rsid w:val="7A717781"/>
    <w:rsid w:val="7A811C67"/>
    <w:rsid w:val="7A8772A3"/>
    <w:rsid w:val="7A8D0632"/>
    <w:rsid w:val="7A8F6158"/>
    <w:rsid w:val="7A902E75"/>
    <w:rsid w:val="7A9C3AE5"/>
    <w:rsid w:val="7AA31C03"/>
    <w:rsid w:val="7AC1208A"/>
    <w:rsid w:val="7ACA3BF4"/>
    <w:rsid w:val="7ACF201F"/>
    <w:rsid w:val="7B0A57DF"/>
    <w:rsid w:val="7B0D52CF"/>
    <w:rsid w:val="7B123A97"/>
    <w:rsid w:val="7B130B37"/>
    <w:rsid w:val="7B191EC6"/>
    <w:rsid w:val="7B4909FD"/>
    <w:rsid w:val="7B4E6013"/>
    <w:rsid w:val="7B7B66DC"/>
    <w:rsid w:val="7B803CF3"/>
    <w:rsid w:val="7BA35EB9"/>
    <w:rsid w:val="7BD0622F"/>
    <w:rsid w:val="7BEE3352"/>
    <w:rsid w:val="7BF568D3"/>
    <w:rsid w:val="7C012C90"/>
    <w:rsid w:val="7C3549C4"/>
    <w:rsid w:val="7C3C2310"/>
    <w:rsid w:val="7C4B49E5"/>
    <w:rsid w:val="7C543B48"/>
    <w:rsid w:val="7C572CA5"/>
    <w:rsid w:val="7C600A98"/>
    <w:rsid w:val="7C644921"/>
    <w:rsid w:val="7C6E0E6D"/>
    <w:rsid w:val="7CAA7279"/>
    <w:rsid w:val="7CBC6FAC"/>
    <w:rsid w:val="7CCD740C"/>
    <w:rsid w:val="7CD10CAA"/>
    <w:rsid w:val="7D2A0E61"/>
    <w:rsid w:val="7D3D50B2"/>
    <w:rsid w:val="7D5F148D"/>
    <w:rsid w:val="7D843A1B"/>
    <w:rsid w:val="7D8775BA"/>
    <w:rsid w:val="7DB02960"/>
    <w:rsid w:val="7DB65A2B"/>
    <w:rsid w:val="7DC26844"/>
    <w:rsid w:val="7DC46119"/>
    <w:rsid w:val="7DD534D3"/>
    <w:rsid w:val="7DE1220B"/>
    <w:rsid w:val="7DEA15BA"/>
    <w:rsid w:val="7DF34C50"/>
    <w:rsid w:val="7DFC7632"/>
    <w:rsid w:val="7E0E3838"/>
    <w:rsid w:val="7E301A00"/>
    <w:rsid w:val="7E3D5ECB"/>
    <w:rsid w:val="7E3F7E95"/>
    <w:rsid w:val="7E43336C"/>
    <w:rsid w:val="7E573431"/>
    <w:rsid w:val="7E5F22E5"/>
    <w:rsid w:val="7E66692F"/>
    <w:rsid w:val="7E7633A9"/>
    <w:rsid w:val="7E927FC5"/>
    <w:rsid w:val="7EA810CD"/>
    <w:rsid w:val="7EC23D53"/>
    <w:rsid w:val="7EC446FA"/>
    <w:rsid w:val="7EC65EC0"/>
    <w:rsid w:val="7EE478B0"/>
    <w:rsid w:val="7EF40C80"/>
    <w:rsid w:val="7EF96296"/>
    <w:rsid w:val="7EFE078A"/>
    <w:rsid w:val="7F01514B"/>
    <w:rsid w:val="7F1D4176"/>
    <w:rsid w:val="7F2C61E3"/>
    <w:rsid w:val="7F2F0CF5"/>
    <w:rsid w:val="7F4219EB"/>
    <w:rsid w:val="7F5069E3"/>
    <w:rsid w:val="7F5259A6"/>
    <w:rsid w:val="7F6F7396"/>
    <w:rsid w:val="7F726624"/>
    <w:rsid w:val="7F855D7C"/>
    <w:rsid w:val="7F8A3392"/>
    <w:rsid w:val="7F8A4128"/>
    <w:rsid w:val="7F930498"/>
    <w:rsid w:val="7F9D4E73"/>
    <w:rsid w:val="7FA2692E"/>
    <w:rsid w:val="7FBB179D"/>
    <w:rsid w:val="7FD5285F"/>
    <w:rsid w:val="7FE4329F"/>
    <w:rsid w:val="7FEA69E9"/>
    <w:rsid w:val="7FFB603E"/>
    <w:rsid w:val="7FFC429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Normal (Web)"/>
    <w:basedOn w:val="1"/>
    <w:qFormat/>
    <w:uiPriority w:val="99"/>
    <w:pPr>
      <w:spacing w:beforeAutospacing="1" w:afterAutospacing="1"/>
      <w:jc w:val="left"/>
    </w:pPr>
    <w:rPr>
      <w:kern w:val="0"/>
      <w:sz w:val="24"/>
    </w:rPr>
  </w:style>
  <w:style w:type="character" w:styleId="6">
    <w:name w:val="FollowedHyperlink"/>
    <w:basedOn w:val="5"/>
    <w:qFormat/>
    <w:uiPriority w:val="0"/>
    <w:rPr>
      <w:color w:val="000000"/>
      <w:sz w:val="12"/>
      <w:szCs w:val="12"/>
      <w:u w:val="none"/>
    </w:rPr>
  </w:style>
  <w:style w:type="character" w:styleId="7">
    <w:name w:val="Hyperlink"/>
    <w:basedOn w:val="5"/>
    <w:qFormat/>
    <w:uiPriority w:val="0"/>
    <w:rPr>
      <w:color w:val="000000"/>
      <w:sz w:val="12"/>
      <w:szCs w:val="12"/>
      <w:u w:val="none"/>
    </w:rPr>
  </w:style>
  <w:style w:type="paragraph" w:customStyle="1" w:styleId="8">
    <w:name w:val="正文缩进 + 首行缩进:  2 字符"/>
    <w:basedOn w:val="1"/>
    <w:qFormat/>
    <w:uiPriority w:val="99"/>
    <w:pPr>
      <w:spacing w:line="560" w:lineRule="exact"/>
      <w:ind w:firstLine="640"/>
    </w:pPr>
    <w:rPr>
      <w:rFonts w:ascii="仿宋" w:hAnsi="仿宋" w:eastAsia="仿宋" w:cs="宋体"/>
      <w:sz w:val="32"/>
      <w:szCs w:val="20"/>
    </w:rPr>
  </w:style>
  <w:style w:type="character" w:customStyle="1" w:styleId="9">
    <w:name w:val="font01"/>
    <w:basedOn w:val="5"/>
    <w:qFormat/>
    <w:uiPriority w:val="0"/>
    <w:rPr>
      <w:rFonts w:hint="default" w:ascii="Arial" w:hAnsi="Arial" w:cs="Arial"/>
      <w:color w:val="000000"/>
      <w:sz w:val="20"/>
      <w:szCs w:val="20"/>
      <w:u w:val="none"/>
    </w:rPr>
  </w:style>
  <w:style w:type="character" w:customStyle="1" w:styleId="10">
    <w:name w:val="font11"/>
    <w:basedOn w:val="5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11">
    <w:name w:val="font31"/>
    <w:basedOn w:val="5"/>
    <w:qFormat/>
    <w:uiPriority w:val="0"/>
    <w:rPr>
      <w:rFonts w:hint="eastAsia" w:ascii="宋体" w:hAnsi="宋体" w:eastAsia="宋体" w:cs="宋体"/>
      <w:color w:val="000000"/>
      <w:sz w:val="18"/>
      <w:szCs w:val="18"/>
      <w:u w:val="none"/>
    </w:rPr>
  </w:style>
  <w:style w:type="character" w:customStyle="1" w:styleId="12">
    <w:name w:val="font41"/>
    <w:basedOn w:val="5"/>
    <w:qFormat/>
    <w:uiPriority w:val="0"/>
    <w:rPr>
      <w:rFonts w:hint="eastAsia" w:ascii="宋体" w:hAnsi="宋体" w:eastAsia="宋体" w:cs="宋体"/>
      <w:color w:val="000000"/>
      <w:sz w:val="18"/>
      <w:szCs w:val="1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139</Pages>
  <Words>44692</Words>
  <Characters>56435</Characters>
  <Lines>0</Lines>
  <Paragraphs>0</Paragraphs>
  <TotalTime>10</TotalTime>
  <ScaleCrop>false</ScaleCrop>
  <LinksUpToDate>false</LinksUpToDate>
  <CharactersWithSpaces>57681</CharactersWithSpaces>
  <Application>WPS Office_12.1.0.15358_F1E327BC-269C-435d-A152-05C5408002CA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2019-03-09T05:42:00Z</dcterms:created>
  <dc:creator>Quina</dc:creator>
  <cp:lastModifiedBy>远烟</cp:lastModifiedBy>
  <cp:lastPrinted>2022-09-19T04:25:00Z</cp:lastPrinted>
  <dcterms:modified xsi:type="dcterms:W3CDTF">2023-09-04T07:20:41Z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2052-12.1.0.15358</vt:lpwstr>
  </property>
  <property fmtid="{D5CDD505-2E9C-101B-9397-08002B2CF9AE}" pid="3" name="ICV">
    <vt:lpwstr>986F26E36C4246AF90AE1929556ED5B1_13</vt:lpwstr>
  </property>
</Properties>
</file>