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年度部门整体绩效自评表</w:t>
      </w:r>
    </w:p>
    <w:p>
      <w:pPr>
        <w:jc w:val="center"/>
        <w:rPr>
          <w:rFonts w:ascii="楷体_GB2312" w:hAnsi="黑体" w:eastAsia="楷体_GB2312" w:cs="Times New Roman"/>
          <w:kern w:val="0"/>
          <w:sz w:val="24"/>
          <w:szCs w:val="24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仿宋_GB2312" w:hAnsi="宋体" w:eastAsia="仿宋_GB2312" w:cs="Times New Roman"/>
          <w:kern w:val="0"/>
          <w:sz w:val="24"/>
          <w:szCs w:val="24"/>
          <w:lang w:eastAsia="zh-CN"/>
        </w:rPr>
        <w:t>鄂州市社会科学界联合会</w:t>
      </w:r>
      <w:r>
        <w:rPr>
          <w:rFonts w:ascii="楷体_GB2312" w:hAnsi="仿宋" w:eastAsia="楷体_GB2312" w:cs="楷体_GB2312"/>
          <w:kern w:val="0"/>
          <w:sz w:val="24"/>
          <w:szCs w:val="24"/>
        </w:rPr>
        <w:t xml:space="preserve">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2023年5月12日</w:t>
      </w: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单位名称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鄂州市社会科学界联合会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基本支出总额</w:t>
            </w:r>
          </w:p>
        </w:tc>
        <w:tc>
          <w:tcPr>
            <w:tcW w:w="336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144.37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项目支出总额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部门整体支出总额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184.8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223.58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100％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年度目标1：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XX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刊发优秀的理论文章，为领导决策服务，总结我市城乡融合发展工作经验。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年度绩效指标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出版《鄂州社会科学》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kern w:val="0"/>
                <w:lang w:val="en-US"/>
              </w:rPr>
              <w:t>4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期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4期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鄂州市社科应用研究课题资助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20万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20万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延安精神研究会工作经费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15万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15万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出版《鄂州社会科学》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100％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100％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鄂州市社科应用研究课题资助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100％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100％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延安精神研究会工作经费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出版《鄂州社会科学》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100％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100％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鄂州市社科应用研究课题资助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100％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100％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XX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调动全市各级各部门和广大社科工作者的积极性，广泛开展调研为我市改革发展出谋划策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</w:t>
            </w:r>
            <w:r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kern w:val="0"/>
                <w:lang w:val="en-US"/>
              </w:rPr>
              <w:t>2021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年部门预算共两个项目：社科普及研究工作经费及延安精神研究会工作；其中延安精神研究会工作年初预算15万，实际支出15万，执行率100%；社科普及研究工作经费年初预算20万，实际完成20万，执行率100%。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7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改进措施：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1、专资金核算设立明细帐，做到能支尽支，应支尽支。</w:t>
            </w:r>
          </w:p>
          <w:p>
            <w:pPr>
              <w:widowControl/>
              <w:numPr>
                <w:ilvl w:val="0"/>
                <w:numId w:val="1"/>
              </w:numPr>
              <w:ind w:left="1050" w:leftChars="0" w:firstLine="0" w:firstLineChars="0"/>
              <w:jc w:val="left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加大财政监管力度，从源头上就开始实施监督的职能，对在预算执行中发现的预算偏差，要及时纠正或取消，防止资金浪费。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应用方案：1、进一步加强单位财务管理，充分认识到加强单位财务管理的重要性，建立健全单位内部财务管理制度，严肃财经纪律，强化内部制约机制，保障财政各项政策贯彻落实。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5BEEDC"/>
    <w:multiLevelType w:val="singleLevel"/>
    <w:tmpl w:val="F75BEEDC"/>
    <w:lvl w:ilvl="0" w:tentative="0">
      <w:start w:val="2"/>
      <w:numFmt w:val="decimal"/>
      <w:suff w:val="nothing"/>
      <w:lvlText w:val="%1、"/>
      <w:lvlJc w:val="left"/>
      <w:pPr>
        <w:ind w:left="105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CDF2053"/>
    <w:rsid w:val="4A1947CF"/>
    <w:rsid w:val="FABF9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greatwall</cp:lastModifiedBy>
  <dcterms:modified xsi:type="dcterms:W3CDTF">2023-09-12T10:02:49Z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</Properties>
</file>