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</w:rPr>
        <w:t>部门整体绩效目标表</w:t>
      </w:r>
    </w:p>
    <w:p>
      <w:pPr>
        <w:widowControl/>
        <w:spacing w:before="156" w:beforeLines="50"/>
        <w:jc w:val="right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>单位：万元</w:t>
      </w:r>
    </w:p>
    <w:tbl>
      <w:tblPr>
        <w:tblStyle w:val="4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823"/>
        <w:gridCol w:w="29"/>
        <w:gridCol w:w="1407"/>
        <w:gridCol w:w="91"/>
        <w:gridCol w:w="1096"/>
        <w:gridCol w:w="569"/>
        <w:gridCol w:w="361"/>
        <w:gridCol w:w="242"/>
        <w:gridCol w:w="147"/>
        <w:gridCol w:w="560"/>
        <w:gridCol w:w="252"/>
        <w:gridCol w:w="503"/>
        <w:gridCol w:w="451"/>
        <w:gridCol w:w="4"/>
        <w:gridCol w:w="167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部门（单位）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75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鄂州市工贸国有资产经营公司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填报人</w:t>
            </w:r>
          </w:p>
        </w:tc>
        <w:tc>
          <w:tcPr>
            <w:tcW w:w="2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刘会成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4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13972976228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部门总体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资金情况</w:t>
            </w:r>
          </w:p>
        </w:tc>
        <w:tc>
          <w:tcPr>
            <w:tcW w:w="3446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占比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446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917.4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615.46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917.4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615.46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668.78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支出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452.13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49.28%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528.87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469.6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54.9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5.98%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86.0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410.37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44.73%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163.78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137.82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2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917.4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615.46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668.78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部门职能概述</w:t>
            </w:r>
          </w:p>
        </w:tc>
        <w:tc>
          <w:tcPr>
            <w:tcW w:w="75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负责所属企业国有资产的保值、增值以及经营和管理工作；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负责所属企业改制遗留问题的处理等收尾工作；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3、负责不良金融债权清收、管理工作；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05" w:firstLineChars="5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、承办上级交办的其他事项。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年度工作任务</w:t>
            </w:r>
          </w:p>
        </w:tc>
        <w:tc>
          <w:tcPr>
            <w:tcW w:w="7549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全力做好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所属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企业改制遗留问题的处理等收尾工作。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做好所属企业的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清产核资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破产清算和依法注销工作。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健全和完善服务所属改制（破产）企业财务文书档案的归档整理查询工作，建立改制企业资料数据库。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left="0" w:right="0" w:firstLine="42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根据政府要求做好改制企业部分生活小区危房劝离和拆迁工作。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建立应急处理机制。及时妥善处理突发事件，严格按照信访工作条例，处理信访问题。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lang w:eastAsia="zh-CN"/>
              </w:rPr>
              <w:t>承办上级部门交办的其他工作任务。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长期目标：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（截止 年）</w:t>
            </w:r>
          </w:p>
        </w:tc>
        <w:tc>
          <w:tcPr>
            <w:tcW w:w="7549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28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</w:rPr>
              <w:t>负责所属企业国有资产的保值、增值以及经营和管理工作；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完成所属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167家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企业改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收尾工作，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妥善安置职工，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</w:rPr>
              <w:t>维护社会稳定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长期绩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效指标</w:t>
            </w:r>
          </w:p>
        </w:tc>
        <w:tc>
          <w:tcPr>
            <w:tcW w:w="823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“三公”经费变动率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21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基本相符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相对科学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完成企业破产终结数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3家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改制企业清产核资评估数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10家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劝离拆迁改制企业生活危房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30户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整理改制企业档案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3万册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国有资产保值率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安置职工，维护稳定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稳定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拆迁改制企业生活危房，优化周边环境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优化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改制企业职工安置满意度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部门工作协调人员满意度</w:t>
            </w: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12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99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年度目标：</w:t>
            </w:r>
          </w:p>
        </w:tc>
        <w:tc>
          <w:tcPr>
            <w:tcW w:w="7549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年度绩效指标</w:t>
            </w: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一级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04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</w:t>
            </w:r>
          </w:p>
        </w:tc>
        <w:tc>
          <w:tcPr>
            <w:tcW w:w="622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指标值确定依据</w:t>
            </w:r>
          </w:p>
        </w:tc>
        <w:tc>
          <w:tcPr>
            <w:tcW w:w="847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10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近两年指标值</w:t>
            </w:r>
          </w:p>
        </w:tc>
        <w:tc>
          <w:tcPr>
            <w:tcW w:w="75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预期当年实现值</w:t>
            </w:r>
          </w:p>
        </w:tc>
        <w:tc>
          <w:tcPr>
            <w:tcW w:w="62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75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22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7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运行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-80%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基本相符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基本相符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基本相符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建全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建全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建全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相对科学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相对科学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相对科学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合理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3.2%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健全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规范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完全合规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履职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完成企业破产终结数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改制企业清产核资评估数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劝离拆迁改制企业生活危房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核心业务产出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整理改制企业档案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8000册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4万册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国有资产保值率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安置职工，维护稳定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稳定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稳定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稳定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拆迁改制企业生活危房，优化周边环境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优化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优化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优化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改制企业职工安置满意度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85%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87%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9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23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部门工作协调人员满意度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560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7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100%</w:t>
            </w:r>
          </w:p>
        </w:tc>
        <w:tc>
          <w:tcPr>
            <w:tcW w:w="622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计划标准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绩效基本型</w:t>
            </w:r>
          </w:p>
        </w:tc>
      </w:tr>
    </w:tbl>
    <w:p>
      <w:pPr>
        <w:spacing w:line="60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CC27E"/>
    <w:multiLevelType w:val="singleLevel"/>
    <w:tmpl w:val="F69CC2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YTNjZDllMGE4MmM1OWYzZjgxMWYwNTA5NjM2MzAifQ=="/>
  </w:docVars>
  <w:rsids>
    <w:rsidRoot w:val="2C365954"/>
    <w:rsid w:val="075A4096"/>
    <w:rsid w:val="0C5C4EE7"/>
    <w:rsid w:val="0C943D89"/>
    <w:rsid w:val="13793CFD"/>
    <w:rsid w:val="18362CC8"/>
    <w:rsid w:val="1C6469B1"/>
    <w:rsid w:val="1CA22253"/>
    <w:rsid w:val="1E1F7AB2"/>
    <w:rsid w:val="212C2F24"/>
    <w:rsid w:val="222E5CB8"/>
    <w:rsid w:val="239A1FA4"/>
    <w:rsid w:val="27572B39"/>
    <w:rsid w:val="2C365954"/>
    <w:rsid w:val="30240E53"/>
    <w:rsid w:val="365B4EA8"/>
    <w:rsid w:val="388B350E"/>
    <w:rsid w:val="3D1B5420"/>
    <w:rsid w:val="49955A62"/>
    <w:rsid w:val="4C136FA4"/>
    <w:rsid w:val="4FEA3EFF"/>
    <w:rsid w:val="540264B2"/>
    <w:rsid w:val="592B7D68"/>
    <w:rsid w:val="67A0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2430</Words>
  <Characters>2799</Characters>
  <Lines>0</Lines>
  <Paragraphs>0</Paragraphs>
  <TotalTime>28</TotalTime>
  <ScaleCrop>false</ScaleCrop>
  <LinksUpToDate>false</LinksUpToDate>
  <CharactersWithSpaces>2836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远烟</cp:lastModifiedBy>
  <cp:lastPrinted>2024-01-24T08:44:00Z</cp:lastPrinted>
  <dcterms:modified xsi:type="dcterms:W3CDTF">2024-05-24T11:24:05Z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