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DF30F">
      <w:pPr>
        <w:widowControl/>
        <w:jc w:val="center"/>
        <w:rPr>
          <w:rFonts w:ascii="方正小标宋简体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eastAsia" w:ascii="方正小标宋简体" w:hAnsi="Times New Roman" w:eastAsia="方正小标宋简体" w:cs="Times New Roman"/>
          <w:color w:val="auto"/>
          <w:sz w:val="44"/>
          <w:szCs w:val="44"/>
          <w:highlight w:val="none"/>
        </w:rPr>
        <w:t>部门整体绩效目标表</w:t>
      </w:r>
    </w:p>
    <w:p w14:paraId="24C8CCD6">
      <w:pPr>
        <w:widowControl/>
        <w:spacing w:before="156" w:beforeLines="50"/>
        <w:jc w:val="right"/>
        <w:rPr>
          <w:rFonts w:ascii="楷体_GB2312" w:hAnsi="Times New Roman" w:eastAsia="楷体_GB2312" w:cs="Times New Roman"/>
          <w:color w:val="auto"/>
          <w:sz w:val="28"/>
          <w:szCs w:val="28"/>
          <w:highlight w:val="none"/>
        </w:rPr>
      </w:pPr>
      <w:r>
        <w:rPr>
          <w:rFonts w:hint="eastAsia" w:ascii="楷体_GB2312" w:hAnsi="Times New Roman" w:eastAsia="楷体_GB2312"/>
          <w:color w:val="auto"/>
          <w:sz w:val="28"/>
          <w:szCs w:val="28"/>
          <w:highlight w:val="none"/>
        </w:rPr>
        <w:t>单位：万元</w:t>
      </w:r>
    </w:p>
    <w:tbl>
      <w:tblPr>
        <w:tblStyle w:val="5"/>
        <w:tblW w:w="9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29"/>
        <w:gridCol w:w="794"/>
        <w:gridCol w:w="29"/>
        <w:gridCol w:w="1407"/>
        <w:gridCol w:w="91"/>
        <w:gridCol w:w="1096"/>
        <w:gridCol w:w="569"/>
        <w:gridCol w:w="361"/>
        <w:gridCol w:w="242"/>
        <w:gridCol w:w="147"/>
        <w:gridCol w:w="783"/>
        <w:gridCol w:w="29"/>
        <w:gridCol w:w="723"/>
        <w:gridCol w:w="231"/>
        <w:gridCol w:w="4"/>
        <w:gridCol w:w="500"/>
        <w:gridCol w:w="753"/>
      </w:tblGrid>
      <w:tr w14:paraId="279A5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FD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部门（单位）</w:t>
            </w:r>
          </w:p>
          <w:p w14:paraId="46CF8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名称</w:t>
            </w:r>
          </w:p>
        </w:tc>
        <w:tc>
          <w:tcPr>
            <w:tcW w:w="775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234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鄂州市城市管理执法委员</w:t>
            </w:r>
          </w:p>
        </w:tc>
      </w:tr>
      <w:tr w14:paraId="60286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401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填报人</w:t>
            </w:r>
          </w:p>
        </w:tc>
        <w:tc>
          <w:tcPr>
            <w:tcW w:w="22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5EF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万敏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262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联系电话</w:t>
            </w:r>
          </w:p>
        </w:tc>
        <w:tc>
          <w:tcPr>
            <w:tcW w:w="434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0A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02760660923</w:t>
            </w:r>
          </w:p>
        </w:tc>
      </w:tr>
      <w:tr w14:paraId="1907E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45F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部门总体</w:t>
            </w:r>
          </w:p>
          <w:p w14:paraId="17C6B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资金情况</w:t>
            </w:r>
          </w:p>
        </w:tc>
        <w:tc>
          <w:tcPr>
            <w:tcW w:w="3417" w:type="dxa"/>
            <w:gridSpan w:val="5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96C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总体资金情况</w:t>
            </w:r>
          </w:p>
        </w:tc>
        <w:tc>
          <w:tcPr>
            <w:tcW w:w="1172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566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当年金额</w:t>
            </w:r>
          </w:p>
        </w:tc>
        <w:tc>
          <w:tcPr>
            <w:tcW w:w="959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A8C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占比</w:t>
            </w:r>
          </w:p>
        </w:tc>
        <w:tc>
          <w:tcPr>
            <w:tcW w:w="22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BB5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近两年收支金额</w:t>
            </w:r>
          </w:p>
        </w:tc>
      </w:tr>
      <w:tr w14:paraId="468C2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62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17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392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72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6D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F8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87E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27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</w:t>
            </w:r>
          </w:p>
        </w:tc>
      </w:tr>
      <w:tr w14:paraId="7AC9D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A1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21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收入</w:t>
            </w:r>
          </w:p>
          <w:p w14:paraId="177E6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构成</w:t>
            </w: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04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财政拨款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F969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22157.17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BF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36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38708.64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28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44161.76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35F48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9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71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8D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财政专户管理资金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6CD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CD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BD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C49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088D3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58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0E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482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单位资金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56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E17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AF8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2411.14　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10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40085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27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C08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627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合  计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642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22157.17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669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100%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C3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41119.77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778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44161.76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1DB8D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7F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F9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支出</w:t>
            </w:r>
          </w:p>
          <w:p w14:paraId="71887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构成</w:t>
            </w: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AC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人员类项目支出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67D3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7696.29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B10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34.74%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58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7804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E3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6775.48</w:t>
            </w:r>
          </w:p>
        </w:tc>
      </w:tr>
      <w:tr w14:paraId="2E083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DD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01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B7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运转类项目支出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EC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767.38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A7F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3.46%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DD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1171.43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27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5458.48</w:t>
            </w:r>
          </w:p>
        </w:tc>
      </w:tr>
      <w:tr w14:paraId="44372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A6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C45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0B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特定目标类项目支出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915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13693.51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D68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61.8%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26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31527.37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58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31927.8</w:t>
            </w:r>
          </w:p>
        </w:tc>
      </w:tr>
      <w:tr w14:paraId="790DD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A0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9E3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8DB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合  计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79B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22157.17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BF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100%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BF5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40503.44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10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44161.76</w:t>
            </w:r>
          </w:p>
        </w:tc>
      </w:tr>
      <w:tr w14:paraId="4269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398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部门职能概述</w:t>
            </w:r>
          </w:p>
        </w:tc>
        <w:tc>
          <w:tcPr>
            <w:tcW w:w="775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6E6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贯彻执行城市管理的方针政策和法律法规。研究拟订全市城市管理的发展战略规划，并监督实施。参与起草全市城市管理方面地方性法规、政府规章，并按程序组织实施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；</w:t>
            </w:r>
          </w:p>
          <w:p w14:paraId="4073B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负责城市管理行政执法的组织、指挥、协调、督办和考核工作，行使城市管理综合执法范围内的有关行政处罚权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；</w:t>
            </w:r>
          </w:p>
          <w:p w14:paraId="0694F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负责组织城市管理综合执法队伍的业务培训和管理监督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；</w:t>
            </w:r>
          </w:p>
          <w:p w14:paraId="3AFA3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负责指导、督办、考核市容环境卫生管理、园林绿化管理、市政公用设施运行管理等工作。负责户外广告、门店招牌等设施规范设置、建筑物立面管理工作。</w:t>
            </w:r>
          </w:p>
          <w:p w14:paraId="16CA8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5.参与城市基础设施建设项目的可行性研究、初步设计审查和工程竣工验收相关工作；</w:t>
            </w:r>
          </w:p>
          <w:p w14:paraId="7C046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6.负责城市管理智能化科技引进和推广应用。负责智慧城市管理建设；</w:t>
            </w:r>
          </w:p>
          <w:p w14:paraId="53983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7.完成上级交办的其他任务；</w:t>
            </w:r>
          </w:p>
        </w:tc>
      </w:tr>
      <w:tr w14:paraId="4C51E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544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年度工作任务</w:t>
            </w:r>
          </w:p>
        </w:tc>
        <w:tc>
          <w:tcPr>
            <w:tcW w:w="775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EC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 </w:t>
            </w:r>
          </w:p>
          <w:p w14:paraId="78B5F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1.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做好“营山”文章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整体升级西山、雷山景区景观，打造长江国家文化公园鄂州段；全力支持改善莲花山经营业态，升腾吴都烟火气；完善天龙山周边城市功能，优化吴都乔街营商环境；将葛山、园博园纳入城市和产业双集中洋澜湖组团，一体打造葛山景区；</w:t>
            </w:r>
          </w:p>
          <w:p w14:paraId="7B7C6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2.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做好“理水”文章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加快中心城区排水管网改造，提高城市排水防涝能力，严守水安全；加强城市入湖入江排口排查整治，改善水环境；坚持“水岸同治”，全力推进景观提升，修复水生态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；</w:t>
            </w:r>
          </w:p>
          <w:p w14:paraId="4ECDD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3.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做好“融园”文章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坚持“策投规建营”，打造全龄友好园博园、永不落幕园博会；坚持“公园城市”理念，助建生态、科教、文旅一体“武汉新城”未来公园；坚持“人民城市”理念，新建“口袋公园”10个，增加公园面积3万平；按照“春有花、夏有荫、秋有果、冬有绿”，开门见绿、出门进园、四季有景，全面升级主次干道、高速节点、主要卡口、重要场所绿化景观，打造城市林海、花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；</w:t>
            </w:r>
          </w:p>
          <w:p w14:paraId="33904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做好“筑居”文章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坚持“好房子、好小区、好社区、好城区”标准，为青年筑城、为产业筑基；坚持文明城市标准，推进大城细管、严管、智管、众管；持续开展“扫干净、码整齐、清通透”攻坚行动，打造最干净城市、最美丽乡村，创建生活垃圾分类示范点6个；持续开展城市基础设施生命线安全工程建设行动，对城市地下设施全面普查，对主城区21座桥梁隧道全面检测，对南浦虹桥全面加固，改造窨井盖300个；持续开展“疤痕”治理行动，对在建工地、裸露地块、“围而未建”、断头路等城市顽瘴痼疾深化治理；持续开展美丽街区创建行动，大力清理“野广告”、“牛皮癣”、乱店招，新增停车泊位1500个， 修复人行道2.6万平。</w:t>
            </w:r>
          </w:p>
          <w:p w14:paraId="39496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做好“延景”文章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以深化执法改革延景，建立健全“一委一办一平台”，推动“谋统督考”同步下沉，打通“最后一公里”；以“共同缔造”活动延景，结合“下察解暖”实践，推进“城管进社区”；以“全域城管”理念延景，推动市容环卫、绿化管养、设施维护、城管执法城乡全覆盖、主次干道背街小巷全覆盖、工作统筹全覆盖。</w:t>
            </w:r>
          </w:p>
        </w:tc>
      </w:tr>
      <w:tr w14:paraId="1595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tcMar>
              <w:left w:w="57" w:type="dxa"/>
              <w:right w:w="57" w:type="dxa"/>
            </w:tcMar>
            <w:vAlign w:val="center"/>
          </w:tcPr>
          <w:p w14:paraId="48D7B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  <w:t>长期目标：</w:t>
            </w:r>
          </w:p>
          <w:p w14:paraId="05178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截至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年）</w:t>
            </w:r>
          </w:p>
        </w:tc>
        <w:tc>
          <w:tcPr>
            <w:tcW w:w="7788" w:type="dxa"/>
            <w:gridSpan w:val="17"/>
            <w:tcMar>
              <w:left w:w="57" w:type="dxa"/>
              <w:right w:w="57" w:type="dxa"/>
            </w:tcMar>
            <w:vAlign w:val="center"/>
          </w:tcPr>
          <w:p w14:paraId="27D7A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以深化执法改革延景，建立健全“一委一办一平台”，推动“谋统督考”同步下沉，打通“最后一公里”；以“共同缔造”活动延景，结合“下察解暖”实践，推进“城管进社区”；以“全域城管”理念延景，推动市容环卫、绿化管养、设施维护、城管执法城乡全覆盖、主次干道背街小巷全覆盖、工作统筹全覆盖。</w:t>
            </w:r>
          </w:p>
        </w:tc>
      </w:tr>
      <w:tr w14:paraId="7971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2139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长期绩</w:t>
            </w:r>
          </w:p>
          <w:p w14:paraId="03980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效指标</w:t>
            </w:r>
          </w:p>
        </w:tc>
        <w:tc>
          <w:tcPr>
            <w:tcW w:w="823" w:type="dxa"/>
            <w:gridSpan w:val="2"/>
            <w:tcMar>
              <w:left w:w="57" w:type="dxa"/>
              <w:right w:w="57" w:type="dxa"/>
            </w:tcMar>
            <w:vAlign w:val="center"/>
          </w:tcPr>
          <w:p w14:paraId="7E99F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一级</w:t>
            </w:r>
          </w:p>
          <w:p w14:paraId="22BE7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05903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二级指标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B7A0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三级指标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019F1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7327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指标值确定依据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1C60E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指标分类</w:t>
            </w:r>
          </w:p>
        </w:tc>
      </w:tr>
      <w:tr w14:paraId="34C3B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4659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472FF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运行</w:t>
            </w:r>
          </w:p>
          <w:p w14:paraId="06287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成本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72443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078A1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232F5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4DACA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6BC33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59B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FB52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5537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322C3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在职人员控制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BB2F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人员控制率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6D68D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E0AD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250B80E6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61AD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B7FE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3609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52AB4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项目支出成本控制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5134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会议费控制率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53DAD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6B03C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4818A515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8648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6D9A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5FA3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CEE9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3A457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“三公”经费变动率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10C1A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04732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2CAFB14B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2364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E6A7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25A3C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管理</w:t>
            </w:r>
          </w:p>
          <w:p w14:paraId="5E0E8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效率</w:t>
            </w: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7983E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战略管理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3844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中长期规划相符性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54BFB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基本相符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24EEB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76F8F704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EA55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4DF6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1177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7857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7AA36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工作计划健全性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17585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87F5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3D64173A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539C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85E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0AF1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6007C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1E83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预算编制科学性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477EA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相对科学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CC6F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2B80D3C6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8C94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9F85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BEA7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BB5F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1D59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预算编制合理性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0ECF8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基本合理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06EC9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78642942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4009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2616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7C2B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BA9C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65B8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立项规范性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6C18D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DCE3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1115F061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B99C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84B0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DE52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FBE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3D554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预算调整率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35DE4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224D2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0D7D3AF2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6875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A659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6EB2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44C99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BF17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72E0E7CA">
            <w:pPr>
              <w:keepNext w:val="0"/>
              <w:keepLines w:val="0"/>
              <w:pageBreakBefore w:val="0"/>
              <w:widowControl w:val="0"/>
              <w:tabs>
                <w:tab w:val="left" w:pos="5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427EE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395A79C2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8E3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BAD3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6160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CDCD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650F8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结转结余率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01B16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4F83B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56210A0D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27D0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C306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6D4D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F353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7FD39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政府采购执行率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5EC79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F1DB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0B374850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9AC7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E644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76E7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4EEA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8263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非税收入预算完成率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0315B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7BC1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375B711F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FCF8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5FBC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2936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089B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绩效管理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67BC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事前绩效评估完成率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5E70D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613F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4D1AC21F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A92F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5C01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9BCE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B1E4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03D67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绩效目标合理性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3EFE9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F449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21C4AD8F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17E0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A441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5E9E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A16E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0957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绩效监控开展率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48777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F83B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5E31E6A4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67B2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DFF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849B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FD94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1695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绩效评价覆盖率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6429C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F1D1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4040CEC8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2822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2E2F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DB46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5282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0723E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评价结果应用率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037D2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80AD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23E030C3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DCA1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1031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965A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610AD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66F69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资产管理制度健全性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326AA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57E2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3F75B823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B004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EDE6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4206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F1BA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08FD2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资产管理规范性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33E09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DCF1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4EE7BEA6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9960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5CF1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23BE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1B17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E7A7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财务管理制度健全性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19E94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058FF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012133DC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56B7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7FCA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C521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54BD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E83D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会计核算规范性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0ABD9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B4AC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079E5400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612B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49E2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B7F2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9604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08168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资金使用合规性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5E697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基本合规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E276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506724A6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DF8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6E7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317C6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履职</w:t>
            </w:r>
          </w:p>
          <w:p w14:paraId="12653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效能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37EC8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核心业务产出1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9589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开展城市“疤痕”治理专项行动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590F3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88%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2B7F1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2EE61F6A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CABB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5508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6A1A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71723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核心业务产出2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68386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深化城市窨井盖专项整治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47638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232%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04242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264B04A8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0793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D2F5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3823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77A39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774D5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推进“全市一个停车场”建设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4EC4B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174%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D7FA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17FBA625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28FC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F7F2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18105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</w:t>
            </w:r>
          </w:p>
          <w:p w14:paraId="38BDB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效应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7E4D1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经济效益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3DEF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营造良好的投资环境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4E66B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662FA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32E08BFF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6D2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42C7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A8D3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37867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社会效益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45A1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提升城市精细化管理，打造宜居城市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43782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6FDB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6A60B6D5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2247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BC21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032E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158AF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生态效益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3C65A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提升环境质量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66556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D397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7C09BC00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28A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D533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6395D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可持续发展能力</w:t>
            </w: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3F199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体制机制改革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CB7E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服务体制改革成效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630A8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基本成功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D56D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498EA8E1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7BE5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C11D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532E8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0209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784B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行政管理体制改革成效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21380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基本成功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6C793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19000072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5535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E8C7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560CE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6BC90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人才支撑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72F7F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业务学习与培训完成率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7D021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2199D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343EB4ED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81E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4D28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676A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A760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C703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干部队伍体系建设规划情况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60006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6E469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5196251D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930C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7AD2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D228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3517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04662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高学历、高层次人才储备率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5C9CB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B710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6FABEBD8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4095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63EB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7557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7707B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科技支撑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68243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信息化建设情况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6E7F6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EF97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06CF6418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1B3E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B956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3DCA6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满意度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63131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服务对象满意度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64370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受益人员满意度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698EC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2E28A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5AFA5949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BAA6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EF42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2012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1389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联系部门满意度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62B82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部门履职满意度</w:t>
            </w: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2438C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169F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253" w:type="dxa"/>
            <w:gridSpan w:val="2"/>
            <w:tcMar>
              <w:left w:w="57" w:type="dxa"/>
              <w:right w:w="57" w:type="dxa"/>
            </w:tcMar>
            <w:vAlign w:val="center"/>
          </w:tcPr>
          <w:p w14:paraId="55D01D28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6751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399" w:type="dxa"/>
            <w:tcMar>
              <w:left w:w="57" w:type="dxa"/>
              <w:right w:w="57" w:type="dxa"/>
            </w:tcMar>
            <w:vAlign w:val="center"/>
          </w:tcPr>
          <w:p w14:paraId="0D08F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  <w:t>年度目标：</w:t>
            </w:r>
          </w:p>
        </w:tc>
        <w:tc>
          <w:tcPr>
            <w:tcW w:w="7788" w:type="dxa"/>
            <w:gridSpan w:val="17"/>
            <w:tcMar>
              <w:left w:w="57" w:type="dxa"/>
              <w:right w:w="57" w:type="dxa"/>
            </w:tcMar>
            <w:vAlign w:val="center"/>
          </w:tcPr>
          <w:p w14:paraId="0194E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以深化执法改革延景，建立健全“一委一办一平台”，推动“谋统督考”同步下沉，打通“最后一公里”；以“共同缔造”活动延景，结合“下察解暖”实践，推进“城管进社区”；以“全域城管”理念延景，推动市容环卫、绿化管养、设施维护、城管执法城乡全覆盖、主次干道背街小巷全覆盖、工作统筹全覆盖。</w:t>
            </w:r>
          </w:p>
        </w:tc>
      </w:tr>
      <w:tr w14:paraId="58E11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DE71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年度绩效指标</w:t>
            </w: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06365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一级</w:t>
            </w:r>
          </w:p>
          <w:p w14:paraId="4887B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</w:t>
            </w: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4B80E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二级指标</w:t>
            </w:r>
          </w:p>
        </w:tc>
        <w:tc>
          <w:tcPr>
            <w:tcW w:w="1665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00345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三级指标</w:t>
            </w:r>
          </w:p>
        </w:tc>
        <w:tc>
          <w:tcPr>
            <w:tcW w:w="361" w:type="dxa"/>
            <w:tcBorders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41DB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24" w:type="dxa"/>
            <w:gridSpan w:val="5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7EAE4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</w:t>
            </w:r>
          </w:p>
        </w:tc>
        <w:tc>
          <w:tcPr>
            <w:tcW w:w="735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3982A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指标值确定依据</w:t>
            </w:r>
          </w:p>
        </w:tc>
        <w:tc>
          <w:tcPr>
            <w:tcW w:w="75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36F2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指标分类</w:t>
            </w:r>
          </w:p>
        </w:tc>
      </w:tr>
      <w:tr w14:paraId="048BC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0A9E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7CB9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961C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716E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33" w:type="dxa"/>
            <w:gridSpan w:val="4"/>
            <w:tcMar>
              <w:left w:w="57" w:type="dxa"/>
              <w:right w:w="57" w:type="dxa"/>
            </w:tcMar>
            <w:vAlign w:val="center"/>
          </w:tcPr>
          <w:p w14:paraId="0B1BD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近两年指标值</w:t>
            </w:r>
          </w:p>
        </w:tc>
        <w:tc>
          <w:tcPr>
            <w:tcW w:w="752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1D579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预期当年实现值</w:t>
            </w:r>
          </w:p>
        </w:tc>
        <w:tc>
          <w:tcPr>
            <w:tcW w:w="735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A39D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A88A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04E9F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C89C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6D8A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3E91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3831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5C61D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年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55151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年</w:t>
            </w:r>
          </w:p>
        </w:tc>
        <w:tc>
          <w:tcPr>
            <w:tcW w:w="752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4AD7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35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F383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3" w:type="dxa"/>
            <w:vMerge w:val="continue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11D94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5197A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48FD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3C1A1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运行</w:t>
            </w:r>
          </w:p>
          <w:p w14:paraId="09CE5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成本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6C4B0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6976F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56580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0F15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3CA06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44BB5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0450822A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71EF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1A79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71B6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58BAB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在职人员控制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E83E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人员控制率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4DB61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55FEC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5496D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2B114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77513B4C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A1D3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5E93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DFB9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39641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项目支出成本控制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4B74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会议费控制率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4450A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617BB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3B6A8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016D0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579FAF69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3C2D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88A0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F38C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559B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6294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“三公”经费变动率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52954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6B6C2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15162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3BD87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3E71BFD5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BED2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FD21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0EBC4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管理</w:t>
            </w:r>
          </w:p>
          <w:p w14:paraId="7D799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效率</w:t>
            </w: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6CB97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战略管理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3EF70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中长期规划相符性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708CB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基本相符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27F9D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基本相符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173CF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基本相符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01A1D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328EB857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1274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5200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B230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7C62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1559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工作计划健全性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5F467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2616E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1AC18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12EAE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1B43DD47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D437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F920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3D99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08D7C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25B2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预算编制科学性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4674E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相对科学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58CAE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相对科学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32826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相对科学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4D78D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30232533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99E1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CCC3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9134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77FB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7C40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预算编制合理性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357D0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基本合理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76D86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基本合理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72D2B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基本合理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26C00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5B720576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3CA4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6C59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60C1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FAAD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C876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立项规范性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15EC5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07777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58314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42509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4100F04E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5AC4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636A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50A09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5E49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BE52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预算调整率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20D9D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7D93A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26209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61378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10BE8C87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A827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FB98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5F06D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2977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DA5F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782F9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764F7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634CEF70">
            <w:pPr>
              <w:keepNext w:val="0"/>
              <w:keepLines w:val="0"/>
              <w:pageBreakBefore w:val="0"/>
              <w:widowControl w:val="0"/>
              <w:tabs>
                <w:tab w:val="left" w:pos="5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ind w:firstLine="21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2A82A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1CDC5BF4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9613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5FE5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BC50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7F9F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3C11C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结转结余率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63D99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3D3DE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287B7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088AE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12DA500E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9FD7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49B0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755B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643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BB3E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政府采购执行率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55248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7EF2C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4BB9A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7A78D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31FF51A3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36C9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A5DE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48A6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BB6A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2982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非税收入预算完成率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6222F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5CFD0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11104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1A5FA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6BE689E6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3EEE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15C2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52194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5844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绩效管理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691F5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事前绩效评估完成率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586A2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44544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411E0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4565B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677FFF4D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A2F4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EFB3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0B0E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03D3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7DAF4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绩效目标合理性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4B9D0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21E5A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13B4C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24194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3B61D219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DAA4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5DB8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6FF2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3605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2A49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绩效监控开展率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573F5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559EF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6323C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618D0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04D0EC7A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5426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2E52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6611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3187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133E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绩效评价覆盖率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1D6F0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2C9FE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600F0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1E0F5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37876A9B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6681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888D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8592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1108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260B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评价结果应用率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46AA8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04AF5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33F19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29439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70039B19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E151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150B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7E39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7010F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8DA8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资产管理制度健全性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09B4F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248A4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61A19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766BD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1D0F61CA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1A9D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5A2C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F43C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0C50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D198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资产管理规范性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0EC20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750E5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3A5CF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22439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58336A3F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3DE5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BC41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80BE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FC24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1486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财务管理制度健全性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3D6C8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17761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74E67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基本健全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7A187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7D8D6C68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1796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41C4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6CB8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5813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0410A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会计核算规范性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39FD3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58C2C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12576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基本规范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389F2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6942E894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30F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E996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50893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A611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6C16A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资金使用合规性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52586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基本合规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55932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基本合规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13A46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基本合规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74A69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78D99E75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8E18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96A9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67357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履职</w:t>
            </w:r>
          </w:p>
          <w:p w14:paraId="0D751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效能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1CC83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核心业务产出1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4EEF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开展城市“疤痕”治理专项行动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72749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0FCD3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88%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0F740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46CFF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3A18E8E9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C00D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563E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41FF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35397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核心业务产出2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78125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深化城市窨井盖专项整治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1442A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1DD6E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232%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144E8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7AE20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7973F1C6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F869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4260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81ED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0D75A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90E3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推进“全市一个停车场”建设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29D5B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1B450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174%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0CD97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07C72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02F4C7DA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A02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4BC9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7B91B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</w:t>
            </w:r>
          </w:p>
          <w:p w14:paraId="2CDDA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效应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47B88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经济效益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6E72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营造良好的投资环境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51399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23320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4F8C1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2BACA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188E4D42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55F8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00A7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9D62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12482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社会效益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2F98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提升精细化管理打造宜居城市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2D169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2A852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7250F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7B895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521C9888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B14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C18F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B5A0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26399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生态效益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3826D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提升环境质量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7F5B8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07A4C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289F1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1052F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101E9E84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B29C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CB09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638B5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可持续发展能力</w:t>
            </w: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30C65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体制机制改革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78A04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服务体制改革成效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645E7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基本成功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457CA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基本成功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40271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基本成功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3C93E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42C4E0A0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A729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F2EC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891E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2A4E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021B0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行政管理体制改革成效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1FE6F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基本成功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40F94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基本成功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2F664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基本成功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3E74E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4791D88D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0A4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D2E8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788B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5B80C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人才支撑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0B59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业务学习与培训完成率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6939F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1051C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708C5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537A5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1C6A43F8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594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6AC4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55571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87B4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4B701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干部队伍体系建设规划情况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23A52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58763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20837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714BE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74679671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E16E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0731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E654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E672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0A51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高学历、高层次人才储备率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269DB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0A8BE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26166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083D9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35FE76B1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7786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580C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2981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3CB09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科技支撑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2BB7C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信息化建设情况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0B78C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67184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39EE2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61117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7852A3D0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2FEA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CC4B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7398F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满意度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12353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服务对象满意度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506D0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受益人员满意度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47E0E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6F97A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2758A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7B026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7F8B2649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D32C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D142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7CA0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09435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联系部门满意度</w:t>
            </w:r>
          </w:p>
        </w:tc>
        <w:tc>
          <w:tcPr>
            <w:tcW w:w="1665" w:type="dxa"/>
            <w:gridSpan w:val="2"/>
            <w:tcMar>
              <w:left w:w="57" w:type="dxa"/>
              <w:right w:w="57" w:type="dxa"/>
            </w:tcMar>
            <w:vAlign w:val="center"/>
          </w:tcPr>
          <w:p w14:paraId="17ED7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部门履职满意度</w:t>
            </w:r>
          </w:p>
        </w:tc>
        <w:tc>
          <w:tcPr>
            <w:tcW w:w="750" w:type="dxa"/>
            <w:gridSpan w:val="3"/>
            <w:tcMar>
              <w:left w:w="57" w:type="dxa"/>
              <w:right w:w="57" w:type="dxa"/>
            </w:tcMar>
            <w:vAlign w:val="center"/>
          </w:tcPr>
          <w:p w14:paraId="731B2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14:paraId="49963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752" w:type="dxa"/>
            <w:gridSpan w:val="2"/>
            <w:tcMar>
              <w:left w:w="57" w:type="dxa"/>
              <w:right w:w="57" w:type="dxa"/>
            </w:tcMar>
            <w:vAlign w:val="center"/>
          </w:tcPr>
          <w:p w14:paraId="0ADE0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735" w:type="dxa"/>
            <w:gridSpan w:val="3"/>
            <w:tcMar>
              <w:left w:w="57" w:type="dxa"/>
              <w:right w:w="57" w:type="dxa"/>
            </w:tcMar>
            <w:vAlign w:val="center"/>
          </w:tcPr>
          <w:p w14:paraId="5BEE7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  <w:vAlign w:val="center"/>
          </w:tcPr>
          <w:p w14:paraId="521E4EF0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</w:tbl>
    <w:p w14:paraId="2C61C0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4YTFmZmJjZTE1NmRhNDE3NWU5ODE1YjRkOGRiM2YifQ=="/>
  </w:docVars>
  <w:rsids>
    <w:rsidRoot w:val="00000000"/>
    <w:rsid w:val="080001B5"/>
    <w:rsid w:val="0C9903F7"/>
    <w:rsid w:val="107E75E9"/>
    <w:rsid w:val="11333889"/>
    <w:rsid w:val="19185113"/>
    <w:rsid w:val="1B0D2089"/>
    <w:rsid w:val="2A637325"/>
    <w:rsid w:val="2F590A35"/>
    <w:rsid w:val="339A4C4A"/>
    <w:rsid w:val="34E70363"/>
    <w:rsid w:val="3B345D79"/>
    <w:rsid w:val="44461AD3"/>
    <w:rsid w:val="4498248B"/>
    <w:rsid w:val="44B042CE"/>
    <w:rsid w:val="4A301A0D"/>
    <w:rsid w:val="4C4E2EF4"/>
    <w:rsid w:val="50F931BC"/>
    <w:rsid w:val="5B430B9B"/>
    <w:rsid w:val="5F7150F0"/>
    <w:rsid w:val="621E3542"/>
    <w:rsid w:val="624125B1"/>
    <w:rsid w:val="6B20545A"/>
    <w:rsid w:val="6D6A617B"/>
    <w:rsid w:val="71502AE5"/>
    <w:rsid w:val="75B91025"/>
    <w:rsid w:val="79A425D9"/>
    <w:rsid w:val="7F8C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tabs>
        <w:tab w:val="left" w:leader="middleDot" w:pos="8844"/>
      </w:tabs>
      <w:spacing w:afterLines="0" w:afterAutospacing="0"/>
    </w:pPr>
  </w:style>
  <w:style w:type="paragraph" w:styleId="3">
    <w:name w:val="Note Heading"/>
    <w:basedOn w:val="1"/>
    <w:next w:val="1"/>
    <w:autoRedefine/>
    <w:qFormat/>
    <w:uiPriority w:val="0"/>
    <w:pPr>
      <w:jc w:val="center"/>
    </w:pPr>
    <w:rPr>
      <w:rFonts w:ascii="Times New Roman" w:hAnsi="Times New Roman" w:eastAsia="宋体" w:cs="Times New Roman"/>
    </w:rPr>
  </w:style>
  <w:style w:type="paragraph" w:styleId="4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3514</Words>
  <Characters>3984</Characters>
  <Lines>0</Lines>
  <Paragraphs>0</Paragraphs>
  <TotalTime>28</TotalTime>
  <ScaleCrop>false</ScaleCrop>
  <LinksUpToDate>false</LinksUpToDate>
  <CharactersWithSpaces>4015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远烟</cp:lastModifiedBy>
  <dcterms:modified xsi:type="dcterms:W3CDTF">2026-08-12T07:15:13Z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A0BD6FA6E5F046CD96D817BB7D91D0EB_12</vt:lpwstr>
  </property>
</Properties>
</file>