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部门整体绩效目标申报表</w:t>
      </w:r>
    </w:p>
    <w:p>
      <w:pPr>
        <w:widowControl/>
        <w:spacing w:before="156" w:beforeLines="50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填报日期：  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 年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月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日             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500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中共鄂州市纪律检查委员会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刘文韬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4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60830492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占比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6180.82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 xml:space="preserve"> 80%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5091.6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6249.04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1557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7737.82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5091.6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6249.04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3769.62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49%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3481.75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3880.05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878.7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11%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496.16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3089.5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1113.69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1644.94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7737.82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5091.6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6249.04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部门职能概述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 </w:t>
            </w:r>
          </w:p>
          <w:p>
            <w:pPr>
              <w:widowControl/>
              <w:snapToGrid w:val="0"/>
              <w:ind w:firstLine="105" w:firstLineChars="5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负责党的纪律检查工作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2.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 依照党的章程和其他党内法规履行监督、执纪、问责职责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；</w:t>
            </w:r>
          </w:p>
          <w:p>
            <w:pPr>
              <w:widowControl/>
              <w:snapToGrid w:val="0"/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3.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 负责全市监察工作                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年度工作任务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 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1.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 以坚持“两个确立”、做到“两个维护”为统领，及时有效开展政治监督  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2.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 以保障服务发展为第一要务，营造风清气正的干事创业环境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3.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</w:rPr>
              <w:t xml:space="preserve">以一刻不停的韧劲保持反腐败的高压态势          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长期目标：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截止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年）</w:t>
            </w:r>
          </w:p>
        </w:tc>
        <w:tc>
          <w:tcPr>
            <w:tcW w:w="7549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认真履行党章和监察法赋予职责，推动全市纪检监察干部培训工作高质量发展，为党风廉政建设和反腐败工作提供坚强保证。用身边案警示身边人，做到警钟长鸣、底线常在，培育不想腐的自觉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基本相符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数量指标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上级部门调训，培训人数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40人次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质量指标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立案数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700人次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成本指标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拍摄警示教育片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&lt;35万元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廉洁短信提醒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100000条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环保投诉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&lt;1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列入发展规划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满足发展需求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稳步推进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群众满意度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联系部门满意度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年度目标：</w:t>
            </w:r>
          </w:p>
        </w:tc>
        <w:tc>
          <w:tcPr>
            <w:tcW w:w="7549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认真履行党章和监察法赋予职责，推动全市纪检监察干部培训工作高质量发展，为党风廉政建设和反腐败工作提供坚强保证。用身边案警示身边人，做到警钟长鸣、底线常在，培育不想腐的自觉。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指标值</w:t>
            </w:r>
          </w:p>
        </w:tc>
        <w:tc>
          <w:tcPr>
            <w:tcW w:w="52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5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预期当年实现值</w:t>
            </w:r>
          </w:p>
        </w:tc>
        <w:tc>
          <w:tcPr>
            <w:tcW w:w="52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 xml:space="preserve">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 xml:space="preserve">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52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基本相符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基本相符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预算支出标准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合规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数量指标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上级部门调训，培训人数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40人次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40人次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40人次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质量指标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立案数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563人次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794人次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700人次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成本指标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拍摄警示教育片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&lt;35万元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&lt;35万元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&lt;35万元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廉洁短信提醒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100000条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100000条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100000条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环保投诉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&lt;1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&lt;1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&lt;1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列入发展规划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列入发展规划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列入发展规划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满足发展需求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满足发展需求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满足发展需求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稳步推进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稳步推进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稳步推进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行业标准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群众满意度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联系部门满意度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95%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绩效创新型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16320EC"/>
    <w:rsid w:val="0B5C3E34"/>
    <w:rsid w:val="0E565F93"/>
    <w:rsid w:val="15061346"/>
    <w:rsid w:val="160939A2"/>
    <w:rsid w:val="18AD2DB2"/>
    <w:rsid w:val="1CA22253"/>
    <w:rsid w:val="212C2F24"/>
    <w:rsid w:val="23384D2F"/>
    <w:rsid w:val="29BB3FC4"/>
    <w:rsid w:val="2A4F24C9"/>
    <w:rsid w:val="2B21546A"/>
    <w:rsid w:val="2B4A2A20"/>
    <w:rsid w:val="2C365954"/>
    <w:rsid w:val="2F833978"/>
    <w:rsid w:val="30240E53"/>
    <w:rsid w:val="32BD6FFF"/>
    <w:rsid w:val="34E0659B"/>
    <w:rsid w:val="388B350E"/>
    <w:rsid w:val="39477622"/>
    <w:rsid w:val="3CF06A62"/>
    <w:rsid w:val="41705DFD"/>
    <w:rsid w:val="46E41D30"/>
    <w:rsid w:val="494F4AD5"/>
    <w:rsid w:val="4B303221"/>
    <w:rsid w:val="509446E5"/>
    <w:rsid w:val="5AE96DB7"/>
    <w:rsid w:val="65394B9A"/>
    <w:rsid w:val="6B8534E2"/>
    <w:rsid w:val="6D176058"/>
    <w:rsid w:val="6E9E6192"/>
    <w:rsid w:val="6F937AAF"/>
    <w:rsid w:val="7C0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2389</Words>
  <Characters>2725</Characters>
  <Lines>0</Lines>
  <Paragraphs>0</Paragraphs>
  <TotalTime>10</TotalTime>
  <ScaleCrop>false</ScaleCrop>
  <LinksUpToDate>false</LinksUpToDate>
  <CharactersWithSpaces>2877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2024-02-02T02:38:00Z</cp:lastPrinted>
  <dcterms:modified xsi:type="dcterms:W3CDTF">2024-05-25T07:02:42Z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7C8841D4BD3F4240B025C70B68CDA31F_13</vt:lpwstr>
  </property>
</Properties>
</file>