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3"/>
        <w:gridCol w:w="29"/>
        <w:gridCol w:w="1407"/>
        <w:gridCol w:w="91"/>
        <w:gridCol w:w="1096"/>
        <w:gridCol w:w="569"/>
        <w:gridCol w:w="361"/>
        <w:gridCol w:w="242"/>
        <w:gridCol w:w="147"/>
        <w:gridCol w:w="783"/>
        <w:gridCol w:w="29"/>
        <w:gridCol w:w="783"/>
        <w:gridCol w:w="171"/>
        <w:gridCol w:w="4"/>
        <w:gridCol w:w="62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名称</w:t>
            </w:r>
          </w:p>
        </w:tc>
        <w:tc>
          <w:tcPr>
            <w:tcW w:w="797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eastAsia="zh-CN"/>
              </w:rPr>
              <w:t>鄂州市科学技术局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填报人</w:t>
            </w:r>
          </w:p>
        </w:tc>
        <w:tc>
          <w:tcPr>
            <w:tcW w:w="22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eastAsia="zh-CN"/>
              </w:rPr>
              <w:t>梁</w:t>
            </w:r>
            <w:r>
              <w:rPr>
                <w:rFonts w:hint="eastAsia" w:ascii="仿宋_GB2312" w:hAnsi="仿宋_GB2312" w:eastAsia="仿宋_GB2312" w:cs="仿宋_GB2312"/>
                <w:color w:val="auto"/>
                <w:kern w:val="0"/>
                <w:sz w:val="21"/>
                <w:szCs w:val="21"/>
                <w:highlight w:val="none"/>
                <w:lang w:val="en-US" w:eastAsia="zh-CN"/>
              </w:rPr>
              <w:t xml:space="preserve">  </w:t>
            </w:r>
            <w:r>
              <w:rPr>
                <w:rFonts w:hint="eastAsia" w:ascii="仿宋_GB2312" w:hAnsi="仿宋_GB2312" w:eastAsia="仿宋_GB2312" w:cs="仿宋_GB2312"/>
                <w:color w:val="auto"/>
                <w:kern w:val="0"/>
                <w:sz w:val="21"/>
                <w:szCs w:val="21"/>
                <w:highlight w:val="none"/>
                <w:lang w:eastAsia="zh-CN"/>
              </w:rPr>
              <w:t>婧</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联系电话</w:t>
            </w:r>
          </w:p>
        </w:tc>
        <w:tc>
          <w:tcPr>
            <w:tcW w:w="4532"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027-60896392</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资金情况</w:t>
            </w:r>
          </w:p>
        </w:tc>
        <w:tc>
          <w:tcPr>
            <w:tcW w:w="3446"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占比</w:t>
            </w:r>
          </w:p>
        </w:tc>
        <w:tc>
          <w:tcPr>
            <w:tcW w:w="2401"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3446"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959"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2022</w:t>
            </w:r>
            <w:r>
              <w:rPr>
                <w:rFonts w:hint="eastAsia" w:ascii="仿宋_GB2312" w:hAnsi="仿宋_GB2312" w:eastAsia="仿宋_GB2312" w:cs="仿宋_GB2312"/>
                <w:color w:val="auto"/>
                <w:kern w:val="0"/>
                <w:sz w:val="21"/>
                <w:szCs w:val="21"/>
                <w:highlight w:val="none"/>
              </w:rPr>
              <w:t>年</w:t>
            </w: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2023</w:t>
            </w:r>
            <w:r>
              <w:rPr>
                <w:rFonts w:hint="eastAsia" w:ascii="仿宋_GB2312" w:hAnsi="仿宋_GB2312" w:eastAsia="仿宋_GB2312" w:cs="仿宋_GB2312"/>
                <w:color w:val="auto"/>
                <w:kern w:val="0"/>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1036.06</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16234</w:t>
            </w:r>
            <w:r>
              <w:rPr>
                <w:rFonts w:hint="eastAsia" w:ascii="仿宋_GB2312" w:hAnsi="仿宋_GB2312" w:eastAsia="仿宋_GB2312" w:cs="仿宋_GB2312"/>
                <w:color w:val="auto"/>
                <w:kern w:val="0"/>
                <w:sz w:val="21"/>
                <w:szCs w:val="21"/>
                <w:highlight w:val="none"/>
              </w:rPr>
              <w:t>　</w:t>
            </w: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1485.85</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1036.06</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16234</w:t>
            </w:r>
            <w:r>
              <w:rPr>
                <w:rFonts w:hint="eastAsia" w:ascii="仿宋_GB2312" w:hAnsi="仿宋_GB2312" w:eastAsia="仿宋_GB2312" w:cs="仿宋_GB2312"/>
                <w:color w:val="auto"/>
                <w:kern w:val="0"/>
                <w:sz w:val="21"/>
                <w:szCs w:val="21"/>
                <w:highlight w:val="none"/>
              </w:rPr>
              <w:t>　</w:t>
            </w: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1485.85</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708.44</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lang w:val="en-US" w:eastAsia="zh-CN"/>
              </w:rPr>
              <w:t>68.38%</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565.27</w:t>
            </w: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632.55</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96.62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9.33%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83.09</w:t>
            </w: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231</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22.29%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15585.64</w:t>
            </w:r>
            <w:r>
              <w:rPr>
                <w:rFonts w:hint="eastAsia" w:ascii="仿宋_GB2312" w:hAnsi="仿宋_GB2312" w:eastAsia="仿宋_GB2312" w:cs="仿宋_GB2312"/>
                <w:color w:val="auto"/>
                <w:kern w:val="0"/>
                <w:sz w:val="21"/>
                <w:szCs w:val="21"/>
                <w:highlight w:val="none"/>
              </w:rPr>
              <w:t>　</w:t>
            </w: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770.24</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1036.06</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16234</w:t>
            </w:r>
            <w:r>
              <w:rPr>
                <w:rFonts w:hint="eastAsia" w:ascii="仿宋_GB2312" w:hAnsi="仿宋_GB2312" w:eastAsia="仿宋_GB2312" w:cs="仿宋_GB2312"/>
                <w:color w:val="auto"/>
                <w:kern w:val="0"/>
                <w:sz w:val="21"/>
                <w:szCs w:val="21"/>
                <w:highlight w:val="none"/>
              </w:rPr>
              <w:t>　</w:t>
            </w:r>
          </w:p>
        </w:tc>
        <w:tc>
          <w:tcPr>
            <w:tcW w:w="144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1485.85</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部门职能概述</w:t>
            </w:r>
          </w:p>
        </w:tc>
        <w:tc>
          <w:tcPr>
            <w:tcW w:w="797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1.</w:t>
            </w:r>
            <w:r>
              <w:rPr>
                <w:rFonts w:hint="eastAsia" w:ascii="仿宋_GB2312" w:hAnsi="仿宋_GB2312" w:eastAsia="仿宋_GB2312" w:cs="仿宋_GB2312"/>
                <w:color w:val="auto"/>
                <w:kern w:val="0"/>
                <w:sz w:val="21"/>
                <w:szCs w:val="21"/>
                <w:highlight w:val="none"/>
                <w:u w:val="none"/>
                <w:lang w:val="en-US" w:eastAsia="zh-CN"/>
              </w:rPr>
              <w:t>推动全市科技发展，研究拟订全市科技发展的规范性文件草案和科技促进经济社会发展的政策措施，组织编制全市中长期科技发展规划</w:t>
            </w:r>
            <w:r>
              <w:rPr>
                <w:rFonts w:hint="eastAsia" w:ascii="仿宋_GB2312" w:hAnsi="仿宋_GB2312" w:eastAsia="仿宋_GB2312" w:cs="仿宋_GB2312"/>
                <w:color w:val="auto"/>
                <w:kern w:val="0"/>
                <w:sz w:val="21"/>
                <w:szCs w:val="21"/>
                <w:highlight w:val="none"/>
                <w:u w:val="none"/>
              </w:rPr>
              <w:t>；</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2.</w:t>
            </w:r>
            <w:r>
              <w:rPr>
                <w:rFonts w:hint="eastAsia" w:ascii="仿宋_GB2312" w:hAnsi="仿宋_GB2312" w:eastAsia="仿宋_GB2312" w:cs="仿宋_GB2312"/>
                <w:color w:val="auto"/>
                <w:kern w:val="0"/>
                <w:sz w:val="21"/>
                <w:szCs w:val="21"/>
                <w:highlight w:val="none"/>
                <w:u w:val="none"/>
                <w:lang w:val="en-US" w:eastAsia="zh-CN"/>
              </w:rPr>
              <w:t>组织拟订全市科技体制改革的政策措施，制定和组织实施市级科技计划</w:t>
            </w:r>
            <w:r>
              <w:rPr>
                <w:rFonts w:hint="eastAsia" w:ascii="仿宋_GB2312" w:hAnsi="仿宋_GB2312" w:eastAsia="仿宋_GB2312" w:cs="仿宋_GB2312"/>
                <w:color w:val="auto"/>
                <w:kern w:val="0"/>
                <w:sz w:val="21"/>
                <w:szCs w:val="21"/>
                <w:highlight w:val="none"/>
                <w:u w:val="none"/>
              </w:rPr>
              <w:t>；</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3.</w:t>
            </w:r>
            <w:r>
              <w:rPr>
                <w:rFonts w:hint="eastAsia" w:ascii="仿宋_GB2312" w:hAnsi="仿宋_GB2312" w:eastAsia="仿宋_GB2312" w:cs="仿宋_GB2312"/>
                <w:color w:val="auto"/>
                <w:kern w:val="0"/>
                <w:sz w:val="21"/>
                <w:szCs w:val="21"/>
                <w:highlight w:val="none"/>
                <w:u w:val="none"/>
                <w:lang w:val="en-US" w:eastAsia="zh-CN"/>
              </w:rPr>
              <w:t>负责市级科学技术研究与开发经费、科技专项经费的使用和管理；</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4.负责组织高新技术企业申报及评审；</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5.负责全市科技成果、科技奖励、科技保密、科技统计工作、外国专家管理，指导建设科技信息体系、生产力促进、科技对外交流、技术市场管理、技术需求等工作</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年度工作任务</w:t>
            </w:r>
          </w:p>
        </w:tc>
        <w:tc>
          <w:tcPr>
            <w:tcW w:w="797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1.强化区域创新协同。</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2.培育壮大创新主体。</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3.建强科技创新平台。</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4.加速科技成果转化。</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val="0"/>
                <w:color w:val="auto"/>
                <w:kern w:val="0"/>
                <w:sz w:val="21"/>
                <w:szCs w:val="21"/>
                <w:highlight w:val="none"/>
                <w:u w:val="none"/>
                <w:lang w:val="en-US" w:eastAsia="zh-CN" w:bidi="ar-SA"/>
              </w:rPr>
              <w:t>5.加强核心技术攻关。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color w:val="auto"/>
                <w:kern w:val="0"/>
                <w:sz w:val="21"/>
                <w:szCs w:val="21"/>
                <w:highlight w:val="none"/>
              </w:rPr>
              <w:t>（截止</w:t>
            </w:r>
            <w:r>
              <w:rPr>
                <w:rFonts w:hint="eastAsia" w:ascii="仿宋_GB2312" w:hAnsi="仿宋_GB2312" w:eastAsia="仿宋_GB2312" w:cs="仿宋_GB2312"/>
                <w:color w:val="auto"/>
                <w:kern w:val="0"/>
                <w:sz w:val="21"/>
                <w:szCs w:val="21"/>
                <w:highlight w:val="none"/>
                <w:lang w:val="en-US" w:eastAsia="zh-CN"/>
              </w:rPr>
              <w:t>2025</w:t>
            </w:r>
            <w:r>
              <w:rPr>
                <w:rFonts w:hint="eastAsia" w:ascii="仿宋_GB2312" w:hAnsi="仿宋_GB2312" w:eastAsia="仿宋_GB2312" w:cs="仿宋_GB2312"/>
                <w:color w:val="auto"/>
                <w:kern w:val="0"/>
                <w:sz w:val="21"/>
                <w:szCs w:val="21"/>
                <w:highlight w:val="none"/>
              </w:rPr>
              <w:t>年）</w:t>
            </w:r>
          </w:p>
        </w:tc>
        <w:tc>
          <w:tcPr>
            <w:tcW w:w="7978" w:type="dxa"/>
            <w:gridSpan w:val="1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eastAsia="zh-CN"/>
              </w:rPr>
              <w:t>加强科技创新引领作用，持续推进科技强市建设，高新技术企业总数突破</w:t>
            </w:r>
            <w:r>
              <w:rPr>
                <w:rFonts w:hint="eastAsia" w:ascii="仿宋_GB2312" w:hAnsi="仿宋_GB2312" w:eastAsia="仿宋_GB2312" w:cs="仿宋_GB2312"/>
                <w:color w:val="auto"/>
                <w:kern w:val="0"/>
                <w:sz w:val="21"/>
                <w:szCs w:val="21"/>
                <w:highlight w:val="none"/>
                <w:lang w:val="en-US" w:eastAsia="zh-CN"/>
              </w:rPr>
              <w:t>400家以上，科技型中小企业达到1000家以上，高新技术产业增加值占GDP比重超过20%。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效指标</w:t>
            </w:r>
          </w:p>
        </w:tc>
        <w:tc>
          <w:tcPr>
            <w:tcW w:w="82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二级指标</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三级指标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指标值确定依据</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公用经费控制率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95%</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在职</w:t>
            </w:r>
            <w:r>
              <w:rPr>
                <w:rFonts w:hint="eastAsia" w:ascii="仿宋_GB2312" w:hAnsi="仿宋_GB2312" w:eastAsia="仿宋_GB2312" w:cs="仿宋_GB2312"/>
                <w:color w:val="auto"/>
                <w:kern w:val="0"/>
                <w:sz w:val="21"/>
                <w:szCs w:val="21"/>
                <w:highlight w:val="none"/>
              </w:rPr>
              <w:t>人员控制率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会议费控制率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“三公”经费变动率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中长期规划相符性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完全</w:t>
            </w:r>
            <w:r>
              <w:rPr>
                <w:rFonts w:hint="eastAsia" w:ascii="仿宋_GB2312" w:hAnsi="仿宋_GB2312" w:eastAsia="仿宋_GB2312" w:cs="仿宋_GB2312"/>
                <w:color w:val="auto"/>
                <w:kern w:val="0"/>
                <w:sz w:val="21"/>
                <w:szCs w:val="21"/>
                <w:highlight w:val="none"/>
                <w:lang w:val="en-US" w:eastAsia="zh-CN"/>
              </w:rPr>
              <w:t>相符</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工作计划健全性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预算编制科学性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科学</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合理</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立项规范性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预算调整率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结转结余率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政府采购执行率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90%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非税收入预算完成率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事前绩效评估完成率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绩效目标合理性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合理</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绩效监控开展率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绩效评价覆盖率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评价结果应用率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95%</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会计核算规范性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资金使用合规性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完全合规</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高新技术企业</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148家</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科技型中小企业</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731家</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科技特派员工作站</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15家</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4</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产业技术创新联合体</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2家</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5</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离岸科创中心</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1家</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6</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技术合同成交额</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75.24亿元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7</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核心技术攻关</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136项</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创新引领增强</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效果明显</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创新能力提升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效果明显</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创新生态优化</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效果明显</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效果明显</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行政管理体制改革成效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效果明显</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业务学习与培训完成率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干部队伍体系建设规划情况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列入发展规划</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计划标准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高学历、高层次人才储备率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满足发展需求</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计划标准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信息化建设情况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已建设科惠网</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科技企业满意度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联系部门满意度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144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年度目标：</w:t>
            </w:r>
          </w:p>
        </w:tc>
        <w:tc>
          <w:tcPr>
            <w:tcW w:w="7978" w:type="dxa"/>
            <w:gridSpan w:val="16"/>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1.强化区域创新协同，推进光谷科创大走廊鄂州功能区10个重点项目建设。</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2.培育壮大创新主体，高新技术企业新增40家，总数达到350家以上；科技型中小企业入库800家以上。</w:t>
            </w:r>
          </w:p>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3.建强科技创新平台，筹建产业技术创新联合体2个，</w:t>
            </w:r>
            <w:r>
              <w:rPr>
                <w:rFonts w:hint="eastAsia" w:ascii="仿宋_GB2312" w:hAnsi="仿宋_GB2312" w:eastAsia="仿宋_GB2312" w:cs="仿宋_GB2312"/>
                <w:b w:val="0"/>
                <w:bCs w:val="0"/>
                <w:color w:val="auto"/>
                <w:sz w:val="21"/>
                <w:szCs w:val="21"/>
                <w:u w:val="none"/>
                <w:vertAlign w:val="baseline"/>
                <w:lang w:val="en-US" w:eastAsia="zh-CN"/>
              </w:rPr>
              <w:t>规上企业设立研发机构达50%，</w:t>
            </w:r>
            <w:r>
              <w:rPr>
                <w:rFonts w:hint="eastAsia" w:ascii="仿宋_GB2312" w:hAnsi="仿宋_GB2312" w:eastAsia="仿宋_GB2312" w:cs="仿宋_GB2312"/>
                <w:color w:val="auto"/>
                <w:kern w:val="0"/>
                <w:sz w:val="21"/>
                <w:szCs w:val="21"/>
                <w:highlight w:val="none"/>
                <w:u w:val="none"/>
                <w:lang w:val="en-US" w:eastAsia="zh-CN"/>
              </w:rPr>
              <w:t>争创一批省级科技创新平台。</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val="en-US"/>
              </w:rPr>
            </w:pPr>
            <w:r>
              <w:rPr>
                <w:rFonts w:hint="eastAsia" w:ascii="仿宋_GB2312" w:hAnsi="仿宋_GB2312" w:eastAsia="仿宋_GB2312" w:cs="仿宋_GB2312"/>
                <w:color w:val="auto"/>
                <w:kern w:val="0"/>
                <w:sz w:val="21"/>
                <w:szCs w:val="21"/>
                <w:highlight w:val="none"/>
                <w:u w:val="none"/>
                <w:lang w:val="en-US" w:eastAsia="zh-CN"/>
              </w:rPr>
              <w:t>4.加速科技成果转化，深入推进市校合作，引进一批武汉高校科技成果，在鄂州转化落地60个以上，技术合同成交额达到80亿元以上。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年度绩效指标</w:t>
            </w: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二级指标</w:t>
            </w:r>
          </w:p>
        </w:tc>
        <w:tc>
          <w:tcPr>
            <w:tcW w:w="166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三级指标</w:t>
            </w:r>
          </w:p>
        </w:tc>
        <w:tc>
          <w:tcPr>
            <w:tcW w:w="361"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984" w:type="dxa"/>
            <w:gridSpan w:val="5"/>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w:t>
            </w:r>
          </w:p>
        </w:tc>
        <w:tc>
          <w:tcPr>
            <w:tcW w:w="800"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指标值确定依据</w:t>
            </w:r>
          </w:p>
        </w:tc>
        <w:tc>
          <w:tcPr>
            <w:tcW w:w="818"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近两年指标值</w:t>
            </w:r>
          </w:p>
        </w:tc>
        <w:tc>
          <w:tcPr>
            <w:tcW w:w="812"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预期当年实现值</w:t>
            </w:r>
          </w:p>
        </w:tc>
        <w:tc>
          <w:tcPr>
            <w:tcW w:w="800"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81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2022</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年</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2023</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年</w:t>
            </w:r>
          </w:p>
        </w:tc>
        <w:tc>
          <w:tcPr>
            <w:tcW w:w="812"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800"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818"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公用经费控制率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95%</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95%</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在职</w:t>
            </w:r>
            <w:r>
              <w:rPr>
                <w:rFonts w:hint="eastAsia" w:ascii="仿宋_GB2312" w:hAnsi="仿宋_GB2312" w:eastAsia="仿宋_GB2312" w:cs="仿宋_GB2312"/>
                <w:color w:val="auto"/>
                <w:kern w:val="0"/>
                <w:sz w:val="21"/>
                <w:szCs w:val="21"/>
                <w:highlight w:val="none"/>
              </w:rPr>
              <w:t>人员控制率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会议费控制率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“三公”经费</w:t>
            </w:r>
            <w:bookmarkStart w:id="0" w:name="_GoBack"/>
            <w:bookmarkEnd w:id="0"/>
            <w:r>
              <w:rPr>
                <w:rFonts w:hint="eastAsia" w:ascii="仿宋_GB2312" w:hAnsi="仿宋_GB2312" w:eastAsia="仿宋_GB2312" w:cs="仿宋_GB2312"/>
                <w:color w:val="auto"/>
                <w:kern w:val="0"/>
                <w:sz w:val="21"/>
                <w:szCs w:val="21"/>
                <w:highlight w:val="none"/>
              </w:rPr>
              <w:t>变动率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中长期规划相符性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计划标准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工作计划健全性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计划</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预算编制科学性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科学</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科学</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科学</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立项规范性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预算调整率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结转结余率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政府采购执行率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95%</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95%</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非税收入预算完成率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事前绩效评估完成率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绩效目标合理性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绩效监控开展率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绩效评价覆盖率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评价结果应用率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95%</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95%</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资产管理制度健全性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财务管理制度健全性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会计核算规范性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资金使用合规性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合规</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合规</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合规</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高新技术企业</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227</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313</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350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科技型中小企业</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561</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761</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产业技术创新联合体</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0家</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2家</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4家</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4</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技术合同成交额</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56亿</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75亿</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80亿</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5</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核心技术攻关</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96项</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136项</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130项</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创新引领增强</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创新能力提升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创新生态优化</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明显</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服务体制改革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行政管理体制</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业务学习与培训完成率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干部队伍体系建设规划情况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列入发展规划</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列入发展规划</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列入发展规划</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计划</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高学历、高层次人才储备率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满足发展需求</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满足发展需求</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满足发展需求</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计划</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信息化建设情况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未建设</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未建设</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未建设</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科技企业满意度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联系部门满意度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1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100%</w:t>
            </w:r>
          </w:p>
        </w:tc>
        <w:tc>
          <w:tcPr>
            <w:tcW w:w="80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标准</w:t>
            </w:r>
          </w:p>
        </w:tc>
        <w:tc>
          <w:tcPr>
            <w:tcW w:w="81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创新型</w:t>
            </w:r>
          </w:p>
        </w:tc>
      </w:tr>
    </w:tbl>
    <w:p>
      <w:pPr>
        <w:spacing w:line="600" w:lineRule="exact"/>
        <w:ind w:firstLine="640" w:firstLineChars="200"/>
        <w:rPr>
          <w:rFonts w:hint="eastAsia" w:ascii="黑体" w:hAnsi="黑体" w:eastAsia="黑体" w:cs="黑体"/>
          <w:color w:val="auto"/>
          <w:sz w:val="32"/>
          <w:szCs w:val="32"/>
          <w:highlight w:val="none"/>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2C365954"/>
    <w:rsid w:val="05900FD6"/>
    <w:rsid w:val="132CEB1E"/>
    <w:rsid w:val="1CA22253"/>
    <w:rsid w:val="212C2F24"/>
    <w:rsid w:val="2AF917D3"/>
    <w:rsid w:val="2C365954"/>
    <w:rsid w:val="2FFA45C1"/>
    <w:rsid w:val="30240E53"/>
    <w:rsid w:val="388B350E"/>
    <w:rsid w:val="3A627BD5"/>
    <w:rsid w:val="467B9FDC"/>
    <w:rsid w:val="46AE425F"/>
    <w:rsid w:val="50B866FA"/>
    <w:rsid w:val="51786583"/>
    <w:rsid w:val="561FD700"/>
    <w:rsid w:val="5F5D4BFA"/>
    <w:rsid w:val="5FFDAC24"/>
    <w:rsid w:val="6F5F41DF"/>
    <w:rsid w:val="747B40BA"/>
    <w:rsid w:val="7BFE4691"/>
    <w:rsid w:val="7E3F2F0E"/>
    <w:rsid w:val="7ED800FB"/>
    <w:rsid w:val="9FBF30F6"/>
    <w:rsid w:val="CF66524D"/>
    <w:rsid w:val="DDFF3077"/>
    <w:rsid w:val="DFF73577"/>
    <w:rsid w:val="F7FB8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2809</Words>
  <Characters>3158</Characters>
  <Lines>0</Lines>
  <Paragraphs>0</Paragraphs>
  <TotalTime>3</TotalTime>
  <ScaleCrop>false</ScaleCrop>
  <LinksUpToDate>false</LinksUpToDate>
  <CharactersWithSpaces>3185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2024-01-24T23:26:00Z</dcterms:created>
  <dc:creator>倒亚指芭绦</dc:creator>
  <cp:lastModifiedBy>远烟</cp:lastModifiedBy>
  <cp:lastPrinted>2024-01-30T18:23:00Z</cp:lastPrinted>
  <dcterms:modified xsi:type="dcterms:W3CDTF">2024-05-24T09:17:17Z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1730F815CD67423F8359F43B5DC68772_13</vt:lpwstr>
  </property>
</Properties>
</file>