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default" w:ascii="楷体_GB2312" w:hAnsi="Times New Roman" w:eastAsia="楷体_GB2312"/>
          <w:color w:val="auto"/>
          <w:sz w:val="28"/>
          <w:szCs w:val="28"/>
          <w:highlight w:val="none"/>
          <w:lang w:val="en"/>
        </w:rPr>
        <w:t>2024</w:t>
      </w:r>
      <w:r>
        <w:rPr>
          <w:rFonts w:hint="eastAsia" w:ascii="楷体_GB2312" w:hAnsi="Times New Roman" w:eastAsia="楷体_GB2312"/>
          <w:color w:val="auto"/>
          <w:sz w:val="28"/>
          <w:szCs w:val="28"/>
          <w:highlight w:val="none"/>
        </w:rPr>
        <w:t>年</w:t>
      </w:r>
      <w:r>
        <w:rPr>
          <w:rFonts w:hint="default" w:ascii="楷体_GB2312" w:hAnsi="Times New Roman" w:eastAsia="楷体_GB2312"/>
          <w:color w:val="auto"/>
          <w:sz w:val="28"/>
          <w:szCs w:val="28"/>
          <w:highlight w:val="none"/>
          <w:lang w:val="en"/>
        </w:rPr>
        <w:t>1</w:t>
      </w:r>
      <w:r>
        <w:rPr>
          <w:rFonts w:hint="eastAsia" w:ascii="楷体_GB2312" w:hAnsi="Times New Roman" w:eastAsia="楷体_GB2312"/>
          <w:color w:val="auto"/>
          <w:sz w:val="28"/>
          <w:szCs w:val="28"/>
          <w:highlight w:val="none"/>
        </w:rPr>
        <w:t>月</w:t>
      </w:r>
      <w:r>
        <w:rPr>
          <w:rFonts w:hint="default" w:ascii="楷体_GB2312" w:hAnsi="Times New Roman" w:eastAsia="楷体_GB2312"/>
          <w:color w:val="auto"/>
          <w:sz w:val="28"/>
          <w:szCs w:val="28"/>
          <w:highlight w:val="none"/>
          <w:lang w:val="en"/>
        </w:rPr>
        <w:t>16</w:t>
      </w:r>
      <w:r>
        <w:rPr>
          <w:rFonts w:hint="eastAsia" w:ascii="楷体_GB2312" w:hAnsi="Times New Roman" w:eastAsia="楷体_GB2312"/>
          <w:color w:val="auto"/>
          <w:sz w:val="28"/>
          <w:szCs w:val="28"/>
          <w:highlight w:val="none"/>
        </w:rPr>
        <w:t>日                单位：万元</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9"/>
        <w:gridCol w:w="794"/>
        <w:gridCol w:w="29"/>
        <w:gridCol w:w="1407"/>
        <w:gridCol w:w="91"/>
        <w:gridCol w:w="1096"/>
        <w:gridCol w:w="569"/>
        <w:gridCol w:w="361"/>
        <w:gridCol w:w="242"/>
        <w:gridCol w:w="147"/>
        <w:gridCol w:w="783"/>
        <w:gridCol w:w="29"/>
        <w:gridCol w:w="761"/>
        <w:gridCol w:w="193"/>
        <w:gridCol w:w="504"/>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鄂州市人民代表大会常务委员会办公室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徐超</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02760830453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2039.52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2163</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2140.19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0.83</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2039.52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2163.83</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2140.19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1488.75</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1714.78</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1578.15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247.59</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12.13%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449.05</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562.04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303.18</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14.87%</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2039.52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2163.83</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default" w:ascii="仿宋_GB2312" w:hAnsi="宋体" w:eastAsia="仿宋_GB2312"/>
                <w:color w:val="auto"/>
                <w:kern w:val="0"/>
                <w:highlight w:val="none"/>
                <w:lang w:val="en-US"/>
              </w:rPr>
              <w:t>2140.19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pPr>
            <w:r>
              <w:rPr>
                <w:rFonts w:hint="eastAsia"/>
              </w:rPr>
              <w:t> </w:t>
            </w:r>
          </w:p>
          <w:p>
            <w:pPr>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1.负责市人民代表大会会议、常委会会议、主任会议和常委会机关召开的多项会议的会务工作；</w:t>
            </w:r>
          </w:p>
          <w:p>
            <w:pPr>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负责</w:t>
            </w:r>
            <w:r>
              <w:rPr>
                <w:rFonts w:hint="eastAsia" w:ascii="仿宋_GB2312" w:hAnsi="仿宋_GB2312" w:eastAsia="仿宋_GB2312" w:cs="仿宋_GB2312"/>
                <w:sz w:val="21"/>
                <w:szCs w:val="21"/>
              </w:rPr>
              <w:t>在市的全国人大代表和省人大代表的</w:t>
            </w:r>
            <w:r>
              <w:rPr>
                <w:rFonts w:hint="eastAsia" w:ascii="仿宋_GB2312" w:hAnsi="仿宋_GB2312" w:eastAsia="仿宋_GB2312" w:cs="仿宋_GB2312"/>
                <w:sz w:val="21"/>
                <w:szCs w:val="21"/>
                <w:lang w:eastAsia="zh-CN"/>
              </w:rPr>
              <w:t>联络服务工作，做好相关活动的协调服务工作；负责市人大代表履职培训、履职服务和履职管理等工作；</w:t>
            </w:r>
          </w:p>
          <w:p>
            <w:pPr>
              <w:widowControl/>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3.负责提出五年立法工作规划草案稿和年度立法工作计划草案；负责统一审议地方性法规草案，提出审议结果的报告和草案修改稿、建议表决稿；负责开展立法宣传等工作等；</w:t>
            </w:r>
          </w:p>
          <w:p>
            <w:pPr>
              <w:widowControl/>
              <w:snapToGrid w:val="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对市级预算和决算以及市直部门预算进行审查监督。对市级国有资产管理情况进行监督。</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eastAsia="zh-CN"/>
              </w:rPr>
              <w:t>组织市人大及其常委会的宣传工作，编辑、</w:t>
            </w:r>
            <w:r>
              <w:rPr>
                <w:rFonts w:hint="eastAsia" w:ascii="仿宋_GB2312" w:hAnsi="仿宋_GB2312" w:eastAsia="仿宋_GB2312" w:cs="仿宋_GB2312"/>
                <w:sz w:val="21"/>
                <w:szCs w:val="21"/>
              </w:rPr>
              <w:t>编印市人大常委会《公报》、《</w:t>
            </w:r>
            <w:r>
              <w:rPr>
                <w:rFonts w:hint="eastAsia" w:ascii="仿宋_GB2312" w:hAnsi="仿宋_GB2312" w:eastAsia="仿宋_GB2312" w:cs="仿宋_GB2312"/>
                <w:sz w:val="21"/>
                <w:szCs w:val="21"/>
                <w:lang w:eastAsia="zh-CN"/>
              </w:rPr>
              <w:t>鄂州人大</w:t>
            </w:r>
            <w:r>
              <w:rPr>
                <w:rFonts w:hint="eastAsia" w:ascii="仿宋_GB2312" w:hAnsi="仿宋_GB2312" w:eastAsia="仿宋_GB2312" w:cs="仿宋_GB2312"/>
                <w:sz w:val="21"/>
                <w:szCs w:val="21"/>
              </w:rPr>
              <w:t>》等内部刊物。</w:t>
            </w:r>
          </w:p>
          <w:p>
            <w:pPr>
              <w:pStyle w:val="4"/>
              <w:ind w:left="0" w:leftChars="0" w:firstLine="0" w:firstLineChars="0"/>
              <w:rPr>
                <w:rFonts w:hint="default" w:eastAsia="仿宋_GB2312"/>
                <w:lang w:val="en-US" w:eastAsia="zh-CN"/>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各专门委员会</w:t>
            </w:r>
            <w:r>
              <w:rPr>
                <w:rFonts w:hint="eastAsia" w:ascii="仿宋_GB2312" w:hAnsi="仿宋_GB2312" w:eastAsia="仿宋_GB2312" w:cs="仿宋_GB2312"/>
                <w:color w:val="auto"/>
                <w:sz w:val="21"/>
                <w:szCs w:val="21"/>
                <w:highlight w:val="none"/>
                <w:lang w:eastAsia="zh-CN"/>
              </w:rPr>
              <w:t>围绕市人大及其常委会审议的议题和专门委员会的职责，开展调查研究，拟订执法检查计划，做好专门委员会视察、检查的有关工作。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rPr>
                <w:rFonts w:hint="eastAsia" w:ascii="仿宋_GB2312" w:hAnsi="仿宋_GB2312" w:eastAsia="仿宋_GB2312" w:cs="仿宋_GB2312"/>
                <w:sz w:val="21"/>
                <w:szCs w:val="21"/>
                <w:lang w:val="en-US" w:eastAsia="zh-CN"/>
              </w:rPr>
            </w:pPr>
            <w:r>
              <w:rPr>
                <w:rFonts w:hint="eastAsia"/>
              </w:rPr>
              <w:t> </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.加快《鄂州市电梯安全管理条例》立法进程，以良法促发展保善治。开展《鄂州市建筑垃圾管理条例》《鄂州市武昌鱼产业发展促进条例》等项目立法调研，为立法做好项目储备；</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2.认真履行好人大监督职能，切实发挥好监督利剑作用，增强监督的刚性和硬度；</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加强人大代表工作能力建设，加强代表队伍政治思想建设和履职能力建设，有计划组织代表及基层人大干部在市内外参加提升履职能力学习培训；深化开展“代表行动”，持续办好“代表专线”、“代表直播间”等代表联系人民群众的平台；</w:t>
            </w:r>
          </w:p>
          <w:p>
            <w:pPr>
              <w:rPr>
                <w:rFonts w:hint="eastAsia"/>
                <w:lang w:val="en-US" w:eastAsia="zh-CN"/>
              </w:rPr>
            </w:pPr>
            <w:r>
              <w:rPr>
                <w:rFonts w:hint="eastAsia" w:ascii="仿宋_GB2312" w:hAnsi="仿宋_GB2312" w:eastAsia="仿宋_GB2312" w:cs="仿宋_GB2312"/>
                <w:sz w:val="21"/>
                <w:szCs w:val="21"/>
                <w:lang w:val="en-US" w:eastAsia="zh-CN"/>
              </w:rPr>
              <w:t>4.开展调查研究，拟订执法检查计划，做好专门委员会视察、检查的有关工作</w:t>
            </w:r>
            <w:r>
              <w:rPr>
                <w:rFonts w:hint="eastAsia"/>
                <w:lang w:val="en-US" w:eastAsia="zh-CN"/>
              </w:rPr>
              <w:t>。</w:t>
            </w: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default" w:ascii="仿宋_GB2312" w:hAnsi="宋体" w:eastAsia="仿宋_GB2312" w:cs="仿宋_GB2312"/>
                <w:color w:val="auto"/>
                <w:kern w:val="0"/>
                <w:highlight w:val="none"/>
                <w:lang w:val="en"/>
              </w:rPr>
              <w:t>2026</w:t>
            </w:r>
            <w:r>
              <w:rPr>
                <w:rFonts w:hint="eastAsia" w:ascii="仿宋_GB2312" w:hAnsi="宋体" w:eastAsia="仿宋_GB2312" w:cs="仿宋_GB2312"/>
                <w:color w:val="auto"/>
                <w:kern w:val="0"/>
                <w:highlight w:val="none"/>
              </w:rPr>
              <w:t>年）</w:t>
            </w:r>
          </w:p>
        </w:tc>
        <w:tc>
          <w:tcPr>
            <w:tcW w:w="7549" w:type="dxa"/>
            <w:gridSpan w:val="16"/>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预算支出标准</w:t>
            </w:r>
          </w:p>
        </w:tc>
        <w:tc>
          <w:tcPr>
            <w:tcW w:w="101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不超过会议标准</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完全相符</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计划标准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计划标准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科学</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合理</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预算支出标准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科学合理</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完全合规</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人大代表活动</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代表活动有效开展</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按相关要求有效开展代表活动</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人大会议</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人大会议依法召开</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依照法定程序召开主任会、常委会、代表大会</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人大监督</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依法开展预算监督、执法监督</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增强人大监督的刚性和硬度</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人大立法</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制定地方性法规</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以良法促进发展、保障善治</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提高预算约束机制</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优化财政资源配置，提高财政资金使用绩效</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切实维护人民群众合法权益和社会稳定</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有效落实</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有效服务群众、服务代表</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职能、权力、程序法定人</w:t>
            </w:r>
          </w:p>
        </w:tc>
        <w:tc>
          <w:tcPr>
            <w:tcW w:w="983"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完成率100%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科学合理</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强化人才储备</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加强人大网站建设</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olor w:val="auto"/>
                <w:kern w:val="0"/>
                <w:highlight w:val="none"/>
                <w:lang w:val="en-US" w:eastAsia="zh-CN"/>
              </w:rPr>
              <w:t>行业标准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人民群众满意度</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提升人民群众幸福感、获得感</w:t>
            </w:r>
          </w:p>
        </w:tc>
        <w:tc>
          <w:tcPr>
            <w:tcW w:w="983" w:type="dxa"/>
            <w:gridSpan w:val="3"/>
            <w:tcMar>
              <w:left w:w="57" w:type="dxa"/>
              <w:right w:w="57" w:type="dxa"/>
            </w:tcMar>
            <w:vAlign w:val="center"/>
          </w:tcPr>
          <w:p>
            <w:pPr>
              <w:widowControl/>
              <w:snapToGrid w:val="0"/>
              <w:jc w:val="both"/>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其他标准</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49" w:type="dxa"/>
            <w:gridSpan w:val="16"/>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962"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697"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79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697"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9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697"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不超过会议标准</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不超过会议标准</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不超过会议标准</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≤0%</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b w:val="0"/>
                <w:bCs/>
                <w:i w:val="0"/>
                <w:color w:val="000000"/>
                <w:kern w:val="0"/>
                <w:sz w:val="21"/>
                <w:szCs w:val="21"/>
                <w:u w:val="none"/>
                <w:lang w:val="en-US" w:eastAsia="zh-CN" w:bidi="ar"/>
              </w:rPr>
              <w:t>≤0%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9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69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小于</w:t>
            </w: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科学合理</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科学合理</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科学合理</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等于</w:t>
            </w: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69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69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69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79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69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人大代表活动</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代表活动有效开展</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按相关要求有效开展代表活动</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按相关要求有效开展代表活动</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按相关要求有效开展代表活动</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人大会议</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人大会议依法召开</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依照法定程序召开主任会、常委会、代表大会</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依照法定程序召开主任会、常委会、代表大会</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依照法定程序召开主任会、常委会、代表大会</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人大监督</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依法开展预算监督、执法监督</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增强人大监督的刚性和硬度</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增强人大监督的刚性和硬度</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增强人大监督的刚性和硬度</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人大立法</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制定地方性法规</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以良法促进发展、保障善治</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以良法促进发展、保障善治</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以良法促进发展、保障善治</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提高预算约束机制</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优化财政资源配置，提高财政资金使用绩效</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优化财政资源配置，提高财政资金使用绩效</w:t>
            </w:r>
          </w:p>
        </w:tc>
        <w:tc>
          <w:tcPr>
            <w:tcW w:w="79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优化财政资源配置，提高财政资金使用绩效</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切实维护人民群众合法权益和社会稳定</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有效落实</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有效落实</w:t>
            </w:r>
          </w:p>
        </w:tc>
        <w:tc>
          <w:tcPr>
            <w:tcW w:w="79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有效落实</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9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69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有效服务群众、服务代表</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有效服务群众、服务代表</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有效服务群众、服务代表</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职能、权力、程序法定人</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职能、权力、程序法定人</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职能、权力、程序法定人</w:t>
            </w:r>
          </w:p>
        </w:tc>
        <w:tc>
          <w:tcPr>
            <w:tcW w:w="69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完成率100%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完成率100%</w:t>
            </w:r>
          </w:p>
        </w:tc>
        <w:tc>
          <w:tcPr>
            <w:tcW w:w="79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完成率100%</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科学合理</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科学合理</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科学合理</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强化人才储备</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强化人才储备</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强化人才储备</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加强人大网站建设</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加强人大网站建设</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加强人大网站建设</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79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69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人民群众满意度</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提升人民群众幸福感、获得感</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提升人民群众幸福感、获得感</w:t>
            </w:r>
          </w:p>
        </w:tc>
        <w:tc>
          <w:tcPr>
            <w:tcW w:w="79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提升人民群众幸福感、获得感</w:t>
            </w:r>
          </w:p>
        </w:tc>
        <w:tc>
          <w:tcPr>
            <w:tcW w:w="69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其他标准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9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69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1CA22253"/>
    <w:rsid w:val="212C2F24"/>
    <w:rsid w:val="25F21FAA"/>
    <w:rsid w:val="2C365954"/>
    <w:rsid w:val="30240E53"/>
    <w:rsid w:val="388B350E"/>
    <w:rsid w:val="3987ED06"/>
    <w:rsid w:val="5FDF6205"/>
    <w:rsid w:val="679E195A"/>
    <w:rsid w:val="77BBBB73"/>
    <w:rsid w:val="77FE8067"/>
    <w:rsid w:val="7FDD6C85"/>
    <w:rsid w:val="7FF95F40"/>
    <w:rsid w:val="9F7FE452"/>
    <w:rsid w:val="B2DF17E0"/>
    <w:rsid w:val="CFD15195"/>
    <w:rsid w:val="D2FF1DEF"/>
    <w:rsid w:val="DFFE0327"/>
    <w:rsid w:val="E7228C54"/>
    <w:rsid w:val="ECFF5508"/>
    <w:rsid w:val="FBBE8E4C"/>
    <w:rsid w:val="FEF1C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Body Text Indent"/>
    <w:basedOn w:val="1"/>
    <w:next w:val="4"/>
    <w:unhideWhenUsed/>
    <w:qFormat/>
    <w:uiPriority w:val="99"/>
    <w:pPr>
      <w:spacing w:after="120"/>
      <w:ind w:left="420" w:leftChars="200"/>
    </w:pPr>
  </w:style>
  <w:style w:type="paragraph" w:styleId="4">
    <w:name w:val="Body Text First Indent 2"/>
    <w:basedOn w:val="3"/>
    <w:next w:val="1"/>
    <w:qFormat/>
    <w:uiPriority w:val="0"/>
    <w:pPr>
      <w:spacing w:after="0"/>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3719</Words>
  <Characters>4015</Characters>
  <Lines>0</Lines>
  <Paragraphs>0</Paragraphs>
  <TotalTime>2</TotalTime>
  <ScaleCrop>false</ScaleCrop>
  <LinksUpToDate>false</LinksUpToDate>
  <CharactersWithSpaces>4051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2024-01-24T23:26:00Z</dcterms:created>
  <dc:creator>倒亚指芭绦</dc:creator>
  <cp:lastModifiedBy>远烟</cp:lastModifiedBy>
  <cp:lastPrinted>2024-01-25T00:44:00Z</cp:lastPrinted>
  <dcterms:modified xsi:type="dcterms:W3CDTF">2024-05-24T11:33:05Z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