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 xml:space="preserve">填报日期： </w:t>
      </w:r>
      <w:r>
        <w:rPr>
          <w:rFonts w:hint="eastAsia" w:ascii="楷体_GB2312" w:hAnsi="Times New Roman" w:eastAsia="楷体_GB2312"/>
          <w:color w:val="auto"/>
          <w:sz w:val="28"/>
          <w:szCs w:val="28"/>
          <w:highlight w:val="none"/>
          <w:lang w:val="en-US" w:eastAsia="zh-CN"/>
        </w:rPr>
        <w:t>2024</w:t>
      </w:r>
      <w:r>
        <w:rPr>
          <w:rFonts w:hint="eastAsia" w:ascii="楷体_GB2312" w:hAnsi="Times New Roman" w:eastAsia="楷体_GB2312"/>
          <w:color w:val="auto"/>
          <w:sz w:val="28"/>
          <w:szCs w:val="28"/>
          <w:highlight w:val="none"/>
        </w:rPr>
        <w:t xml:space="preserve"> 年 </w:t>
      </w:r>
      <w:r>
        <w:rPr>
          <w:rFonts w:hint="eastAsia" w:ascii="楷体_GB2312" w:hAnsi="Times New Roman" w:eastAsia="楷体_GB2312"/>
          <w:color w:val="auto"/>
          <w:sz w:val="28"/>
          <w:szCs w:val="28"/>
          <w:highlight w:val="none"/>
          <w:lang w:val="en-US" w:eastAsia="zh-CN"/>
        </w:rPr>
        <w:t>1</w:t>
      </w:r>
      <w:r>
        <w:rPr>
          <w:rFonts w:hint="eastAsia" w:ascii="楷体_GB2312" w:hAnsi="Times New Roman" w:eastAsia="楷体_GB2312"/>
          <w:color w:val="auto"/>
          <w:sz w:val="28"/>
          <w:szCs w:val="28"/>
          <w:highlight w:val="none"/>
        </w:rPr>
        <w:t xml:space="preserve"> 月  </w:t>
      </w:r>
      <w:r>
        <w:rPr>
          <w:rFonts w:hint="eastAsia" w:ascii="楷体_GB2312" w:hAnsi="Times New Roman" w:eastAsia="楷体_GB2312"/>
          <w:color w:val="auto"/>
          <w:sz w:val="28"/>
          <w:szCs w:val="28"/>
          <w:highlight w:val="none"/>
          <w:lang w:val="en-US" w:eastAsia="zh-CN"/>
        </w:rPr>
        <w:t>16</w:t>
      </w:r>
      <w:r>
        <w:rPr>
          <w:rFonts w:hint="eastAsia" w:ascii="楷体_GB2312" w:hAnsi="Times New Roman" w:eastAsia="楷体_GB2312"/>
          <w:color w:val="auto"/>
          <w:sz w:val="28"/>
          <w:szCs w:val="28"/>
          <w:highlight w:val="none"/>
        </w:rPr>
        <w:t xml:space="preserve"> 日                单位：万元</w:t>
      </w:r>
    </w:p>
    <w:tbl>
      <w:tblPr>
        <w:tblStyle w:val="5"/>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29"/>
        <w:gridCol w:w="669"/>
        <w:gridCol w:w="154"/>
        <w:gridCol w:w="1226"/>
        <w:gridCol w:w="181"/>
        <w:gridCol w:w="1187"/>
        <w:gridCol w:w="177"/>
        <w:gridCol w:w="855"/>
        <w:gridCol w:w="140"/>
        <w:gridCol w:w="685"/>
        <w:gridCol w:w="274"/>
        <w:gridCol w:w="626"/>
        <w:gridCol w:w="328"/>
        <w:gridCol w:w="4"/>
        <w:gridCol w:w="500"/>
        <w:gridCol w:w="514"/>
        <w:gridCol w:w="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s="Times New Roman"/>
                <w:color w:val="auto"/>
                <w:kern w:val="0"/>
                <w:highlight w:val="none"/>
              </w:rPr>
            </w:pPr>
            <w:r>
              <w:rPr>
                <w:rFonts w:hint="eastAsia" w:ascii="仿宋_GB2312" w:hAnsi="宋体" w:eastAsia="仿宋_GB2312"/>
                <w:color w:val="auto"/>
                <w:kern w:val="0"/>
                <w:highlight w:val="none"/>
              </w:rPr>
              <w:t>部门（单位）</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名称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鄂州市市场监督管理局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填报人</w:t>
            </w:r>
          </w:p>
        </w:tc>
        <w:tc>
          <w:tcPr>
            <w:tcW w:w="223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eastAsia="zh-CN"/>
              </w:rPr>
              <w:t>章恒</w:t>
            </w:r>
          </w:p>
        </w:tc>
        <w:tc>
          <w:tcPr>
            <w:tcW w:w="1187"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联系电话</w:t>
            </w:r>
          </w:p>
        </w:tc>
        <w:tc>
          <w:tcPr>
            <w:tcW w:w="4103" w:type="dxa"/>
            <w:gridSpan w:val="10"/>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15337396848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部门总体</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资金情况</w:t>
            </w:r>
          </w:p>
        </w:tc>
        <w:tc>
          <w:tcPr>
            <w:tcW w:w="3417" w:type="dxa"/>
            <w:gridSpan w:val="5"/>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总体资金情况</w:t>
            </w:r>
          </w:p>
        </w:tc>
        <w:tc>
          <w:tcPr>
            <w:tcW w:w="1172"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当年金额</w:t>
            </w:r>
          </w:p>
        </w:tc>
        <w:tc>
          <w:tcPr>
            <w:tcW w:w="959"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占比</w:t>
            </w:r>
          </w:p>
        </w:tc>
        <w:tc>
          <w:tcPr>
            <w:tcW w:w="1972"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3417" w:type="dxa"/>
            <w:gridSpan w:val="5"/>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1172" w:type="dxa"/>
            <w:gridSpan w:val="3"/>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9"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2022</w:t>
            </w:r>
            <w:r>
              <w:rPr>
                <w:rFonts w:hint="eastAsia" w:ascii="仿宋_GB2312" w:hAnsi="宋体" w:eastAsia="仿宋_GB2312"/>
                <w:color w:val="auto"/>
                <w:kern w:val="0"/>
                <w:highlight w:val="none"/>
              </w:rPr>
              <w:t>年</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olor w:val="auto"/>
                <w:kern w:val="0"/>
                <w:highlight w:val="none"/>
                <w:u w:val="single"/>
                <w:lang w:val="en-US" w:eastAsia="zh-CN"/>
              </w:rPr>
              <w:t>2023</w:t>
            </w:r>
            <w:r>
              <w:rPr>
                <w:rFonts w:hint="eastAsia" w:ascii="仿宋_GB2312" w:hAnsi="宋体" w:eastAsia="仿宋_GB2312"/>
                <w:color w:val="auto"/>
                <w:kern w:val="0"/>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收入</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财政拨款</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5274.34</w:t>
            </w:r>
            <w:r>
              <w:rPr>
                <w:rFonts w:hint="eastAsia" w:ascii="仿宋_GB2312" w:hAnsi="宋体" w:eastAsia="仿宋_GB2312"/>
                <w:color w:val="auto"/>
                <w:kern w:val="0"/>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5120.92</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5048.07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财政专户管理资金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单位资金</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5274.34</w:t>
            </w:r>
            <w:r>
              <w:rPr>
                <w:rFonts w:hint="eastAsia" w:ascii="仿宋_GB2312" w:hAnsi="宋体" w:eastAsia="仿宋_GB2312"/>
                <w:color w:val="auto"/>
                <w:kern w:val="0"/>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5120.92</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5048.07</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支出</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构成</w:t>
            </w: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人员类项目支出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3910.68</w:t>
            </w:r>
            <w:r>
              <w:rPr>
                <w:rFonts w:hint="eastAsia" w:ascii="仿宋_GB2312" w:hAnsi="宋体" w:eastAsia="仿宋_GB2312"/>
                <w:color w:val="auto"/>
                <w:kern w:val="0"/>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74.15%</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3557.01</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3446.66</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运转类项目支出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528.67</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10.02%</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495.91</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472.73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特定目标类项目支出</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835.00</w:t>
            </w:r>
            <w:r>
              <w:rPr>
                <w:rFonts w:hint="eastAsia" w:ascii="仿宋_GB2312" w:hAnsi="宋体" w:eastAsia="仿宋_GB2312"/>
                <w:color w:val="auto"/>
                <w:kern w:val="0"/>
                <w:highlight w:val="none"/>
              </w:rPr>
              <w:t>　</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15.83%</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1068.00</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1128.67</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823" w:type="dxa"/>
            <w:gridSpan w:val="2"/>
            <w:vMerge w:val="continue"/>
            <w:tcBorders>
              <w:top w:val="nil"/>
              <w:left w:val="nil"/>
              <w:bottom w:val="single" w:color="auto" w:sz="4" w:space="0"/>
              <w:right w:val="single" w:color="auto" w:sz="4" w:space="0"/>
            </w:tcBorders>
            <w:vAlign w:val="center"/>
          </w:tcPr>
          <w:p>
            <w:pPr>
              <w:widowControl/>
              <w:jc w:val="left"/>
              <w:rPr>
                <w:rFonts w:ascii="仿宋_GB2312" w:hAnsi="宋体" w:eastAsia="仿宋_GB2312"/>
                <w:color w:val="auto"/>
                <w:kern w:val="0"/>
                <w:highlight w:val="none"/>
              </w:rPr>
            </w:pPr>
          </w:p>
        </w:tc>
        <w:tc>
          <w:tcPr>
            <w:tcW w:w="259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合  计</w:t>
            </w:r>
          </w:p>
        </w:tc>
        <w:tc>
          <w:tcPr>
            <w:tcW w:w="1172"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rPr>
              <w:t>　</w:t>
            </w:r>
            <w:r>
              <w:rPr>
                <w:rFonts w:hint="eastAsia" w:ascii="仿宋_GB2312" w:hAnsi="宋体" w:eastAsia="仿宋_GB2312"/>
                <w:color w:val="auto"/>
                <w:kern w:val="0"/>
                <w:highlight w:val="none"/>
                <w:lang w:val="en-US" w:eastAsia="zh-CN"/>
              </w:rPr>
              <w:t>5274.34</w:t>
            </w:r>
          </w:p>
        </w:tc>
        <w:tc>
          <w:tcPr>
            <w:tcW w:w="959"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100%</w:t>
            </w:r>
          </w:p>
        </w:tc>
        <w:tc>
          <w:tcPr>
            <w:tcW w:w="954"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5120.92</w:t>
            </w:r>
            <w:r>
              <w:rPr>
                <w:rFonts w:hint="eastAsia" w:ascii="仿宋_GB2312" w:hAnsi="宋体" w:eastAsia="仿宋_GB2312"/>
                <w:color w:val="auto"/>
                <w:kern w:val="0"/>
                <w:highlight w:val="none"/>
              </w:rPr>
              <w:t>　</w:t>
            </w:r>
          </w:p>
        </w:tc>
        <w:tc>
          <w:tcPr>
            <w:tcW w:w="1018"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5048.07</w:t>
            </w:r>
            <w:r>
              <w:rPr>
                <w:rFonts w:hint="eastAsia" w:ascii="仿宋_GB2312" w:hAnsi="宋体" w:eastAsia="仿宋_GB2312"/>
                <w:color w:val="auto"/>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部门职能概述</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rPr>
                <w:rFonts w:hint="eastAsia" w:ascii="仿宋_GB2312" w:hAnsi="宋体" w:eastAsia="仿宋_GB2312" w:cs="仿宋_GB2312"/>
                <w:kern w:val="0"/>
              </w:rPr>
            </w:pPr>
            <w:r>
              <w:rPr>
                <w:rFonts w:hint="eastAsia" w:ascii="仿宋_GB2312" w:hAnsi="宋体" w:eastAsia="仿宋_GB2312" w:cs="仿宋_GB2312"/>
                <w:kern w:val="0"/>
              </w:rPr>
              <w:t>1.负责市场综合监督管理。</w:t>
            </w:r>
          </w:p>
          <w:p>
            <w:pPr>
              <w:rPr>
                <w:rFonts w:hint="eastAsia" w:ascii="仿宋_GB2312" w:hAnsi="宋体" w:eastAsia="仿宋_GB2312" w:cs="仿宋_GB2312"/>
                <w:kern w:val="0"/>
              </w:rPr>
            </w:pPr>
            <w:r>
              <w:rPr>
                <w:rFonts w:hint="eastAsia" w:ascii="仿宋_GB2312" w:hAnsi="宋体" w:eastAsia="仿宋_GB2312" w:cs="仿宋_GB2312"/>
                <w:kern w:val="0"/>
              </w:rPr>
              <w:t>2.负责市场主体统一登记注册。</w:t>
            </w:r>
          </w:p>
          <w:p>
            <w:pPr>
              <w:rPr>
                <w:rFonts w:hint="eastAsia" w:ascii="仿宋_GB2312" w:hAnsi="宋体" w:eastAsia="仿宋_GB2312" w:cs="仿宋_GB2312"/>
                <w:kern w:val="0"/>
              </w:rPr>
            </w:pPr>
            <w:r>
              <w:rPr>
                <w:rFonts w:hint="eastAsia" w:ascii="仿宋_GB2312" w:hAnsi="宋体" w:eastAsia="仿宋_GB2312" w:cs="仿宋_GB2312"/>
                <w:kern w:val="0"/>
              </w:rPr>
              <w:t>3.负责组织和指导市场监管综合执法工作。组织查处或督办重大违法案件和有重大影响的跨区域案件。规范市场监管行政执法行为。</w:t>
            </w:r>
          </w:p>
          <w:p>
            <w:pPr>
              <w:rPr>
                <w:rFonts w:hint="eastAsia" w:ascii="仿宋_GB2312" w:hAnsi="宋体" w:eastAsia="仿宋_GB2312" w:cs="仿宋_GB2312"/>
                <w:kern w:val="0"/>
              </w:rPr>
            </w:pPr>
            <w:r>
              <w:rPr>
                <w:rFonts w:hint="eastAsia" w:ascii="仿宋_GB2312" w:hAnsi="宋体" w:eastAsia="仿宋_GB2312" w:cs="仿宋_GB2312"/>
                <w:kern w:val="0"/>
              </w:rPr>
              <w:t>4.负责反垄断执法调查工作。负责监督管理规范市场秩序。</w:t>
            </w:r>
          </w:p>
          <w:p>
            <w:pPr>
              <w:rPr>
                <w:rFonts w:hint="eastAsia" w:ascii="仿宋_GB2312" w:hAnsi="宋体" w:eastAsia="仿宋_GB2312" w:cs="仿宋_GB2312"/>
                <w:kern w:val="0"/>
              </w:rPr>
            </w:pPr>
            <w:r>
              <w:rPr>
                <w:rFonts w:hint="eastAsia" w:ascii="仿宋_GB2312" w:hAnsi="宋体" w:eastAsia="仿宋_GB2312" w:cs="仿宋_GB2312"/>
                <w:kern w:val="0"/>
              </w:rPr>
              <w:t>5.负责宏观质量管理。负责产品质量安全监督管理。</w:t>
            </w:r>
          </w:p>
          <w:p>
            <w:pPr>
              <w:rPr>
                <w:rFonts w:hint="eastAsia" w:ascii="仿宋_GB2312" w:hAnsi="宋体" w:eastAsia="仿宋_GB2312" w:cs="仿宋_GB2312"/>
                <w:kern w:val="0"/>
              </w:rPr>
            </w:pPr>
            <w:r>
              <w:rPr>
                <w:rFonts w:hint="eastAsia" w:ascii="仿宋_GB2312" w:hAnsi="宋体" w:eastAsia="仿宋_GB2312" w:cs="仿宋_GB2312"/>
                <w:kern w:val="0"/>
              </w:rPr>
              <w:t>6.负责特种设备安全监督管理。</w:t>
            </w:r>
          </w:p>
          <w:p>
            <w:pPr>
              <w:rPr>
                <w:rFonts w:hint="eastAsia" w:ascii="仿宋_GB2312" w:hAnsi="宋体" w:eastAsia="仿宋_GB2312" w:cs="仿宋_GB2312"/>
                <w:kern w:val="0"/>
              </w:rPr>
            </w:pPr>
            <w:r>
              <w:rPr>
                <w:rFonts w:hint="eastAsia" w:ascii="仿宋_GB2312" w:hAnsi="宋体" w:eastAsia="仿宋_GB2312" w:cs="仿宋_GB2312"/>
                <w:kern w:val="0"/>
              </w:rPr>
              <w:t>7.负责食品安全监督管理综合协调。负责食品安全监督管理。</w:t>
            </w:r>
          </w:p>
          <w:p>
            <w:pPr>
              <w:rPr>
                <w:rFonts w:hint="eastAsia" w:ascii="仿宋_GB2312" w:hAnsi="宋体" w:eastAsia="仿宋_GB2312" w:cs="仿宋_GB2312"/>
                <w:kern w:val="0"/>
              </w:rPr>
            </w:pPr>
            <w:r>
              <w:rPr>
                <w:rFonts w:hint="eastAsia" w:ascii="仿宋_GB2312" w:hAnsi="宋体" w:eastAsia="仿宋_GB2312" w:cs="仿宋_GB2312"/>
                <w:kern w:val="0"/>
              </w:rPr>
              <w:t>负责统一管理计量工作。负责统一管理标准化工作。负责统一指导检验检测行业发展，规范检验检测市场。负责统一管理、监督和综合协调全市认证认可工作。依法监督管理认证认可和合格评定工作。</w:t>
            </w:r>
          </w:p>
          <w:p>
            <w:pPr>
              <w:rPr>
                <w:rFonts w:hint="eastAsia" w:ascii="仿宋_GB2312" w:hAnsi="宋体" w:eastAsia="仿宋_GB2312" w:cs="仿宋_GB2312"/>
                <w:kern w:val="0"/>
              </w:rPr>
            </w:pPr>
            <w:r>
              <w:rPr>
                <w:rFonts w:hint="eastAsia" w:ascii="仿宋_GB2312" w:hAnsi="宋体" w:eastAsia="仿宋_GB2312" w:cs="仿宋_GB2312"/>
                <w:kern w:val="0"/>
              </w:rPr>
              <w:t>8.负责市场监督管理科技和信息化建设、新闻宣传、对外交流与合作。按规定承担技术性贸易措施有关工作。</w:t>
            </w:r>
          </w:p>
          <w:p>
            <w:pPr>
              <w:rPr>
                <w:rFonts w:hint="eastAsia" w:ascii="仿宋_GB2312" w:hAnsi="宋体" w:eastAsia="仿宋_GB2312" w:cs="仿宋_GB2312"/>
                <w:kern w:val="0"/>
              </w:rPr>
            </w:pPr>
            <w:r>
              <w:rPr>
                <w:rFonts w:hint="eastAsia" w:ascii="仿宋_GB2312" w:hAnsi="宋体" w:eastAsia="仿宋_GB2312" w:cs="仿宋_GB2312"/>
                <w:kern w:val="0"/>
              </w:rPr>
              <w:t>9.负责药品（含中药、民族药，下同）、医疗器械和化妆品生产经营的监督管理。贯彻执行国家药品、医疗器械、化妆品质量安全监督管理的法律、法规和规章。组织开展药品不良反应、医疗器械不良事件和化妆品不良反应的监测、评价和处置工作。</w:t>
            </w:r>
          </w:p>
          <w:p>
            <w:pPr>
              <w:rPr>
                <w:rFonts w:hint="eastAsia" w:ascii="仿宋_GB2312" w:hAnsi="宋体" w:eastAsia="仿宋_GB2312" w:cs="仿宋_GB2312"/>
                <w:kern w:val="0"/>
              </w:rPr>
            </w:pPr>
            <w:r>
              <w:rPr>
                <w:rFonts w:hint="eastAsia" w:ascii="仿宋_GB2312" w:hAnsi="宋体" w:eastAsia="仿宋_GB2312" w:cs="仿宋_GB2312"/>
                <w:kern w:val="0"/>
              </w:rPr>
              <w:t>10.负责贯彻执行国家保护商标、专利、原产地地理标志等知识产权的法律法规与方针、政策。</w:t>
            </w:r>
          </w:p>
          <w:p>
            <w:pPr>
              <w:widowControl/>
              <w:snapToGrid w:val="0"/>
              <w:rPr>
                <w:rFonts w:ascii="仿宋_GB2312" w:hAnsi="宋体" w:eastAsia="仿宋_GB2312"/>
                <w:color w:val="auto"/>
                <w:kern w:val="0"/>
                <w:highlight w:val="none"/>
              </w:rPr>
            </w:pPr>
            <w:r>
              <w:rPr>
                <w:rFonts w:hint="eastAsia" w:ascii="仿宋_GB2312" w:hAnsi="宋体" w:eastAsia="仿宋_GB2312" w:cs="仿宋_GB2312"/>
                <w:kern w:val="0"/>
              </w:rPr>
              <w:t>11.组织实施全市价格监督检查、反价格垄断及反价格欺诈工作。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54" w:hRule="atLeast"/>
          <w:jc w:val="center"/>
        </w:trPr>
        <w:tc>
          <w:tcPr>
            <w:tcW w:w="1428"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年度工作任务</w:t>
            </w:r>
          </w:p>
        </w:tc>
        <w:tc>
          <w:tcPr>
            <w:tcW w:w="7520" w:type="dxa"/>
            <w:gridSpan w:val="1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rPr>
                <w:rFonts w:hint="eastAsia" w:ascii="仿宋_GB2312" w:hAnsi="宋体" w:eastAsia="仿宋_GB2312" w:cs="仿宋_GB2312"/>
                <w:kern w:val="0"/>
              </w:rPr>
            </w:pPr>
            <w:r>
              <w:rPr>
                <w:rFonts w:hint="eastAsia" w:ascii="仿宋_GB2312" w:hAnsi="宋体" w:eastAsia="仿宋_GB2312" w:cs="仿宋_GB2312"/>
                <w:kern w:val="0"/>
              </w:rPr>
              <w:t>1.进一步提升市场准入便利度</w:t>
            </w:r>
          </w:p>
          <w:p>
            <w:pPr>
              <w:rPr>
                <w:rFonts w:hint="eastAsia" w:ascii="仿宋_GB2312" w:hAnsi="宋体" w:eastAsia="仿宋_GB2312" w:cs="仿宋_GB2312"/>
                <w:kern w:val="0"/>
              </w:rPr>
            </w:pPr>
            <w:r>
              <w:rPr>
                <w:rFonts w:hint="eastAsia" w:ascii="仿宋_GB2312" w:hAnsi="宋体" w:eastAsia="仿宋_GB2312" w:cs="仿宋_GB2312"/>
                <w:kern w:val="0"/>
              </w:rPr>
              <w:t>2.进一步提升政务服务质效</w:t>
            </w:r>
          </w:p>
          <w:p>
            <w:pPr>
              <w:rPr>
                <w:rFonts w:hint="eastAsia" w:ascii="仿宋_GB2312" w:hAnsi="宋体" w:eastAsia="仿宋_GB2312" w:cs="仿宋_GB2312"/>
                <w:kern w:val="0"/>
              </w:rPr>
            </w:pPr>
            <w:r>
              <w:rPr>
                <w:rFonts w:hint="eastAsia" w:ascii="仿宋_GB2312" w:hAnsi="宋体" w:eastAsia="仿宋_GB2312" w:cs="仿宋_GB2312"/>
                <w:kern w:val="0"/>
              </w:rPr>
              <w:t>3.进一步促进市场公平竞争</w:t>
            </w:r>
          </w:p>
          <w:p>
            <w:pPr>
              <w:rPr>
                <w:rFonts w:hint="eastAsia" w:ascii="仿宋_GB2312" w:hAnsi="宋体" w:eastAsia="仿宋_GB2312" w:cs="仿宋_GB2312"/>
                <w:kern w:val="0"/>
              </w:rPr>
            </w:pPr>
            <w:r>
              <w:rPr>
                <w:rFonts w:hint="eastAsia" w:ascii="仿宋_GB2312" w:hAnsi="宋体" w:eastAsia="仿宋_GB2312" w:cs="仿宋_GB2312"/>
                <w:kern w:val="0"/>
              </w:rPr>
              <w:t>4.进一步加强事中事后监管</w:t>
            </w:r>
          </w:p>
          <w:p>
            <w:pPr>
              <w:widowControl/>
              <w:snapToGrid w:val="0"/>
              <w:rPr>
                <w:rFonts w:ascii="仿宋_GB2312" w:hAnsi="宋体" w:eastAsia="仿宋_GB2312"/>
                <w:color w:val="auto"/>
                <w:kern w:val="0"/>
                <w:highlight w:val="none"/>
              </w:rPr>
            </w:pPr>
            <w:r>
              <w:rPr>
                <w:rFonts w:hint="eastAsia" w:ascii="仿宋_GB2312" w:hAnsi="宋体" w:eastAsia="仿宋_GB2312" w:cs="仿宋_GB2312"/>
                <w:kern w:val="0"/>
              </w:rPr>
              <w:t>5.进一步健全完善长效机制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tcMar>
              <w:left w:w="57" w:type="dxa"/>
              <w:right w:w="57" w:type="dxa"/>
            </w:tcMar>
            <w:vAlign w:val="center"/>
          </w:tcPr>
          <w:p>
            <w:pPr>
              <w:widowControl/>
              <w:snapToGrid w:val="0"/>
              <w:jc w:val="center"/>
              <w:rPr>
                <w:rFonts w:ascii="仿宋_GB2312" w:hAnsi="宋体" w:eastAsia="仿宋_GB2312" w:cs="仿宋_GB2312"/>
                <w:b/>
                <w:bCs/>
                <w:color w:val="auto"/>
                <w:kern w:val="0"/>
                <w:highlight w:val="none"/>
              </w:rPr>
            </w:pPr>
            <w:r>
              <w:rPr>
                <w:rFonts w:hint="eastAsia" w:ascii="仿宋_GB2312" w:hAnsi="宋体" w:eastAsia="仿宋_GB2312" w:cs="仿宋_GB2312"/>
                <w:b/>
                <w:bCs/>
                <w:color w:val="auto"/>
                <w:kern w:val="0"/>
                <w:highlight w:val="none"/>
              </w:rPr>
              <w:t>长期目标：</w:t>
            </w:r>
          </w:p>
          <w:p>
            <w:pPr>
              <w:widowControl/>
              <w:snapToGrid w:val="0"/>
              <w:jc w:val="center"/>
              <w:rPr>
                <w:rFonts w:ascii="仿宋_GB2312" w:hAnsi="宋体" w:eastAsia="仿宋_GB2312"/>
                <w:b/>
                <w:bCs/>
                <w:color w:val="auto"/>
                <w:kern w:val="0"/>
                <w:highlight w:val="none"/>
              </w:rPr>
            </w:pPr>
            <w:r>
              <w:rPr>
                <w:rFonts w:ascii="仿宋_GB2312" w:hAnsi="宋体" w:eastAsia="仿宋_GB2312" w:cs="仿宋_GB2312"/>
                <w:color w:val="auto"/>
                <w:kern w:val="0"/>
                <w:highlight w:val="none"/>
              </w:rPr>
              <w:t>（</w:t>
            </w:r>
            <w:r>
              <w:rPr>
                <w:rFonts w:hint="eastAsia" w:ascii="仿宋_GB2312" w:hAnsi="宋体" w:eastAsia="仿宋_GB2312" w:cs="仿宋_GB2312"/>
                <w:color w:val="auto"/>
                <w:kern w:val="0"/>
                <w:highlight w:val="none"/>
              </w:rPr>
              <w:t>截止</w:t>
            </w:r>
            <w:r>
              <w:rPr>
                <w:rFonts w:hint="eastAsia" w:ascii="仿宋_GB2312" w:hAnsi="宋体" w:eastAsia="仿宋_GB2312" w:cs="仿宋_GB2312"/>
                <w:color w:val="auto"/>
                <w:kern w:val="0"/>
                <w:highlight w:val="none"/>
                <w:lang w:val="en-US" w:eastAsia="zh-CN"/>
              </w:rPr>
              <w:t>2025</w:t>
            </w:r>
            <w:r>
              <w:rPr>
                <w:rFonts w:hint="eastAsia" w:ascii="仿宋_GB2312" w:hAnsi="宋体" w:eastAsia="仿宋_GB2312" w:cs="仿宋_GB2312"/>
                <w:color w:val="auto"/>
                <w:kern w:val="0"/>
                <w:highlight w:val="none"/>
              </w:rPr>
              <w:t>年）</w:t>
            </w:r>
          </w:p>
        </w:tc>
        <w:tc>
          <w:tcPr>
            <w:tcW w:w="7549" w:type="dxa"/>
            <w:gridSpan w:val="16"/>
            <w:tcMar>
              <w:left w:w="57" w:type="dxa"/>
              <w:right w:w="57" w:type="dxa"/>
            </w:tcMar>
            <w:vAlign w:val="center"/>
          </w:tcPr>
          <w:p>
            <w:pPr>
              <w:widowControl/>
              <w:numPr>
                <w:ilvl w:val="0"/>
                <w:numId w:val="1"/>
              </w:numPr>
              <w:snapToGrid w:val="0"/>
              <w:ind w:left="210" w:leftChars="0" w:firstLine="0" w:firstLineChars="0"/>
              <w:jc w:val="left"/>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全面推进知识产权强市建设，不断提升我市知识产权创造、运用、保护、管理、服务工作水平和实效，为鄂州高质量发展提供有力支撑，推进我市知识产权工作迈上新台阶。</w:t>
            </w:r>
          </w:p>
          <w:p>
            <w:pPr>
              <w:widowControl/>
              <w:numPr>
                <w:ilvl w:val="0"/>
                <w:numId w:val="1"/>
              </w:numPr>
              <w:snapToGrid w:val="0"/>
              <w:ind w:left="210" w:leftChars="0" w:firstLine="0" w:firstLineChars="0"/>
              <w:jc w:val="left"/>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坚持人民至上、生命至上的发展理念，认真贯彻落实国家、省、市有关特种设备安全监察工作总体部署，推进特种设备制造、安装、改造、修理产业结构优化升级；通过对重点区域、重点行业开展的监督检查、安全监察，将坚持安全第一、预防为主、节能环保、综合治理原则落到实处，督促特种设备生产、使用单位落实主体责任，加强行业自律；对963333电梯应急处置平台进行功能拓展，加强电梯安全监管水平，进一步压实电梯使用、维保单位主体责任，保障电梯安全运行，助力分类监管、精准监管；地方政府落实领导监管责任；职能部门落实行业监管责任，发挥人民群众监督效能，实现公共服务和安全管理职能，保障人民群众身体健康和生命财产安全，实现鄂州经济健康、可持续性发展，促进社会和谐发展。</w:t>
            </w:r>
          </w:p>
          <w:p>
            <w:pPr>
              <w:widowControl/>
              <w:numPr>
                <w:ilvl w:val="0"/>
                <w:numId w:val="1"/>
              </w:numPr>
              <w:snapToGrid w:val="0"/>
              <w:ind w:left="210" w:leftChars="0" w:firstLine="0" w:firstLineChars="0"/>
              <w:jc w:val="left"/>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认真贯彻落实国家、省、市关于执法打假工作总体部署，切实加强事中事后监管，严厉打击制售假冒伪劣商品违法行为，严厉打击非法集资等传销违法行为、严厉损害消费者的合法权益违法行为，严厉打击虚假宣传、商业欺诈等不正当竞争等违法行为，保护广大消费者的合法权益维护公平竞争的市场秩序，为推进鄂州市“三城一化”建设，作出市场监管部门应有贡献。</w:t>
            </w:r>
          </w:p>
          <w:p>
            <w:pPr>
              <w:widowControl/>
              <w:numPr>
                <w:ilvl w:val="0"/>
                <w:numId w:val="1"/>
              </w:numPr>
              <w:snapToGrid w:val="0"/>
              <w:ind w:left="210" w:leftChars="0" w:firstLine="0" w:firstLineChars="0"/>
              <w:jc w:val="left"/>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5年开展产业链质量提升示范项目10项以上，产生经济效益5000万元以上。推广先进质量管理方法，5年指导企业建立卓越绩效管理模式50家以上，创建质量强市示范企业（含获批创建企业）20家以上，培育“湖北精品”产品15个以上，培育市长质量奖（含提名奖）8家以上，湖北省长江质量奖实现0的突破。公共服务质量满意度和质量工作满意度达80分以上，制造业产品质量合格率和消费品质量合格率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长期绩</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效指标</w:t>
            </w:r>
          </w:p>
        </w:tc>
        <w:tc>
          <w:tcPr>
            <w:tcW w:w="69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3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3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545"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45"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“三公”经费变动率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38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FF0000"/>
                <w:kern w:val="0"/>
                <w:highlight w:val="none"/>
                <w:lang w:eastAsia="zh-CN"/>
              </w:rPr>
              <w:t>基本相符</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FF0000"/>
                <w:kern w:val="0"/>
                <w:highlight w:val="none"/>
                <w:lang w:eastAsia="zh-CN"/>
              </w:rPr>
              <w:t>健全</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FF0000"/>
                <w:kern w:val="0"/>
                <w:highlight w:val="none"/>
                <w:lang w:eastAsia="zh-CN"/>
              </w:rPr>
              <w:t>科学</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FF0000"/>
                <w:kern w:val="0"/>
                <w:highlight w:val="none"/>
                <w:lang w:eastAsia="zh-CN"/>
              </w:rPr>
              <w:t>合理</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FF0000"/>
                <w:kern w:val="0"/>
                <w:highlight w:val="none"/>
                <w:lang w:val="en-US" w:eastAsia="zh-CN"/>
              </w:rPr>
            </w:pPr>
            <w:r>
              <w:rPr>
                <w:rFonts w:hint="eastAsia" w:ascii="仿宋_GB2312" w:hAnsi="宋体" w:eastAsia="仿宋_GB2312"/>
                <w:color w:val="FF0000"/>
                <w:kern w:val="0"/>
                <w:highlight w:val="none"/>
                <w:lang w:eastAsia="zh-CN"/>
              </w:rPr>
              <w:t>规范</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1680"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1680" w:type="dxa"/>
            <w:gridSpan w:val="3"/>
            <w:tcMar>
              <w:left w:w="57" w:type="dxa"/>
              <w:right w:w="57" w:type="dxa"/>
            </w:tcMar>
            <w:vAlign w:val="center"/>
          </w:tcPr>
          <w:p>
            <w:pPr>
              <w:widowControl/>
              <w:snapToGrid w:val="0"/>
              <w:jc w:val="center"/>
              <w:rPr>
                <w:rFonts w:hint="eastAsia"/>
                <w:lang w:eastAsia="zh-CN"/>
              </w:rPr>
            </w:pPr>
            <w:r>
              <w:rPr>
                <w:rFonts w:hint="eastAsia"/>
                <w:lang w:eastAsia="zh-CN"/>
              </w:rPr>
              <w:t>合理</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健全</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规范</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健全</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规范</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完全合规</w:t>
            </w:r>
          </w:p>
        </w:tc>
        <w:tc>
          <w:tcPr>
            <w:tcW w:w="1232" w:type="dxa"/>
            <w:gridSpan w:val="4"/>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专利授权量</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1500</w:t>
            </w:r>
          </w:p>
        </w:tc>
        <w:tc>
          <w:tcPr>
            <w:tcW w:w="1232" w:type="dxa"/>
            <w:gridSpan w:val="4"/>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计划标准</w:t>
            </w:r>
          </w:p>
        </w:tc>
        <w:tc>
          <w:tcPr>
            <w:tcW w:w="1014"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接通处置消费者咨询、投诉、举报电话</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20000</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545"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案件数</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500</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4</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场（厂）车监督检查使用单位数</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200</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培育知识产权强企（国家知识产权优势企业）</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2</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培育特色商标品牌</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将坚持安全第一、预防为主、节能环保、综合治理原则落到实处</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促进企业落实节能减排主体责任</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380"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明显</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明显</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列入发展规划</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1680"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不涉及</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1680"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建设中</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市民满意率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90%</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满意率</w:t>
            </w:r>
          </w:p>
        </w:tc>
        <w:tc>
          <w:tcPr>
            <w:tcW w:w="1680" w:type="dxa"/>
            <w:gridSpan w:val="3"/>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90%</w:t>
            </w:r>
          </w:p>
        </w:tc>
        <w:tc>
          <w:tcPr>
            <w:tcW w:w="1232" w:type="dxa"/>
            <w:gridSpan w:val="4"/>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1014"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840" w:hRule="atLeast"/>
          <w:jc w:val="center"/>
        </w:trPr>
        <w:tc>
          <w:tcPr>
            <w:tcW w:w="1399" w:type="dxa"/>
            <w:tcMar>
              <w:left w:w="57" w:type="dxa"/>
              <w:right w:w="57" w:type="dxa"/>
            </w:tcMar>
            <w:vAlign w:val="center"/>
          </w:tcPr>
          <w:p>
            <w:pPr>
              <w:widowControl/>
              <w:snapToGrid w:val="0"/>
              <w:jc w:val="center"/>
              <w:rPr>
                <w:rFonts w:ascii="仿宋_GB2312" w:hAnsi="宋体" w:eastAsia="仿宋_GB2312"/>
                <w:b/>
                <w:bCs/>
                <w:color w:val="auto"/>
                <w:kern w:val="0"/>
                <w:highlight w:val="none"/>
              </w:rPr>
            </w:pPr>
            <w:r>
              <w:rPr>
                <w:rFonts w:hint="eastAsia" w:ascii="仿宋_GB2312" w:hAnsi="宋体" w:eastAsia="仿宋_GB2312" w:cs="仿宋_GB2312"/>
                <w:b/>
                <w:bCs/>
                <w:color w:val="auto"/>
                <w:kern w:val="0"/>
                <w:highlight w:val="none"/>
              </w:rPr>
              <w:t>年度目标：</w:t>
            </w:r>
          </w:p>
        </w:tc>
        <w:tc>
          <w:tcPr>
            <w:tcW w:w="7549" w:type="dxa"/>
            <w:gridSpan w:val="16"/>
            <w:tcMar>
              <w:left w:w="57" w:type="dxa"/>
              <w:right w:w="57" w:type="dxa"/>
            </w:tcMar>
            <w:vAlign w:val="center"/>
          </w:tcPr>
          <w:p>
            <w:pPr>
              <w:widowControl/>
              <w:numPr>
                <w:ilvl w:val="0"/>
                <w:numId w:val="2"/>
              </w:numPr>
              <w:snapToGrid w:val="0"/>
              <w:jc w:val="left"/>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全面推进知识产权强市建设，不断提升我市知识产权创造、运用、保护、管理、服务工作水平和实效，为鄂州高质量发展提供有力支撑，推进我市知识产权工作迈上新台阶。</w:t>
            </w:r>
          </w:p>
          <w:p>
            <w:pPr>
              <w:widowControl/>
              <w:numPr>
                <w:ilvl w:val="0"/>
                <w:numId w:val="2"/>
              </w:numPr>
              <w:snapToGrid w:val="0"/>
              <w:jc w:val="left"/>
              <w:rPr>
                <w:rFonts w:hint="eastAsia"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坚持人民至上、生命至上的发展理念，认真贯彻落实国家、省、市有关特种设备安全监察工作总体部署，推进特种设备制造、安装、改造、修理产业结构优化升级；通过对重点区域、重点行业开展的监督检查、安全监察，将坚持安全第一、预防为主、节能环保、综合治理原则落到实处，督促特种设备生产、使用单位落实主体责任，加强行业自律；对963333电梯应急处置平台进行功能拓展，加强电梯安全监管水平，进一步压实电梯使用、维保单位主体责任，保障电梯安全运行，助力分类监管、精准监管；地方政府落实领导监管责任；职能部门落实行业监管责任，发挥人民群众监督效能，实现公共服务和安全管理职能，保障人民群众身体健康和生命财产安全，实现鄂州经济健康、可持续性发展，促进社会和谐发展。</w:t>
            </w:r>
          </w:p>
          <w:p>
            <w:pPr>
              <w:widowControl/>
              <w:numPr>
                <w:ilvl w:val="0"/>
                <w:numId w:val="2"/>
              </w:numPr>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认真贯彻落实国家、省、市关于执法打假工作总体部署，切实加强事中事后监管，严厉打击制售假冒伪劣商品违法行为，严厉打击非法集资等传销违法行为、严厉损害消费者的合法权益违法行为，严厉打击虚假宣传、商业欺诈等不正当竞争等违法行为，保护广大消费者的合法权益维护公平竞争的市场秩序，为推进鄂州市“三城一化”建设，作出市场监管部门应有贡献。</w:t>
            </w:r>
          </w:p>
          <w:p>
            <w:pPr>
              <w:widowControl/>
              <w:numPr>
                <w:ilvl w:val="0"/>
                <w:numId w:val="2"/>
              </w:numPr>
              <w:snapToGrid w:val="0"/>
              <w:jc w:val="left"/>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5年开展产业链质量提升示范项目10项以上，产生经济效益5000万元以上。推广先进质量管理方法，5年指导企业建立卓越绩效管理模式50家以上，创建质量强市示范企业（含获批创建企业）20家以上，培育“湖北精品”产品15个以上，培育市长质量奖（含提名奖）8家以上，湖北省长江质量奖实现0的突破。公共服务质量满意度和质量工作满意度达80分以上，制造业产品质量合格率和消费品质量合格率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年度绩效指标</w:t>
            </w: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一级</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指标</w:t>
            </w:r>
          </w:p>
        </w:tc>
        <w:tc>
          <w:tcPr>
            <w:tcW w:w="138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二级指标</w:t>
            </w:r>
          </w:p>
        </w:tc>
        <w:tc>
          <w:tcPr>
            <w:tcW w:w="1545" w:type="dxa"/>
            <w:gridSpan w:val="3"/>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三级指标</w:t>
            </w:r>
          </w:p>
        </w:tc>
        <w:tc>
          <w:tcPr>
            <w:tcW w:w="2580" w:type="dxa"/>
            <w:gridSpan w:val="5"/>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指标值</w:t>
            </w:r>
          </w:p>
        </w:tc>
        <w:tc>
          <w:tcPr>
            <w:tcW w:w="832" w:type="dxa"/>
            <w:gridSpan w:val="3"/>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指标值确定依据</w:t>
            </w:r>
          </w:p>
        </w:tc>
        <w:tc>
          <w:tcPr>
            <w:tcW w:w="514" w:type="dxa"/>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45"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680"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近两年指标值</w:t>
            </w:r>
          </w:p>
        </w:tc>
        <w:tc>
          <w:tcPr>
            <w:tcW w:w="90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预期当年实现值</w:t>
            </w:r>
          </w:p>
        </w:tc>
        <w:tc>
          <w:tcPr>
            <w:tcW w:w="832"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4" w:type="dxa"/>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45"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55" w:type="dxa"/>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2022</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u w:val="single"/>
                <w:lang w:val="en-US" w:eastAsia="zh-CN"/>
              </w:rPr>
              <w:t>2023</w:t>
            </w:r>
            <w:r>
              <w:rPr>
                <w:rFonts w:ascii="仿宋_GB2312" w:hAnsi="宋体" w:eastAsia="仿宋_GB2312" w:cs="仿宋_GB2312"/>
                <w:color w:val="auto"/>
                <w:kern w:val="0"/>
                <w:highlight w:val="none"/>
                <w:u w:val="single"/>
              </w:rPr>
              <w:t xml:space="preserve"> </w:t>
            </w:r>
            <w:r>
              <w:rPr>
                <w:rFonts w:hint="eastAsia" w:ascii="仿宋_GB2312" w:hAnsi="宋体" w:eastAsia="仿宋_GB2312" w:cs="仿宋_GB2312"/>
                <w:color w:val="auto"/>
                <w:kern w:val="0"/>
                <w:highlight w:val="none"/>
              </w:rPr>
              <w:t>年</w:t>
            </w:r>
          </w:p>
        </w:tc>
        <w:tc>
          <w:tcPr>
            <w:tcW w:w="90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832" w:type="dxa"/>
            <w:gridSpan w:val="3"/>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514" w:type="dxa"/>
            <w:vMerge w:val="continue"/>
            <w:tcBorders>
              <w:left w:val="nil"/>
            </w:tcBorders>
            <w:tcMar>
              <w:left w:w="57" w:type="dxa"/>
              <w:right w:w="57" w:type="dxa"/>
            </w:tcMar>
            <w:vAlign w:val="center"/>
          </w:tcPr>
          <w:p>
            <w:pPr>
              <w:widowControl/>
              <w:snapToGrid w:val="0"/>
              <w:jc w:val="center"/>
              <w:rPr>
                <w:rFonts w:ascii="仿宋_GB2312" w:hAnsi="宋体" w:eastAsia="仿宋_GB2312"/>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运行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成本</w:t>
            </w:r>
          </w:p>
        </w:tc>
        <w:tc>
          <w:tcPr>
            <w:tcW w:w="13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公用经费控制</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公用经费控制率</w:t>
            </w:r>
          </w:p>
        </w:tc>
        <w:tc>
          <w:tcPr>
            <w:tcW w:w="855"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在职人员控制</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eastAsia="zh-CN"/>
              </w:rPr>
              <w:t>在职</w:t>
            </w:r>
            <w:r>
              <w:rPr>
                <w:rFonts w:hint="eastAsia" w:ascii="仿宋_GB2312" w:hAnsi="宋体" w:eastAsia="仿宋_GB2312"/>
                <w:color w:val="auto"/>
                <w:kern w:val="0"/>
                <w:highlight w:val="none"/>
              </w:rPr>
              <w:t>人员控制率</w:t>
            </w:r>
          </w:p>
        </w:tc>
        <w:tc>
          <w:tcPr>
            <w:tcW w:w="855"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96%</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95%</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项目支出成本控制</w:t>
            </w:r>
          </w:p>
        </w:tc>
        <w:tc>
          <w:tcPr>
            <w:tcW w:w="1545"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会议费控制率</w:t>
            </w:r>
          </w:p>
        </w:tc>
        <w:tc>
          <w:tcPr>
            <w:tcW w:w="855"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100%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45"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“三公”经费</w:t>
            </w:r>
            <w:bookmarkStart w:id="0" w:name="_GoBack"/>
            <w:bookmarkEnd w:id="0"/>
            <w:r>
              <w:rPr>
                <w:rFonts w:hint="eastAsia" w:ascii="仿宋_GB2312" w:hAnsi="宋体" w:eastAsia="仿宋_GB2312" w:cs="仿宋_GB2312"/>
                <w:color w:val="auto"/>
                <w:kern w:val="0"/>
                <w:highlight w:val="none"/>
              </w:rPr>
              <w:t>变动率</w:t>
            </w:r>
          </w:p>
        </w:tc>
        <w:tc>
          <w:tcPr>
            <w:tcW w:w="855" w:type="dxa"/>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-16%</w:t>
            </w:r>
          </w:p>
        </w:tc>
        <w:tc>
          <w:tcPr>
            <w:tcW w:w="825"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eastAsia="zh-CN"/>
              </w:rPr>
            </w:pPr>
            <w:r>
              <w:rPr>
                <w:rFonts w:hint="eastAsia" w:ascii="仿宋_GB2312" w:hAnsi="宋体" w:eastAsia="仿宋_GB2312"/>
                <w:color w:val="auto"/>
                <w:kern w:val="0"/>
                <w:highlight w:val="none"/>
                <w:lang w:val="en-US" w:eastAsia="zh-CN"/>
              </w:rPr>
              <w:t>-42%</w:t>
            </w:r>
          </w:p>
        </w:tc>
        <w:tc>
          <w:tcPr>
            <w:tcW w:w="900" w:type="dxa"/>
            <w:gridSpan w:val="2"/>
            <w:tcMar>
              <w:left w:w="57" w:type="dxa"/>
              <w:right w:w="57" w:type="dxa"/>
            </w:tcMar>
            <w:vAlign w:val="center"/>
          </w:tcPr>
          <w:p>
            <w:pPr>
              <w:widowControl/>
              <w:snapToGrid w:val="0"/>
              <w:jc w:val="center"/>
              <w:rPr>
                <w:rFonts w:hint="default" w:ascii="仿宋_GB2312" w:hAnsi="宋体" w:eastAsia="仿宋_GB2312"/>
                <w:color w:val="auto"/>
                <w:kern w:val="0"/>
                <w:highlight w:val="none"/>
                <w:lang w:val="en-US"/>
              </w:rPr>
            </w:pPr>
            <w:r>
              <w:rPr>
                <w:rFonts w:hint="eastAsia" w:ascii="仿宋_GB2312" w:hAnsi="宋体" w:eastAsia="仿宋_GB2312"/>
                <w:color w:val="auto"/>
                <w:kern w:val="0"/>
                <w:highlight w:val="none"/>
                <w:lang w:val="en-US" w:eastAsia="zh-CN"/>
              </w:rPr>
              <w:t>-20%</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管理</w:t>
            </w:r>
          </w:p>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rPr>
              <w:t>效率</w:t>
            </w:r>
          </w:p>
        </w:tc>
        <w:tc>
          <w:tcPr>
            <w:tcW w:w="1380"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u w:val="single"/>
              </w:rPr>
            </w:pPr>
            <w:r>
              <w:rPr>
                <w:rFonts w:hint="eastAsia" w:ascii="仿宋_GB2312" w:hAnsi="宋体" w:eastAsia="仿宋_GB2312" w:cs="仿宋_GB2312"/>
                <w:color w:val="auto"/>
                <w:kern w:val="0"/>
                <w:highlight w:val="none"/>
              </w:rPr>
              <w:t>战略管理</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中长期规划相符性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完全相符</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完全相符</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完全相符</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工作计划健全性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健全</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预算编制</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预算编制科学性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科学</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科学</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科学</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u w:val="singl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预算编制合理性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合理</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合理</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合理</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立项规范性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规范</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hint="eastAsia" w:ascii="仿宋_GB2312" w:hAnsi="宋体" w:eastAsia="仿宋_GB2312"/>
                <w:color w:val="auto"/>
                <w:kern w:val="0"/>
                <w:highlight w:val="none"/>
              </w:rPr>
            </w:pPr>
            <w:r>
              <w:rPr>
                <w:rFonts w:hint="eastAsia" w:ascii="仿宋_GB2312" w:hAnsi="宋体" w:eastAsia="仿宋_GB2312"/>
                <w:color w:val="auto"/>
                <w:kern w:val="0"/>
                <w:highlight w:val="none"/>
              </w:rPr>
              <w:t>预算调整率</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预算执行</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预算执行率</w:t>
            </w:r>
          </w:p>
        </w:tc>
        <w:tc>
          <w:tcPr>
            <w:tcW w:w="85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结转结余率</w:t>
            </w:r>
          </w:p>
        </w:tc>
        <w:tc>
          <w:tcPr>
            <w:tcW w:w="85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0%</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政府采购执行率</w:t>
            </w:r>
          </w:p>
        </w:tc>
        <w:tc>
          <w:tcPr>
            <w:tcW w:w="85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非税收入预算完成率</w:t>
            </w:r>
          </w:p>
        </w:tc>
        <w:tc>
          <w:tcPr>
            <w:tcW w:w="85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绩效管理</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事前绩效评估完成率</w:t>
            </w:r>
          </w:p>
        </w:tc>
        <w:tc>
          <w:tcPr>
            <w:tcW w:w="855" w:type="dxa"/>
            <w:tcMar>
              <w:left w:w="57" w:type="dxa"/>
              <w:right w:w="57" w:type="dxa"/>
            </w:tcMar>
            <w:vAlign w:val="center"/>
          </w:tcPr>
          <w:p>
            <w:pPr>
              <w:widowControl/>
              <w:snapToGrid w:val="0"/>
              <w:jc w:val="center"/>
              <w:rPr>
                <w:rFonts w:hint="eastAsia" w:ascii="仿宋_GB2312" w:hAnsi="宋体" w:eastAsia="仿宋_GB2312"/>
                <w:color w:val="auto"/>
                <w:kern w:val="0"/>
                <w:highlight w:val="none"/>
                <w:lang w:eastAsia="zh-CN"/>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绩效目标合理性</w:t>
            </w:r>
          </w:p>
        </w:tc>
        <w:tc>
          <w:tcPr>
            <w:tcW w:w="85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lang w:eastAsia="zh-CN"/>
              </w:rPr>
              <w:t>合理</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lang w:eastAsia="zh-CN"/>
              </w:rPr>
              <w:t>合理</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lang w:eastAsia="zh-CN"/>
              </w:rPr>
              <w:t>合理</w:t>
            </w:r>
          </w:p>
        </w:tc>
        <w:tc>
          <w:tcPr>
            <w:tcW w:w="832"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绩效监控开展率</w:t>
            </w:r>
          </w:p>
        </w:tc>
        <w:tc>
          <w:tcPr>
            <w:tcW w:w="85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绩效评价覆盖率</w:t>
            </w:r>
          </w:p>
        </w:tc>
        <w:tc>
          <w:tcPr>
            <w:tcW w:w="85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评价结果应用率</w:t>
            </w:r>
          </w:p>
        </w:tc>
        <w:tc>
          <w:tcPr>
            <w:tcW w:w="855" w:type="dxa"/>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资产管理</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资产管理制度健全性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健全</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资产管理规范性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规范</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财务管理</w:t>
            </w: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财务管理制度健全性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健全</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健全</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会计核算规范性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规范</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规范</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资金使用合规性</w:t>
            </w:r>
          </w:p>
        </w:tc>
        <w:tc>
          <w:tcPr>
            <w:tcW w:w="855" w:type="dxa"/>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完全合规</w:t>
            </w:r>
          </w:p>
        </w:tc>
        <w:tc>
          <w:tcPr>
            <w:tcW w:w="825" w:type="dxa"/>
            <w:gridSpan w:val="2"/>
            <w:tcMar>
              <w:left w:w="57" w:type="dxa"/>
              <w:right w:w="57" w:type="dxa"/>
            </w:tcMar>
            <w:vAlign w:val="center"/>
          </w:tcPr>
          <w:p>
            <w:pPr>
              <w:widowControl/>
              <w:snapToGrid w:val="0"/>
              <w:jc w:val="center"/>
              <w:rPr>
                <w:rFonts w:ascii="仿宋_GB2312" w:hAnsi="宋体" w:eastAsia="仿宋_GB2312" w:cs="Times New Roman"/>
                <w:color w:val="auto"/>
                <w:kern w:val="0"/>
                <w:sz w:val="21"/>
                <w:szCs w:val="22"/>
                <w:highlight w:val="none"/>
                <w:lang w:val="en-US" w:eastAsia="zh-CN" w:bidi="ar-SA"/>
              </w:rPr>
            </w:pPr>
            <w:r>
              <w:rPr>
                <w:rFonts w:hint="eastAsia" w:ascii="仿宋_GB2312" w:hAnsi="宋体" w:eastAsia="仿宋_GB2312"/>
                <w:color w:val="FF0000"/>
                <w:kern w:val="0"/>
                <w:highlight w:val="none"/>
                <w:lang w:eastAsia="zh-CN"/>
              </w:rPr>
              <w:t>完全合规</w:t>
            </w:r>
          </w:p>
        </w:tc>
        <w:tc>
          <w:tcPr>
            <w:tcW w:w="900"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FF0000"/>
                <w:kern w:val="0"/>
                <w:highlight w:val="none"/>
                <w:lang w:eastAsia="zh-CN"/>
              </w:rPr>
              <w:t>完全合规</w:t>
            </w:r>
          </w:p>
        </w:tc>
        <w:tc>
          <w:tcPr>
            <w:tcW w:w="832" w:type="dxa"/>
            <w:gridSpan w:val="3"/>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lang w:val="en-US" w:eastAsia="zh-CN"/>
              </w:rPr>
              <w:t>预算支出标准</w:t>
            </w:r>
          </w:p>
        </w:tc>
        <w:tc>
          <w:tcPr>
            <w:tcW w:w="668" w:type="dxa"/>
            <w:gridSpan w:val="2"/>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履职</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效能</w:t>
            </w: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核心业务产出1</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专利授权量</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1500</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核心业务产出2</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接通处置消费者咨询、投诉、举报电话</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15</w:t>
            </w:r>
            <w:r>
              <w:rPr>
                <w:rFonts w:hint="eastAsia" w:ascii="仿宋_GB2312" w:hAnsi="宋体" w:eastAsia="仿宋_GB2312" w:cs="仿宋_GB2312"/>
                <w:color w:val="auto"/>
                <w:kern w:val="0"/>
                <w:highlight w:val="none"/>
              </w:rPr>
              <w:t>000</w:t>
            </w:r>
          </w:p>
        </w:tc>
        <w:tc>
          <w:tcPr>
            <w:tcW w:w="825" w:type="dxa"/>
            <w:gridSpan w:val="2"/>
            <w:tcMar>
              <w:left w:w="57" w:type="dxa"/>
              <w:right w:w="57" w:type="dxa"/>
            </w:tcMar>
            <w:vAlign w:val="center"/>
          </w:tcPr>
          <w:p>
            <w:pPr>
              <w:widowControl/>
              <w:snapToGrid w:val="0"/>
              <w:jc w:val="center"/>
              <w:rPr>
                <w:rFonts w:hint="default" w:ascii="仿宋_GB2312" w:hAnsi="宋体" w:eastAsia="仿宋_GB2312" w:cs="仿宋_GB2312"/>
                <w:color w:val="auto"/>
                <w:kern w:val="0"/>
                <w:highlight w:val="none"/>
                <w:lang w:val="en-US" w:eastAsia="zh-CN"/>
              </w:rPr>
            </w:pPr>
            <w:r>
              <w:rPr>
                <w:rFonts w:hint="eastAsia" w:ascii="仿宋_GB2312" w:hAnsi="宋体" w:eastAsia="仿宋_GB2312" w:cs="仿宋_GB2312"/>
                <w:color w:val="auto"/>
                <w:kern w:val="0"/>
                <w:highlight w:val="none"/>
                <w:lang w:val="en-US" w:eastAsia="zh-CN"/>
              </w:rPr>
              <w:t>15000</w:t>
            </w: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20000</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核心业务产出</w:t>
            </w:r>
            <w:r>
              <w:rPr>
                <w:rFonts w:hint="eastAsia" w:ascii="仿宋_GB2312" w:hAnsi="宋体" w:eastAsia="仿宋_GB2312" w:cs="仿宋_GB2312"/>
                <w:color w:val="auto"/>
                <w:kern w:val="0"/>
                <w:highlight w:val="none"/>
                <w:lang w:val="en-US" w:eastAsia="zh-CN"/>
              </w:rPr>
              <w:t>3</w:t>
            </w:r>
          </w:p>
        </w:tc>
        <w:tc>
          <w:tcPr>
            <w:tcW w:w="1545"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案件数</w:t>
            </w:r>
          </w:p>
        </w:tc>
        <w:tc>
          <w:tcPr>
            <w:tcW w:w="855" w:type="dxa"/>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500</w:t>
            </w: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500</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社会</w:t>
            </w:r>
          </w:p>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效应</w:t>
            </w: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经济效益</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培育知识产权强企（国家知识产权优势企业）</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2</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社会效益</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培育特色商标品牌</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1</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生态效益</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将坚持安全第一、预防为主、节能环保、综合治理原则落到实处</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促进企业落实节能减排主体责任</w:t>
            </w: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促进企业落实节能减排主体责任</w:t>
            </w: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促进企业落实节能减排主体责任</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可持续发展能力</w:t>
            </w:r>
          </w:p>
        </w:tc>
        <w:tc>
          <w:tcPr>
            <w:tcW w:w="1380" w:type="dxa"/>
            <w:gridSpan w:val="2"/>
            <w:vMerge w:val="restart"/>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体制机制改革</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服务体制改革成效</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明显</w:t>
            </w: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明显</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计划标准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行政管理体制改革成效</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明显</w:t>
            </w: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明显</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restart"/>
            <w:tcMar>
              <w:left w:w="57" w:type="dxa"/>
              <w:right w:w="57" w:type="dxa"/>
            </w:tcMar>
            <w:vAlign w:val="center"/>
          </w:tcPr>
          <w:p>
            <w:pPr>
              <w:snapToGrid w:val="0"/>
              <w:jc w:val="center"/>
              <w:rPr>
                <w:rFonts w:hint="eastAsia"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人才支撑</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业务学习与培训完成率</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100%</w:t>
            </w: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100%</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干部队伍体系建设规划情况</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列入发展规划</w:t>
            </w: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列入发展规划</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vMerge w:val="continue"/>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rPr>
            </w:pP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高学历、高层次人才储备率</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不涉及</w:t>
            </w: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不涉及</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科技支撑</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信息化建设情况</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建设中</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restart"/>
            <w:tcMar>
              <w:left w:w="57" w:type="dxa"/>
              <w:right w:w="57" w:type="dxa"/>
            </w:tcMar>
            <w:vAlign w:val="center"/>
          </w:tcPr>
          <w:p>
            <w:pPr>
              <w:widowControl/>
              <w:snapToGrid w:val="0"/>
              <w:jc w:val="center"/>
              <w:rPr>
                <w:rFonts w:ascii="仿宋_GB2312" w:hAnsi="宋体" w:eastAsia="仿宋_GB2312"/>
                <w:color w:val="auto"/>
                <w:kern w:val="0"/>
                <w:highlight w:val="none"/>
              </w:rPr>
            </w:pPr>
            <w:r>
              <w:rPr>
                <w:rFonts w:hint="eastAsia" w:ascii="仿宋_GB2312" w:hAnsi="宋体" w:eastAsia="仿宋_GB2312"/>
                <w:color w:val="auto"/>
                <w:kern w:val="0"/>
                <w:highlight w:val="none"/>
              </w:rPr>
              <w:t>满意度</w:t>
            </w: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服务对象满意度</w:t>
            </w:r>
          </w:p>
        </w:tc>
        <w:tc>
          <w:tcPr>
            <w:tcW w:w="1545" w:type="dxa"/>
            <w:gridSpan w:val="3"/>
            <w:tcMar>
              <w:left w:w="57" w:type="dxa"/>
              <w:right w:w="57" w:type="dxa"/>
            </w:tcMar>
            <w:vAlign w:val="center"/>
          </w:tcPr>
          <w:p>
            <w:pPr>
              <w:widowControl/>
              <w:snapToGrid w:val="0"/>
              <w:jc w:val="center"/>
              <w:rPr>
                <w:rFonts w:hint="eastAsia" w:ascii="仿宋_GB2312" w:hAnsi="宋体" w:eastAsia="仿宋_GB2312" w:cs="仿宋_GB2312"/>
                <w:color w:val="auto"/>
                <w:kern w:val="0"/>
                <w:highlight w:val="none"/>
                <w:lang w:eastAsia="zh-CN"/>
              </w:rPr>
            </w:pPr>
            <w:r>
              <w:rPr>
                <w:rFonts w:hint="eastAsia" w:ascii="仿宋_GB2312" w:hAnsi="宋体" w:eastAsia="仿宋_GB2312" w:cs="仿宋_GB2312"/>
                <w:color w:val="auto"/>
                <w:kern w:val="0"/>
                <w:highlight w:val="none"/>
                <w:lang w:eastAsia="zh-CN"/>
              </w:rPr>
              <w:t>市民满意率</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90%</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99" w:type="dxa"/>
            <w:vMerge w:val="continue"/>
            <w:tcMar>
              <w:left w:w="57" w:type="dxa"/>
              <w:right w:w="57" w:type="dxa"/>
            </w:tcMar>
            <w:vAlign w:val="center"/>
          </w:tcPr>
          <w:p>
            <w:pPr>
              <w:widowControl/>
              <w:snapToGrid w:val="0"/>
              <w:jc w:val="left"/>
              <w:rPr>
                <w:rFonts w:ascii="仿宋_GB2312" w:hAnsi="宋体" w:eastAsia="仿宋_GB2312"/>
                <w:color w:val="auto"/>
                <w:kern w:val="0"/>
                <w:highlight w:val="none"/>
              </w:rPr>
            </w:pPr>
          </w:p>
        </w:tc>
        <w:tc>
          <w:tcPr>
            <w:tcW w:w="698" w:type="dxa"/>
            <w:gridSpan w:val="2"/>
            <w:vMerge w:val="continue"/>
            <w:tcMar>
              <w:left w:w="57" w:type="dxa"/>
              <w:right w:w="57" w:type="dxa"/>
            </w:tcMar>
            <w:vAlign w:val="center"/>
          </w:tcPr>
          <w:p>
            <w:pPr>
              <w:widowControl/>
              <w:snapToGrid w:val="0"/>
              <w:jc w:val="center"/>
              <w:rPr>
                <w:rFonts w:ascii="仿宋_GB2312" w:hAnsi="宋体" w:eastAsia="仿宋_GB2312"/>
                <w:color w:val="auto"/>
                <w:kern w:val="0"/>
                <w:highlight w:val="none"/>
              </w:rPr>
            </w:pPr>
          </w:p>
        </w:tc>
        <w:tc>
          <w:tcPr>
            <w:tcW w:w="1380"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rPr>
              <w:t>联系部门满意度</w:t>
            </w:r>
          </w:p>
        </w:tc>
        <w:tc>
          <w:tcPr>
            <w:tcW w:w="1545"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满意率</w:t>
            </w:r>
          </w:p>
        </w:tc>
        <w:tc>
          <w:tcPr>
            <w:tcW w:w="855" w:type="dxa"/>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825"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p>
        </w:tc>
        <w:tc>
          <w:tcPr>
            <w:tcW w:w="900" w:type="dxa"/>
            <w:gridSpan w:val="2"/>
            <w:tcMar>
              <w:left w:w="57" w:type="dxa"/>
              <w:right w:w="57" w:type="dxa"/>
            </w:tcMar>
            <w:vAlign w:val="center"/>
          </w:tcPr>
          <w:p>
            <w:pPr>
              <w:widowControl/>
              <w:snapToGrid w:val="0"/>
              <w:jc w:val="center"/>
              <w:rPr>
                <w:rFonts w:ascii="仿宋_GB2312" w:hAnsi="宋体" w:eastAsia="仿宋_GB2312" w:cs="仿宋_GB2312"/>
                <w:color w:val="auto"/>
                <w:kern w:val="0"/>
                <w:sz w:val="21"/>
                <w:szCs w:val="22"/>
                <w:highlight w:val="none"/>
                <w:lang w:val="en-US" w:eastAsia="zh-CN" w:bidi="ar-SA"/>
              </w:rPr>
            </w:pPr>
            <w:r>
              <w:rPr>
                <w:rFonts w:hint="eastAsia" w:ascii="仿宋_GB2312" w:hAnsi="宋体" w:eastAsia="仿宋_GB2312" w:cs="仿宋_GB2312"/>
                <w:color w:val="auto"/>
                <w:kern w:val="0"/>
                <w:highlight w:val="none"/>
                <w:lang w:val="en-US" w:eastAsia="zh-CN"/>
              </w:rPr>
              <w:t>90%</w:t>
            </w:r>
          </w:p>
        </w:tc>
        <w:tc>
          <w:tcPr>
            <w:tcW w:w="832" w:type="dxa"/>
            <w:gridSpan w:val="3"/>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eastAsia="zh-CN"/>
              </w:rPr>
              <w:t>历史标准</w:t>
            </w:r>
          </w:p>
        </w:tc>
        <w:tc>
          <w:tcPr>
            <w:tcW w:w="668" w:type="dxa"/>
            <w:gridSpan w:val="2"/>
            <w:tcMar>
              <w:left w:w="57" w:type="dxa"/>
              <w:right w:w="57" w:type="dxa"/>
            </w:tcMar>
            <w:vAlign w:val="center"/>
          </w:tcPr>
          <w:p>
            <w:pPr>
              <w:widowControl/>
              <w:snapToGrid w:val="0"/>
              <w:jc w:val="center"/>
              <w:rPr>
                <w:rFonts w:ascii="仿宋_GB2312" w:hAnsi="宋体" w:eastAsia="仿宋_GB2312" w:cs="仿宋_GB2312"/>
                <w:color w:val="auto"/>
                <w:kern w:val="0"/>
                <w:highlight w:val="none"/>
              </w:rPr>
            </w:pPr>
            <w:r>
              <w:rPr>
                <w:rFonts w:hint="eastAsia" w:ascii="仿宋_GB2312" w:hAnsi="宋体" w:eastAsia="仿宋_GB2312" w:cs="仿宋_GB2312"/>
                <w:color w:val="auto"/>
                <w:kern w:val="0"/>
                <w:highlight w:val="none"/>
                <w:lang w:val="en-US" w:eastAsia="zh-CN"/>
              </w:rPr>
              <w:t>绩效基本型</w:t>
            </w:r>
          </w:p>
        </w:tc>
      </w:tr>
    </w:tbl>
    <w:p>
      <w:pPr>
        <w:spacing w:line="600" w:lineRule="exact"/>
        <w:ind w:firstLine="640" w:firstLineChars="200"/>
        <w:rPr>
          <w:rFonts w:hint="eastAsia" w:ascii="黑体" w:hAnsi="黑体" w:eastAsia="黑体" w:cs="黑体"/>
          <w:color w:val="auto"/>
          <w:sz w:val="32"/>
          <w:szCs w:val="32"/>
          <w:highlight w:val="none"/>
        </w:rPr>
      </w:pPr>
    </w:p>
    <w:p>
      <w:pPr>
        <w:spacing w:line="600" w:lineRule="exact"/>
        <w:jc w:val="center"/>
        <w:rPr>
          <w:rFonts w:ascii="方正小标宋简体" w:hAnsi="宋体" w:eastAsia="方正小标宋简体"/>
          <w:sz w:val="32"/>
          <w:szCs w:val="32"/>
        </w:rPr>
      </w:pPr>
      <w:r>
        <w:rPr>
          <w:rFonts w:hint="eastAsia" w:ascii="方正小标宋简体" w:hAnsi="宋体" w:eastAsia="方正小标宋简体" w:cs="方正小标宋简体"/>
          <w:sz w:val="32"/>
          <w:szCs w:val="32"/>
        </w:rPr>
        <w:t>部门整体绩效目标申报表内容说明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一、适用范围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本表适用于</w:t>
      </w:r>
      <w:r>
        <w:rPr>
          <w:rFonts w:hint="eastAsia" w:ascii="仿宋_GB2312" w:eastAsia="仿宋_GB2312" w:cs="仿宋_GB2312"/>
          <w:color w:val="auto"/>
          <w:sz w:val="28"/>
          <w:szCs w:val="28"/>
          <w:highlight w:val="none"/>
          <w:lang w:eastAsia="zh-CN"/>
        </w:rPr>
        <w:t>市</w:t>
      </w:r>
      <w:r>
        <w:rPr>
          <w:rFonts w:hint="eastAsia" w:ascii="仿宋_GB2312" w:eastAsia="仿宋_GB2312" w:cs="仿宋_GB2312"/>
          <w:color w:val="auto"/>
          <w:sz w:val="28"/>
          <w:szCs w:val="28"/>
          <w:highlight w:val="none"/>
        </w:rPr>
        <w:t>直部门在申报部门整体绩效目标时填报，作为部门整体绩效目标审核和批复、部门整体绩效评价等工作的主要依据。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黑体" w:hAnsi="黑体" w:eastAsia="黑体"/>
          <w:sz w:val="28"/>
          <w:szCs w:val="28"/>
        </w:rPr>
      </w:pPr>
      <w:r>
        <w:rPr>
          <w:rFonts w:hint="eastAsia" w:ascii="黑体" w:hAnsi="黑体" w:eastAsia="黑体" w:cs="黑体"/>
          <w:sz w:val="28"/>
          <w:szCs w:val="28"/>
        </w:rPr>
        <w:t>二、填报说明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1.</w:t>
      </w:r>
      <w:r>
        <w:rPr>
          <w:rFonts w:hint="eastAsia" w:ascii="仿宋_GB2312" w:eastAsia="仿宋_GB2312" w:cs="仿宋_GB2312"/>
          <w:color w:val="auto"/>
          <w:sz w:val="28"/>
          <w:szCs w:val="28"/>
          <w:highlight w:val="none"/>
        </w:rPr>
        <w:t>部门（单位）名称：填写填报本表的</w:t>
      </w:r>
      <w:r>
        <w:rPr>
          <w:rFonts w:hint="eastAsia" w:ascii="仿宋_GB2312" w:eastAsia="仿宋_GB2312" w:cs="仿宋_GB2312"/>
          <w:color w:val="auto"/>
          <w:sz w:val="28"/>
          <w:szCs w:val="28"/>
          <w:highlight w:val="none"/>
          <w:lang w:eastAsia="zh-CN"/>
        </w:rPr>
        <w:t>市直</w:t>
      </w:r>
      <w:r>
        <w:rPr>
          <w:rFonts w:hint="eastAsia" w:ascii="仿宋_GB2312" w:eastAsia="仿宋_GB2312" w:cs="仿宋_GB2312"/>
          <w:color w:val="auto"/>
          <w:sz w:val="28"/>
          <w:szCs w:val="28"/>
          <w:highlight w:val="none"/>
        </w:rPr>
        <w:t>部门全称。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2.</w:t>
      </w:r>
      <w:r>
        <w:rPr>
          <w:rFonts w:hint="eastAsia" w:ascii="仿宋_GB2312" w:eastAsia="仿宋_GB2312" w:cs="仿宋_GB2312"/>
          <w:color w:val="auto"/>
          <w:sz w:val="28"/>
          <w:szCs w:val="28"/>
          <w:highlight w:val="none"/>
        </w:rPr>
        <w:t>部门职能：填写部门主要职能。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3.</w:t>
      </w:r>
      <w:r>
        <w:rPr>
          <w:rFonts w:hint="eastAsia" w:ascii="仿宋_GB2312" w:eastAsia="仿宋_GB2312" w:cs="仿宋_GB2312"/>
          <w:color w:val="auto"/>
          <w:sz w:val="28"/>
          <w:szCs w:val="28"/>
          <w:highlight w:val="none"/>
        </w:rPr>
        <w:t>年度工作任务：填写根据部门主要职责和工作计划确定的本年度主要工作任务。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4.</w:t>
      </w:r>
      <w:r>
        <w:rPr>
          <w:rFonts w:hint="eastAsia" w:ascii="仿宋_GB2312" w:eastAsia="仿宋_GB2312" w:cs="仿宋_GB2312"/>
          <w:color w:val="auto"/>
          <w:sz w:val="28"/>
          <w:szCs w:val="28"/>
          <w:highlight w:val="none"/>
        </w:rPr>
        <w:t>长期目标：描述本部门在三年内通过履行部门职责所达到的部门整体及核心业务效果</w:t>
      </w:r>
      <w:r>
        <w:rPr>
          <w:rFonts w:hint="eastAsia" w:ascii="仿宋_GB2312" w:eastAsia="仿宋_GB2312" w:cs="仿宋_GB2312"/>
          <w:color w:val="auto"/>
          <w:sz w:val="28"/>
          <w:szCs w:val="28"/>
          <w:highlight w:val="none"/>
          <w:lang w:eastAsia="zh-CN"/>
        </w:rPr>
        <w:t>，</w:t>
      </w:r>
      <w:r>
        <w:rPr>
          <w:rFonts w:hint="eastAsia" w:ascii="仿宋_GB2312" w:eastAsia="仿宋_GB2312" w:cs="仿宋_GB2312"/>
          <w:color w:val="auto"/>
          <w:sz w:val="28"/>
          <w:szCs w:val="28"/>
          <w:highlight w:val="none"/>
        </w:rPr>
        <w:t>并以相应的绩效指标予以细化、量化描述。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5.</w:t>
      </w:r>
      <w:r>
        <w:rPr>
          <w:rFonts w:hint="eastAsia" w:ascii="仿宋_GB2312" w:eastAsia="仿宋_GB2312" w:cs="仿宋_GB2312"/>
          <w:color w:val="auto"/>
          <w:sz w:val="28"/>
          <w:szCs w:val="28"/>
          <w:highlight w:val="none"/>
        </w:rPr>
        <w:t>长期绩效指标：主要包括运行成本、管理效率、履职效能、社会效应、可持续发展能力和满意度等六个一级指标，每一类一级指标细分为若干二级指标、三级指标，三级指标对应具体的指标值。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6.</w:t>
      </w:r>
      <w:r>
        <w:rPr>
          <w:rFonts w:hint="eastAsia" w:ascii="仿宋_GB2312" w:eastAsia="仿宋_GB2312" w:cs="仿宋_GB2312"/>
          <w:color w:val="auto"/>
          <w:sz w:val="28"/>
          <w:szCs w:val="28"/>
          <w:highlight w:val="none"/>
        </w:rPr>
        <w:t>年度目标：描述本部门在本年度内通过履行部门职责所达到的部门整体及核心业务效果。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7.</w:t>
      </w:r>
      <w:r>
        <w:rPr>
          <w:rFonts w:hint="eastAsia" w:ascii="仿宋_GB2312" w:eastAsia="仿宋_GB2312" w:cs="仿宋_GB2312"/>
          <w:color w:val="auto"/>
          <w:sz w:val="28"/>
          <w:szCs w:val="28"/>
          <w:highlight w:val="none"/>
        </w:rPr>
        <w:t>年度绩效指标参照长期绩效指标填报。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lang w:val="en-US" w:eastAsia="zh-CN"/>
        </w:rPr>
        <w:t>8.</w:t>
      </w:r>
      <w:r>
        <w:rPr>
          <w:rFonts w:hint="eastAsia" w:ascii="仿宋_GB2312" w:eastAsia="仿宋_GB2312" w:cs="仿宋_GB2312"/>
          <w:color w:val="auto"/>
          <w:sz w:val="28"/>
          <w:szCs w:val="28"/>
          <w:highlight w:val="none"/>
        </w:rPr>
        <w:t>指标值确定依据。通过收集相关基础数据，明确指标值确定依据，主要包括计划标准、行业标准、历史标准、预算支出标准或其他标准。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eastAsia="仿宋_GB2312"/>
          <w:color w:val="auto"/>
          <w:sz w:val="28"/>
          <w:szCs w:val="28"/>
          <w:highlight w:val="none"/>
        </w:rPr>
      </w:pPr>
      <w:r>
        <w:rPr>
          <w:rFonts w:hint="eastAsia" w:ascii="仿宋_GB2312" w:eastAsia="仿宋_GB2312" w:cs="仿宋_GB2312"/>
          <w:color w:val="auto"/>
          <w:sz w:val="28"/>
          <w:szCs w:val="28"/>
          <w:highlight w:val="none"/>
          <w:lang w:val="en-US" w:eastAsia="zh-CN"/>
        </w:rPr>
        <w:t>9.</w:t>
      </w:r>
      <w:r>
        <w:rPr>
          <w:rFonts w:hint="eastAsia" w:ascii="仿宋_GB2312" w:eastAsia="仿宋_GB2312" w:cs="仿宋_GB2312"/>
          <w:color w:val="auto"/>
          <w:sz w:val="28"/>
          <w:szCs w:val="28"/>
          <w:highlight w:val="none"/>
        </w:rPr>
        <w:t>指标分类。按照绩效提升与创新程度将整体绩效目标分为绩效基本型、绩效创新型指标</w:t>
      </w:r>
      <w:r>
        <w:rPr>
          <w:rFonts w:hint="eastAsia" w:ascii="仿宋_GB2312" w:eastAsia="仿宋_GB2312" w:cs="仿宋_GB2312"/>
          <w:color w:val="auto"/>
          <w:sz w:val="28"/>
          <w:szCs w:val="28"/>
          <w:highlight w:val="none"/>
          <w:lang w:eastAsia="zh-CN"/>
        </w:rPr>
        <w:t>。</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0301D3"/>
    <w:multiLevelType w:val="singleLevel"/>
    <w:tmpl w:val="FB0301D3"/>
    <w:lvl w:ilvl="0" w:tentative="0">
      <w:start w:val="1"/>
      <w:numFmt w:val="decimal"/>
      <w:suff w:val="nothing"/>
      <w:lvlText w:val="%1、"/>
      <w:lvlJc w:val="left"/>
      <w:pPr>
        <w:ind w:left="210" w:leftChars="0" w:firstLine="0" w:firstLineChars="0"/>
      </w:pPr>
    </w:lvl>
  </w:abstractNum>
  <w:abstractNum w:abstractNumId="1">
    <w:nsid w:val="3A1995F2"/>
    <w:multiLevelType w:val="singleLevel"/>
    <w:tmpl w:val="3A1995F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2C365954"/>
    <w:rsid w:val="06A349F0"/>
    <w:rsid w:val="0E6E504E"/>
    <w:rsid w:val="1CA22253"/>
    <w:rsid w:val="20C35C62"/>
    <w:rsid w:val="212C2F24"/>
    <w:rsid w:val="27462C00"/>
    <w:rsid w:val="2C365954"/>
    <w:rsid w:val="30240E53"/>
    <w:rsid w:val="34784EE3"/>
    <w:rsid w:val="388B350E"/>
    <w:rsid w:val="738A0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next w:val="3"/>
    <w:autoRedefine/>
    <w:qFormat/>
    <w:uiPriority w:val="99"/>
    <w:pPr>
      <w:ind w:left="420" w:leftChars="200"/>
    </w:pPr>
    <w:rPr>
      <w:rFonts w:hint="eastAsia"/>
    </w:rPr>
  </w:style>
  <w:style w:type="paragraph" w:styleId="3">
    <w:name w:val="Body Text First Indent 2"/>
    <w:basedOn w:val="2"/>
    <w:next w:val="1"/>
    <w:autoRedefine/>
    <w:qFormat/>
    <w:uiPriority w:val="99"/>
    <w:pPr>
      <w:ind w:firstLine="420" w:firstLineChars="200"/>
    </w:pPr>
  </w:style>
  <w:style w:type="paragraph" w:styleId="4">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4744</Words>
  <Characters>5137</Characters>
  <Lines>0</Lines>
  <Paragraphs>0</Paragraphs>
  <TotalTime>24</TotalTime>
  <ScaleCrop>false</ScaleCrop>
  <LinksUpToDate>false</LinksUpToDate>
  <CharactersWithSpaces>5187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2024-01-24T07:26:00Z</dcterms:created>
  <dc:creator>倒亚指芭绦</dc:creator>
  <cp:lastModifiedBy>远烟</cp:lastModifiedBy>
  <cp:lastPrinted>2024-01-24T08:44:00Z</cp:lastPrinted>
  <dcterms:modified xsi:type="dcterms:W3CDTF">2024-05-24T11:45:29Z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7D35D4129FBE4D18B5AB7F59ED3C128F_11</vt:lpwstr>
  </property>
</Properties>
</file>