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4"/>
          <w:szCs w:val="44"/>
          <w:highlight w:val="none"/>
        </w:rPr>
      </w:pPr>
      <w:r>
        <w:rPr>
          <w:rFonts w:hint="eastAsia" w:ascii="方正小标宋简体" w:hAnsi="Times New Roman" w:eastAsia="方正小标宋简体" w:cs="Times New Roman"/>
          <w:color w:val="auto"/>
          <w:sz w:val="44"/>
          <w:szCs w:val="44"/>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3"/>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94"/>
        <w:gridCol w:w="29"/>
        <w:gridCol w:w="1232"/>
        <w:gridCol w:w="175"/>
        <w:gridCol w:w="1187"/>
        <w:gridCol w:w="254"/>
        <w:gridCol w:w="676"/>
        <w:gridCol w:w="242"/>
        <w:gridCol w:w="449"/>
        <w:gridCol w:w="510"/>
        <w:gridCol w:w="257"/>
        <w:gridCol w:w="429"/>
        <w:gridCol w:w="52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名称</w:t>
            </w:r>
          </w:p>
        </w:tc>
        <w:tc>
          <w:tcPr>
            <w:tcW w:w="775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鄂州市审计局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填报人</w:t>
            </w: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eastAsia="zh-CN"/>
              </w:rPr>
              <w:t>周钢</w:t>
            </w:r>
          </w:p>
        </w:tc>
        <w:tc>
          <w:tcPr>
            <w:tcW w:w="11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联系电话</w:t>
            </w:r>
          </w:p>
        </w:tc>
        <w:tc>
          <w:tcPr>
            <w:tcW w:w="4342"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13995822918</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当年金额</w:t>
            </w:r>
          </w:p>
        </w:tc>
        <w:tc>
          <w:tcPr>
            <w:tcW w:w="959"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占比</w:t>
            </w:r>
          </w:p>
        </w:tc>
        <w:tc>
          <w:tcPr>
            <w:tcW w:w="2211"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3417" w:type="dxa"/>
            <w:gridSpan w:val="5"/>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7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959"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年</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1522.75</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100%</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1616.53</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1700.24</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1522.75</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1616.53</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1700.24</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874.74</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57.44%</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954.81</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966.25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121.01</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7.95%</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139.22</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143.99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527</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34.61%</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522.5</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1522.75</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100%</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1616.53</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1700.24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部门职能概述</w:t>
            </w:r>
          </w:p>
        </w:tc>
        <w:tc>
          <w:tcPr>
            <w:tcW w:w="775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w:t>
            </w:r>
            <w:r>
              <w:rPr>
                <w:rFonts w:hint="eastAsia" w:ascii="仿宋_GB2312" w:hAnsi="仿宋_GB2312" w:eastAsia="仿宋_GB2312" w:cs="仿宋_GB2312"/>
                <w:color w:val="auto"/>
                <w:kern w:val="0"/>
                <w:sz w:val="21"/>
                <w:szCs w:val="21"/>
                <w:highlight w:val="none"/>
                <w:u w:val="none"/>
              </w:rPr>
              <w:t>主管全市审计工作。负责对市级财政收支和法律法规规定属于审计监督范围的财务收支的真实、合法和效益进行审计监督。对公共资金、国有资产、国有资源和领导干部履行经济责任情况实行审计全覆盖，对领导干部实行自然资源资产离任审计，对国家有关重大政策措施贯彻落实情况进行跟踪审计。对审计、专项审计调查和核查社会审计机构相关审计报告的结果承担责任，并负有督促被审计单位整改的责任。</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w:t>
            </w:r>
            <w:r>
              <w:rPr>
                <w:rFonts w:hint="eastAsia" w:ascii="仿宋_GB2312" w:hAnsi="仿宋_GB2312" w:eastAsia="仿宋_GB2312" w:cs="仿宋_GB2312"/>
                <w:color w:val="auto"/>
                <w:kern w:val="0"/>
                <w:sz w:val="21"/>
                <w:szCs w:val="21"/>
                <w:highlight w:val="none"/>
                <w:u w:val="none"/>
              </w:rPr>
              <w:t>贯彻执行国家有关方针政策和审计工作法律法规，制定相关的规范性文件和制度规范并监督执行。制定并组织实施审计工作发展规划、专业领域审计工作规划和年度审计计划。对直接审计、调查和核查的事项依法进行审计评价，作出审计决定或提出审计建议。</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w:t>
            </w:r>
            <w:r>
              <w:rPr>
                <w:rFonts w:hint="eastAsia" w:ascii="仿宋_GB2312" w:hAnsi="仿宋_GB2312" w:eastAsia="仿宋_GB2312" w:cs="仿宋_GB2312"/>
                <w:color w:val="auto"/>
                <w:kern w:val="0"/>
                <w:sz w:val="21"/>
                <w:szCs w:val="21"/>
                <w:highlight w:val="none"/>
                <w:u w:val="none"/>
              </w:rPr>
              <w:t>向市委审计委员会提出年度市本级预算执行和其他财政收支情况审计报告。向市长提出年度市本级预算执行和其他财政收支情况的审计结果报告。受市政府委托向市人大常委会提出市本级预算执行和其他财政收支情况的审计工作报告、审计查出问题整改情况报告。向市委、市政府报告对其他事项的审计和专项审计调查情况及结果。依法向社会公布审计结果。向市委和市政府有关部门、各区（开发区）党委（党工委）、政府（管委会）通报审计情况和审计结果。</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w:t>
            </w:r>
            <w:r>
              <w:rPr>
                <w:rFonts w:hint="eastAsia" w:ascii="仿宋_GB2312" w:hAnsi="仿宋_GB2312" w:eastAsia="仿宋_GB2312" w:cs="仿宋_GB2312"/>
                <w:color w:val="auto"/>
                <w:kern w:val="0"/>
                <w:sz w:val="21"/>
                <w:szCs w:val="21"/>
                <w:highlight w:val="none"/>
                <w:u w:val="none"/>
              </w:rPr>
              <w:t>直接审计下列事项，出具审计报告，在法定职权范围内作出审计决定：国家有关重大政策措施贯彻落实情况；市本级预算执行情况和其他财政收支，市本级各部门（含所属单位）预算执行情况、决算草案和其他财政收支；区（开发区）政府（管委会）预算执行情况、决算草案和其他财政收支，市财政转移支付资金；使用市财政资金的事业单位和社会团体的财务收支；市政府投资和以市政府投资为主的建设项目的预算执行情况和决算；重大公共工程项目的资金管理使用和建设运营情况；自然资源管理、污染防治和生态保护与修复情况；地方国有企业和金融机构、市政府规定的市属国有资本占控股或主导地位的企业和金融机构的境内外资产、负债和损益；市驻外非经营性机构的财务收支；市政府部门、区（开发区）政府（管委会）管理和其他单位受市政府及其部门委托管理的社会保障基金、社会捐赠资金及其他有关基金、资金的财务收支；国际组织和外国政府援助、贷款项目；法律法规规定的其他事项。</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w:t>
            </w:r>
            <w:r>
              <w:rPr>
                <w:rFonts w:hint="eastAsia" w:ascii="仿宋_GB2312" w:hAnsi="仿宋_GB2312" w:eastAsia="仿宋_GB2312" w:cs="仿宋_GB2312"/>
                <w:color w:val="auto"/>
                <w:kern w:val="0"/>
                <w:sz w:val="21"/>
                <w:szCs w:val="21"/>
                <w:highlight w:val="none"/>
                <w:u w:val="none"/>
              </w:rPr>
              <w:t>按规定对市管党政主要领导干部和其他单位主要负责人实施经济责任审计和自然资源资产离任审计。</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6.</w:t>
            </w:r>
            <w:r>
              <w:rPr>
                <w:rFonts w:hint="eastAsia" w:ascii="仿宋_GB2312" w:hAnsi="仿宋_GB2312" w:eastAsia="仿宋_GB2312" w:cs="仿宋_GB2312"/>
                <w:color w:val="auto"/>
                <w:kern w:val="0"/>
                <w:sz w:val="21"/>
                <w:szCs w:val="21"/>
                <w:highlight w:val="none"/>
                <w:u w:val="none"/>
              </w:rPr>
              <w:t>组织实施对国家财经法律法规、规章、政策和宏观调控措施执行情况、财政预算管理及国有资产管理使用等与市本级财政收支有关的特定事项进行专项审计调查。</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w:t>
            </w:r>
            <w:r>
              <w:rPr>
                <w:rFonts w:hint="eastAsia" w:ascii="仿宋_GB2312" w:hAnsi="仿宋_GB2312" w:eastAsia="仿宋_GB2312" w:cs="仿宋_GB2312"/>
                <w:color w:val="auto"/>
                <w:kern w:val="0"/>
                <w:sz w:val="21"/>
                <w:szCs w:val="21"/>
                <w:highlight w:val="none"/>
                <w:u w:val="none"/>
              </w:rPr>
              <w:t>依法检查审计决定执行情况，督促整改审计查出的问题，依法办理被审计单位对审计决定提请行政复议、行政诉讼或市政府裁决中的有关事项，协助配合有关部门查处相关重大案件。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w:t>
            </w:r>
            <w:r>
              <w:rPr>
                <w:rFonts w:hint="eastAsia" w:ascii="仿宋_GB2312" w:hAnsi="仿宋_GB2312" w:eastAsia="仿宋_GB2312" w:cs="仿宋_GB2312"/>
                <w:color w:val="auto"/>
                <w:kern w:val="0"/>
                <w:sz w:val="21"/>
                <w:szCs w:val="21"/>
                <w:highlight w:val="none"/>
                <w:u w:val="none"/>
              </w:rPr>
              <w:t>指导和监督内部审计工作，核查社会审计机构对依法属于审计监督对象的单位出具的相关审计报告。</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w:t>
            </w:r>
            <w:r>
              <w:rPr>
                <w:rFonts w:hint="eastAsia" w:ascii="仿宋_GB2312" w:hAnsi="仿宋_GB2312" w:eastAsia="仿宋_GB2312" w:cs="仿宋_GB2312"/>
                <w:color w:val="auto"/>
                <w:kern w:val="0"/>
                <w:sz w:val="21"/>
                <w:szCs w:val="21"/>
                <w:highlight w:val="none"/>
                <w:u w:val="none"/>
              </w:rPr>
              <w:t>与各区党委和政府共同领导区级审计机关。依法领导和监督区级审计机关的业务，组织区级审计机关实施特定项目的专项审计或审计调查，纠正或责成纠正区级审计机关违反国家规定作出的审计决定。按照干部管理权限协管区级审计机关负责人。</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w:t>
            </w:r>
            <w:r>
              <w:rPr>
                <w:rFonts w:hint="eastAsia" w:ascii="仿宋_GB2312" w:hAnsi="仿宋_GB2312" w:eastAsia="仿宋_GB2312" w:cs="仿宋_GB2312"/>
                <w:color w:val="auto"/>
                <w:kern w:val="0"/>
                <w:sz w:val="21"/>
                <w:szCs w:val="21"/>
                <w:highlight w:val="none"/>
                <w:u w:val="none"/>
              </w:rPr>
              <w:t>组织开展审计领域对外交流与合作，指导和推广信息技术在审计领域的应用。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11.</w:t>
            </w:r>
            <w:r>
              <w:rPr>
                <w:rFonts w:hint="eastAsia" w:ascii="仿宋_GB2312" w:hAnsi="仿宋_GB2312" w:eastAsia="仿宋_GB2312" w:cs="仿宋_GB2312"/>
                <w:color w:val="auto"/>
                <w:kern w:val="0"/>
                <w:sz w:val="21"/>
                <w:szCs w:val="21"/>
                <w:highlight w:val="none"/>
                <w:u w:val="none"/>
              </w:rPr>
              <w:t>完成上级交办的其他任务。</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w:t>
            </w:r>
            <w:r>
              <w:rPr>
                <w:rFonts w:hint="eastAsia" w:ascii="仿宋_GB2312" w:hAnsi="仿宋_GB2312" w:eastAsia="仿宋_GB2312" w:cs="仿宋_GB2312"/>
                <w:color w:val="auto"/>
                <w:kern w:val="0"/>
                <w:sz w:val="21"/>
                <w:szCs w:val="21"/>
                <w:highlight w:val="none"/>
                <w:u w:val="none"/>
              </w:rPr>
              <w:t>职能转变。进一步完善审计管理体制，加强全市审计工作统筹，明晰各级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年度工作任务</w:t>
            </w:r>
          </w:p>
        </w:tc>
        <w:tc>
          <w:tcPr>
            <w:tcW w:w="775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立足于“防未病”，筑牢财政财务收支安全防线。持续加大内部审计监督指导力度，督促市直单位健全完善内部审计工作机制，多措并举推动内部审计工作质量提升。持续加大履责风险提示力度，运用大数据审计方式，督促被审计单位完善和执行重大经济事项决策和规章制度，提前介入防范风险。持续加大廉政警示提醒力度，深入开展审计案例剖析，多维度梳理多发、易发的问题清单，警示领导干部守好廉政底线。</w:t>
            </w:r>
            <w:r>
              <w:rPr>
                <w:rFonts w:hint="eastAsia" w:ascii="仿宋_GB2312" w:hAnsi="仿宋_GB2312" w:eastAsia="仿宋_GB2312" w:cs="仿宋_GB2312"/>
                <w:color w:val="auto"/>
                <w:kern w:val="0"/>
                <w:sz w:val="21"/>
                <w:szCs w:val="21"/>
                <w:highlight w:val="none"/>
                <w:u w:val="none"/>
                <w:lang w:val="en-US" w:eastAsia="zh-CN"/>
              </w:rPr>
              <w:br w:type="textWrapping"/>
            </w:r>
            <w:r>
              <w:rPr>
                <w:rFonts w:hint="eastAsia" w:ascii="仿宋_GB2312" w:hAnsi="仿宋_GB2312" w:eastAsia="仿宋_GB2312" w:cs="仿宋_GB2312"/>
                <w:color w:val="auto"/>
                <w:kern w:val="0"/>
                <w:sz w:val="21"/>
                <w:szCs w:val="21"/>
                <w:highlight w:val="none"/>
                <w:u w:val="none"/>
                <w:lang w:val="en-US" w:eastAsia="zh-CN"/>
              </w:rPr>
              <w:t>2.立足于服务中心大局，围绕五大重点开展深度审计。一是开展预算执行审计，着力揭示违反中央八项规定及其实施细则精神等问题，加强财政资金监管。二是开展政府投资审计，着力揭示武汉新城和花湖机场两大战略范围内重点工程的招投标、隐蔽工程及资金使用等环节存在的问题，为重大项目落实落地提供保障。三是开展民生领域审计，着力揭示截留挪用、贪污侵占、优亲厚友等违纪违法问题，促进惠民政策和资金落实到位。四是开展领导干部经济责任审计，围绕权力集中、资金密集、资源富集领域，着力揭示财政财务风险、廉政风险，促进领导干部担当作为。五是开展自然资产资产审计，着力探索建立党委、政府领导干部自然资源资产审计评价指标体系，实现精准打分、精准“画像”。</w:t>
            </w:r>
            <w:r>
              <w:rPr>
                <w:rFonts w:hint="eastAsia" w:ascii="仿宋_GB2312" w:hAnsi="仿宋_GB2312" w:eastAsia="仿宋_GB2312" w:cs="仿宋_GB2312"/>
                <w:color w:val="auto"/>
                <w:kern w:val="0"/>
                <w:sz w:val="21"/>
                <w:szCs w:val="21"/>
                <w:highlight w:val="none"/>
                <w:u w:val="none"/>
                <w:lang w:val="en-US" w:eastAsia="zh-CN"/>
              </w:rPr>
              <w:br w:type="textWrapping"/>
            </w:r>
            <w:r>
              <w:rPr>
                <w:rFonts w:hint="eastAsia" w:ascii="仿宋_GB2312" w:hAnsi="仿宋_GB2312" w:eastAsia="仿宋_GB2312" w:cs="仿宋_GB2312"/>
                <w:color w:val="auto"/>
                <w:kern w:val="0"/>
                <w:sz w:val="21"/>
                <w:szCs w:val="21"/>
                <w:highlight w:val="none"/>
                <w:u w:val="none"/>
                <w:lang w:val="en-US" w:eastAsia="zh-CN"/>
              </w:rPr>
              <w:t>3.立足于整改“下半篇”文章，加强审计监督与其他各类监督贯通协同。一是推动全面整改，联合行业主管部门开展审计查出问题整改“回头看”，全周期建账，全口径督办，严格销号管理，实现问题“清零”。二是开展专项整改，借助市委审计委员会成员单位职能优势，联合相关部门开展审计整改专项督导，促进审计成果有效运用。三是实施重点督办，加大纪审、巡审协同力度，推动计划共商、进点共驻、信息共享、成果共用、整改共促。</w:t>
            </w:r>
            <w:r>
              <w:rPr>
                <w:rFonts w:hint="eastAsia" w:ascii="仿宋_GB2312" w:hAnsi="仿宋_GB2312" w:eastAsia="仿宋_GB2312" w:cs="仿宋_GB2312"/>
                <w:color w:val="auto"/>
                <w:kern w:val="0"/>
                <w:sz w:val="21"/>
                <w:szCs w:val="21"/>
                <w:highlight w:val="none"/>
                <w:u w:val="none"/>
                <w:lang w:val="en-US" w:eastAsia="zh-CN"/>
              </w:rPr>
              <w:br w:type="textWrapping"/>
            </w:r>
            <w:r>
              <w:rPr>
                <w:rFonts w:hint="eastAsia" w:ascii="仿宋_GB2312" w:hAnsi="仿宋_GB2312" w:eastAsia="仿宋_GB2312" w:cs="仿宋_GB2312"/>
                <w:color w:val="auto"/>
                <w:kern w:val="0"/>
                <w:sz w:val="21"/>
                <w:szCs w:val="21"/>
                <w:highlight w:val="none"/>
                <w:u w:val="none"/>
                <w:lang w:val="en-US" w:eastAsia="zh-CN"/>
              </w:rPr>
              <w:t>4.立足于经济责任审计，探索提升财政资金绩效和行政效能新路径。一是沿着“政治-政策-项目-资金”主线，围绕财政资金运行脉络，从资金角度入手反映财政政策运行实效，聚焦财政资源统筹、财政资金支出、预算绩效管理等方面堵点和难点，研究提出破解对策，促进财政资金提质增效。二是沿着“部门-职责-岗位-资金”主线，围绕单位职能作用有效发挥，从效能角度入手反映经济责任履行实绩，聚焦经济社会发展实效、行政权力规范运行，厘清各行业当前经济发展和社会管理中制度性漏洞、体制性缺陷和机制性障碍，通过“问效”找根源，促进提高行政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（截止</w:t>
            </w:r>
            <w:r>
              <w:rPr>
                <w:rFonts w:hint="eastAsia" w:ascii="仿宋_GB2312" w:hAnsi="仿宋_GB2312" w:eastAsia="仿宋_GB2312" w:cs="仿宋_GB2312"/>
                <w:color w:val="auto"/>
                <w:kern w:val="0"/>
                <w:sz w:val="21"/>
                <w:szCs w:val="21"/>
                <w:highlight w:val="none"/>
                <w:u w:val="none"/>
                <w:lang w:val="en-US" w:eastAsia="zh-CN"/>
              </w:rPr>
              <w:t>2026</w:t>
            </w:r>
            <w:r>
              <w:rPr>
                <w:rFonts w:hint="eastAsia" w:ascii="仿宋_GB2312" w:hAnsi="仿宋_GB2312" w:eastAsia="仿宋_GB2312" w:cs="仿宋_GB2312"/>
                <w:color w:val="auto"/>
                <w:kern w:val="0"/>
                <w:sz w:val="21"/>
                <w:szCs w:val="21"/>
                <w:highlight w:val="none"/>
                <w:u w:val="none"/>
              </w:rPr>
              <w:t>年）</w:t>
            </w:r>
          </w:p>
        </w:tc>
        <w:tc>
          <w:tcPr>
            <w:tcW w:w="7759" w:type="dxa"/>
            <w:gridSpan w:val="1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对公共资金、国有资产、国有资源及领导干部履行经济责任情况进行全面审计，实现有重点、有深度、有步骤、有成效的审计全覆盖，使审计监督对象更加完整、审计监督内容更加宏观。坚持依法独立行使审计监督权，审计过程中，坚持问题导向，严肃查处损害国家和人民利益、重大违纪违法、重大损失浪费等问题，对以权谋私、权钱交易、骗取财政资金、贪污受贿等违法犯罪问题，做到“零容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效指标</w:t>
            </w: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86%</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“三公”经费变动率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完全相符</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完全合规</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完成审计（调查）单位数</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≥32个</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核心业务产出2</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提交的审计信息被公开媒体采用公示数量</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≥5篇</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审计项目计划完成率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审计报告和专项审计调查报告完成率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案件移交通过率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审计问题整改率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7</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审计项目完成及时率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查出各类问题资金，挽回国家经济损失</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≥20亿元</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向人大汇报或社会公开公告审计结果的审计项目</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≥10个</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被审计对象满意率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年度目标：</w:t>
            </w:r>
          </w:p>
        </w:tc>
        <w:tc>
          <w:tcPr>
            <w:tcW w:w="7759" w:type="dxa"/>
            <w:gridSpan w:val="1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1.立足于“防未病”，筑牢财政财务收支安全防线。                </w:t>
            </w:r>
            <w:r>
              <w:rPr>
                <w:rFonts w:hint="eastAsia" w:ascii="仿宋_GB2312" w:hAnsi="仿宋_GB2312" w:eastAsia="仿宋_GB2312" w:cs="仿宋_GB2312"/>
                <w:color w:val="auto"/>
                <w:kern w:val="0"/>
                <w:sz w:val="21"/>
                <w:szCs w:val="21"/>
                <w:highlight w:val="none"/>
                <w:u w:val="none"/>
                <w:lang w:val="en-US" w:eastAsia="zh-CN"/>
              </w:rPr>
              <w:t xml:space="preserve">          </w:t>
            </w:r>
            <w:r>
              <w:rPr>
                <w:rFonts w:hint="eastAsia" w:ascii="仿宋_GB2312" w:hAnsi="仿宋_GB2312" w:eastAsia="仿宋_GB2312" w:cs="仿宋_GB2312"/>
                <w:color w:val="auto"/>
                <w:kern w:val="0"/>
                <w:sz w:val="21"/>
                <w:szCs w:val="21"/>
                <w:highlight w:val="none"/>
                <w:u w:val="none"/>
              </w:rPr>
              <w:t xml:space="preserve">  2.立足于服务中心大局，围绕五大重点开展深度审计。          </w:t>
            </w:r>
            <w:r>
              <w:rPr>
                <w:rFonts w:hint="eastAsia" w:ascii="仿宋_GB2312" w:hAnsi="仿宋_GB2312" w:eastAsia="仿宋_GB2312" w:cs="仿宋_GB2312"/>
                <w:color w:val="auto"/>
                <w:kern w:val="0"/>
                <w:sz w:val="21"/>
                <w:szCs w:val="21"/>
                <w:highlight w:val="none"/>
                <w:u w:val="none"/>
                <w:lang w:val="en-US" w:eastAsia="zh-CN"/>
              </w:rPr>
              <w:t xml:space="preserve">           </w:t>
            </w:r>
            <w:r>
              <w:rPr>
                <w:rFonts w:hint="eastAsia" w:ascii="仿宋_GB2312" w:hAnsi="仿宋_GB2312" w:eastAsia="仿宋_GB2312" w:cs="仿宋_GB2312"/>
                <w:color w:val="auto"/>
                <w:kern w:val="0"/>
                <w:sz w:val="21"/>
                <w:szCs w:val="21"/>
                <w:highlight w:val="none"/>
                <w:u w:val="none"/>
              </w:rPr>
              <w:t xml:space="preserve">   3.立足于整改“下半篇”文章，加强审计监督与其他各类监督贯通协同。                                          4.立足于经济责任审计，探索提升财政资金绩效和行政效能新路径。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年度绩效指标</w:t>
            </w: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16"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676" w:type="dxa"/>
            <w:tcBorders>
              <w:righ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458" w:type="dxa"/>
            <w:gridSpan w:val="4"/>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95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100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近两年指标值</w:t>
            </w:r>
          </w:p>
        </w:tc>
        <w:tc>
          <w:tcPr>
            <w:tcW w:w="767"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预期当年实现值</w:t>
            </w:r>
          </w:p>
        </w:tc>
        <w:tc>
          <w:tcPr>
            <w:tcW w:w="95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00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 xml:space="preserve"> 年</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 xml:space="preserve"> 年</w:t>
            </w:r>
          </w:p>
        </w:tc>
        <w:tc>
          <w:tcPr>
            <w:tcW w:w="767"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5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004"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97</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86%</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w:t>
            </w:r>
            <w:bookmarkStart w:id="0" w:name="_GoBack"/>
            <w:bookmarkEnd w:id="0"/>
            <w:r>
              <w:rPr>
                <w:rFonts w:hint="eastAsia" w:ascii="仿宋_GB2312" w:hAnsi="仿宋_GB2312" w:eastAsia="仿宋_GB2312" w:cs="仿宋_GB2312"/>
                <w:color w:val="auto"/>
                <w:kern w:val="0"/>
                <w:sz w:val="21"/>
                <w:szCs w:val="21"/>
                <w:highlight w:val="none"/>
                <w:u w:val="none"/>
              </w:rPr>
              <w:t>变动率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完全相符</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完全相符</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完全相符</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完全合规</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完全合规</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完全合规</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完成审计（调查）单位数</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≥53个</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≥40个</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≥32个</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核心业务产出2</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提交的审计信息被公开媒体采用公示数量</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≥5篇</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≥5篇</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≥5篇</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审计项目计划完成率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审计报告和专项审计调查报告完成率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案件移交通过率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审计问题整改率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7</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审计项目完成及时率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查出各类问题资金，挽回国家经济损失</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≥45亿元</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≥20亿元</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≥20亿元</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向人大汇报或社会公开公告审计结果的审计项目</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≥20个</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≥20个</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≥10个</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被审计对象满意率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DAD0E1C"/>
    <w:rsid w:val="1CA22253"/>
    <w:rsid w:val="212C2F24"/>
    <w:rsid w:val="2B9140F2"/>
    <w:rsid w:val="2C365954"/>
    <w:rsid w:val="30240E53"/>
    <w:rsid w:val="30CE33D5"/>
    <w:rsid w:val="388B350E"/>
    <w:rsid w:val="398F1C44"/>
    <w:rsid w:val="461C08A6"/>
    <w:rsid w:val="4BBD3CA5"/>
    <w:rsid w:val="54A30996"/>
    <w:rsid w:val="7C63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customStyle="1" w:styleId="5">
    <w:name w:val="正文缩进 + 首行缩进:  2 字符"/>
    <w:basedOn w:val="1"/>
    <w:autoRedefine/>
    <w:qFormat/>
    <w:uiPriority w:val="0"/>
    <w:pPr>
      <w:spacing w:line="560" w:lineRule="exact"/>
      <w:ind w:firstLine="640"/>
    </w:pPr>
    <w:rPr>
      <w:rFonts w:ascii="Times New Roman" w:hAnsi="Times New Roman" w:eastAsia="仿宋_GB2312" w:cs="宋体"/>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5069</Words>
  <Characters>5455</Characters>
  <Lines>0</Lines>
  <Paragraphs>0</Paragraphs>
  <TotalTime>1</TotalTime>
  <ScaleCrop>false</ScaleCrop>
  <LinksUpToDate>false</LinksUpToDate>
  <CharactersWithSpaces>5565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2024-05-24T11:43:45Z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