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67"/>
        <w:gridCol w:w="514"/>
        <w:gridCol w:w="29"/>
        <w:gridCol w:w="790"/>
        <w:gridCol w:w="617"/>
        <w:gridCol w:w="91"/>
        <w:gridCol w:w="626"/>
        <w:gridCol w:w="470"/>
        <w:gridCol w:w="569"/>
        <w:gridCol w:w="452"/>
        <w:gridCol w:w="475"/>
        <w:gridCol w:w="475"/>
        <w:gridCol w:w="131"/>
        <w:gridCol w:w="278"/>
        <w:gridCol w:w="705"/>
        <w:gridCol w:w="4"/>
        <w:gridCol w:w="74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80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鄂州市生态环境局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填报人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吕迎春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0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027-60281807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部门总体资金情况</w:t>
            </w:r>
          </w:p>
        </w:tc>
        <w:tc>
          <w:tcPr>
            <w:tcW w:w="4004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总体资金情况</w:t>
            </w:r>
          </w:p>
        </w:tc>
        <w:tc>
          <w:tcPr>
            <w:tcW w:w="102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当年金额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占比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0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构成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财政拨款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8375.24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5169.10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6030.88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财政专户管理资金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单位资金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108.27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 w:bidi="ar-SA"/>
              </w:rPr>
              <w:t>28.29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合  计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8375.24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5277.37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6059.17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构成</w:t>
            </w: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人员类项目支出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2046.76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24.44%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2114.07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2054.05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运转类项目支出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726.21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8.67%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255.35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252.49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特定目标类项目支出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5602.27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66.89%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2907.95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3752.63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合  计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8375.24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5277.37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6059.17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部门职能概述</w:t>
            </w:r>
          </w:p>
        </w:tc>
        <w:tc>
          <w:tcPr>
            <w:tcW w:w="80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鄂州市生态环境局是市政府工作部门，为正县级，下属二级单位3个，分别为市生态环境监测站、市生态环境保护综合执法支队、市大气污染防治管理中心，主要职责是统一行使生态和城乡各类污染排放监管与行政执法，切实履行监管责任，全面落实大气、水、土壤污染防治行动计划。构建政府为主导、企业为主体、社会组织和公众共同参与的生态环境治理体系，实行最严格的生态环境保护制度，严守生态保护红线和环境质量底线，坚决打好污染防治攻坚战，保障全市生态安全，建设美丽鄂州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年度工作任务</w:t>
            </w:r>
          </w:p>
        </w:tc>
        <w:tc>
          <w:tcPr>
            <w:tcW w:w="80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  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集中抓好突出生态环境问题整改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二是持续深入推进污染防治攻坚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三是全域推进生态示范创建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四是加快构建现代环境治理体系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五是着力强化生态环境监管执法。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 xml:space="preserve"> 年）</w:t>
            </w:r>
          </w:p>
        </w:tc>
        <w:tc>
          <w:tcPr>
            <w:tcW w:w="8025" w:type="dxa"/>
            <w:gridSpan w:val="1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生态环境质量持续改善，推进生态保护和绿色发展水平不断提升，助力全市经济社会绿色高质量发展。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效指标</w:t>
            </w:r>
          </w:p>
        </w:tc>
        <w:tc>
          <w:tcPr>
            <w:tcW w:w="138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指标值确定依据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成本</w:t>
            </w:r>
          </w:p>
        </w:tc>
        <w:tc>
          <w:tcPr>
            <w:tcW w:w="15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≤100%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在职人员控制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人员控制率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≤100%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会议费控制率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“三公”经费变动率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效率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战略管理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中长期规划相符性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完全相符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工作计划健全性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预算编制科学性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科学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预算编制合理性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立项规范性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预算调整率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结转结余率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政府采购执行率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≥70%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非税收入预算完成率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≥55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绩效管理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事前绩效评估完成率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绩效目标合理性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合理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绩效监控开展率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绩效评价覆盖率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评价结果应用率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资产管理制度健全性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资产管理规范性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财务管理制度健全性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会计核算规范性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资金使用合规性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合规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效能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创建省级示范村个数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完成省下达目标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完成农村环境整治村个数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完成省下达目标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县级及以上集中式饮用水源地水质达标率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不发生重特大环境污染责任事故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重点建设用地安全利用率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辐射环境继续保持安全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城市PM2.5累计均值浓度（微克/立方米）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完成省下达目标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地表水质量劣V类水体比例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效应</w:t>
            </w:r>
          </w:p>
        </w:tc>
        <w:tc>
          <w:tcPr>
            <w:tcW w:w="15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通过改善环境质量促进地方经济发展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促进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通过改善环境质量，减少环境污染，构建良好的人居环境。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改善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通过环境质量的改善，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进建设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绿色生态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鄂州。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体制机制改革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服务体制改革成效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行政管理体制改革成效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人才支撑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业务学习与培训完成率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≥20%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科技支撑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信息化建设情况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合规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共享数据使用率（%）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满意度</w:t>
            </w:r>
          </w:p>
        </w:tc>
        <w:tc>
          <w:tcPr>
            <w:tcW w:w="15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社会满意度（%）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1" w:type="dxa"/>
            <w:gridSpan w:val="2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行政许可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业务及时办结率（%）</w:t>
            </w:r>
          </w:p>
        </w:tc>
        <w:tc>
          <w:tcPr>
            <w:tcW w:w="153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年度目标：</w:t>
            </w:r>
          </w:p>
        </w:tc>
        <w:tc>
          <w:tcPr>
            <w:tcW w:w="8025" w:type="dxa"/>
            <w:gridSpan w:val="18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全市细颗粒物年均浓度（PM2.5）、空气质量优良天数比例达到省政府考核要求；重点水体水质稳中趋好，省控断面（含国控）水质优良率达到71.4%以上，县级及以上集中式饮用水源地水质达标率为100％；全面完成省政府下达的主要污染物总量减排目标任务；不发生重特大环境污染责任事故；重点建设用地安全利用得到有效保障；辐射环境继续保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年度绩效指标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334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285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78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指标值确定依据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6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近两年指标值</w:t>
            </w:r>
          </w:p>
        </w:tc>
        <w:tc>
          <w:tcPr>
            <w:tcW w:w="884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预期当年实现值</w:t>
            </w:r>
          </w:p>
        </w:tc>
        <w:tc>
          <w:tcPr>
            <w:tcW w:w="78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884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8" w:type="dxa"/>
            <w:vMerge w:val="continue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成本</w:t>
            </w:r>
          </w:p>
        </w:tc>
        <w:tc>
          <w:tcPr>
            <w:tcW w:w="133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≤100%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在职人员控制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人员控制率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58.18%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61.82%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≤100%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项目支出成本控制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会议费控制率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变动率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效率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战略管理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中长期规划相符性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相符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相符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相符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工作计划健全性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预算编制科学性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科学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科学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科学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预算编制合理性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立项规范性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预算调整率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结转结余率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48.26%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29.68%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政府采购执行率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81.92%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53.86%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≥70%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非税收入预算完成率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63.14%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57.41%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绩效管理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事前绩效评估完成率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绩效目标合理性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合理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合理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合理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绩效监控开展率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绩效评价覆盖率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评价结果应用率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资产管理制度健全性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资产管理规范性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财务管理制度健全性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会计核算规范性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资金使用合规性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合规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合规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合规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效能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创建省级示范村个数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完成农村环境整治村个数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创建</w:t>
            </w: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县级及以上集中式饮用水源地水质达标率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不发生重特大环境污染责任事故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重点建设用地安全利用率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辐射环境继续保持安全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城市PM2.5累计均值浓度（微克/立方米）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33.7μg/m3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37.2μg/m3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完成省下达目标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地表水质量劣V类水体比例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效应</w:t>
            </w:r>
          </w:p>
        </w:tc>
        <w:tc>
          <w:tcPr>
            <w:tcW w:w="133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通过改善环境质量促进地方经济发展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促进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促进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促进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通过改善环境质量，减少环境污染，构建良好的人居环境。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改善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改善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改善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通过环境质量的改善，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进建设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绿色生态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鄂州。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推进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其他标准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可持续发展能力</w:t>
            </w: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体制机制改革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服务体制改革成效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行政管理体制改革成效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人才支撑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业务学习与培训完成率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干部队伍体系建设规划情况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高学历、高层次人才储备率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 w:eastAsia="zh-CN"/>
              </w:rPr>
              <w:t>19.15%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"/>
              </w:rPr>
              <w:t>22.11%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≥20%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科技支撑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信息化建设情况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合规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合规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合规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共享数据使用率（%）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满意度</w:t>
            </w:r>
          </w:p>
        </w:tc>
        <w:tc>
          <w:tcPr>
            <w:tcW w:w="133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社会满意度（%）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41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联系部门满意度</w:t>
            </w:r>
          </w:p>
        </w:tc>
        <w:tc>
          <w:tcPr>
            <w:tcW w:w="133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行政许可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业务及时办结率（%）</w:t>
            </w:r>
          </w:p>
        </w:tc>
        <w:tc>
          <w:tcPr>
            <w:tcW w:w="103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2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≥90%</w:t>
            </w:r>
          </w:p>
        </w:tc>
        <w:tc>
          <w:tcPr>
            <w:tcW w:w="78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8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9FB666F"/>
    <w:rsid w:val="1BF33732"/>
    <w:rsid w:val="1CA22253"/>
    <w:rsid w:val="212C2F24"/>
    <w:rsid w:val="24F649B4"/>
    <w:rsid w:val="2C365954"/>
    <w:rsid w:val="2E8438E1"/>
    <w:rsid w:val="30240E53"/>
    <w:rsid w:val="368D2D65"/>
    <w:rsid w:val="38504F5E"/>
    <w:rsid w:val="388B350E"/>
    <w:rsid w:val="4FDE783A"/>
    <w:rsid w:val="5FFCF9C1"/>
    <w:rsid w:val="66E6B607"/>
    <w:rsid w:val="6DF139EF"/>
    <w:rsid w:val="72F3B075"/>
    <w:rsid w:val="77FB36F2"/>
    <w:rsid w:val="7B724F73"/>
    <w:rsid w:val="9FEDEB0D"/>
    <w:rsid w:val="B7EF283B"/>
    <w:rsid w:val="BCD798AF"/>
    <w:rsid w:val="FBDEF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3048</Words>
  <Characters>3487</Characters>
  <Lines>0</Lines>
  <Paragraphs>0</Paragraphs>
  <TotalTime>323</TotalTime>
  <ScaleCrop>false</ScaleCrop>
  <LinksUpToDate>false</LinksUpToDate>
  <CharactersWithSpaces>3511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2024-01-25T07:26:00Z</dcterms:created>
  <dc:creator>倒亚指芭绦</dc:creator>
  <cp:lastModifiedBy>远烟</cp:lastModifiedBy>
  <cp:lastPrinted>2024-01-30T01:02:00Z</cp:lastPrinted>
  <dcterms:modified xsi:type="dcterms:W3CDTF">2024-05-24T11:30:41Z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