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hint="eastAsia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4"/>
        <w:tblpPr w:leftFromText="181" w:rightFromText="181" w:vertAnchor="text" w:horzAnchor="page" w:tblpX="1486" w:tblpY="1"/>
        <w:tblOverlap w:val="never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23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63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鄂州市商务局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张赛球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3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027-60265422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4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4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8167.74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6289.58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5347.75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8167.74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6289.58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5347.75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1546.73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18.94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1648.54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1774.61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248.35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3.04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257.32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6372.66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78.02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4383.72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3339.29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8167.74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6289.58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5347.75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贯彻落实国家、省、市有关投资促进、国际国内经济合作、对外开放、招商引资、内外贸易和口岸建设的发展战略、方针、政策；制定并组织实施商务领域的规章、制度、标准和发展规划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  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负责商务系统涉及世贸组织相关事务的研究、指导和服务工作；组织协调反倾销、反补贴、保障措施及其他与进出口公平贸易相关的工作；组织产业损害调查，受理并调查处理招商引资、内外贸易、市场流通和饮食服务等商务投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深化流通体制改革，研究制定规范市场体系及流通秩序的政策，促进内外贸结合，建立健全统一、开放、竞争、有序的市场体系；监测分析市场运行和商品供求状况。组织实施重要消费品市场流通管理；研究提出市场供求应急预案，组织培育现代物流方式，推进流通产业结构调整，促进城乡市场共同发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4.调查研究流通和饮食服务行业重大问题并提出政策性建议；负责流通领域食品安全体系建设和畜禽屠宰监管，对食盐、酒类、成品油等重要商品的流通和饮食服务行业进行管理；负责拍卖、典当、实物租赁、旧货流通等特殊行业流通活动的规划、监督和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5.执行国家、省、市制定的进出口商品管理办法、进出口商品目录和进出口商品配额招标政策；贯彻执行国家机电产品进出口战略、方针和政策；统筹管理商品进出口和技术贸易工，负责进出口配额计划的编报和组织实施及配额、许可证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6.负责监督外来投资企业执行有关法律法规、规章及合同、章程的情况；指导并管理招商引资、投资促进及外商投资企业的备案报批和进出口工作，加强与境外、省外、市外的经济技术合作与交流；综合协调和指导省级、市级经济技术开发区的有关具体工作；负责省外、境外常驻商务代表机构的设立和管理；负责出国商务考察团组的报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制定并实施对外开放、招商引资政策；指导和管理招商引资、投资促进及投资企业的审批、备案工作；负责重大招商引资活动和各类商务展会的组织、实施工作；归口管理各类涉外商务交易会、展览展销会、投资贸易洽谈会等活动；制定并实施举办上述活动的管理办法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8.负责市级商务新闻发布会、信息收集、对外宣传和提供信息咨询服务：指导并组织实施投资促进、招商引资、对外合作和流通领域的信息网络、电子商务建设。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9.指导县（区）商务（招商引资）工作。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76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年全市商务发展的主要预期目标是：社会消费品零售总额同比增长10%；外贸出口总额同比增长12%左右；实际利用外资同比增长10%。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全市商务工作主要任务是: 一是促进形成强大内需市场。推动吾悦广场、武汉东商圈等传统消费平台升级，引导企业开展规模性、精准性促消费活动，做强“荆楚优品”区域公用品牌。发展会展经济、高品质生活性服务业、直播电商、绿色消费等新消费模式。打造社区“一刻钟便民生活圈”，深化电子商务进农村覆盖面，优化流通网络。开展升限入库专项行动和电子商务示范企业创建活动，壮大流通主体。二是推进对外贸易创新发展。实施“一提一扩一转”工程，开展“百展行动”、“荆楚云展”系列活动，实施对外贸易综合服务全覆盖工程，探索建设跨境电商产业园，创新发展服务贸易，完善外经贸企业扶持政策，优化营商环境。三是加快搭建高水平开放引擎。加快鄂州空港综合保税区的申报和建设，稳步推进“空水两口岸”建设，继续开展海关监管政策创新研究，积极推进武汉自贸片区扩容事宜，复制推广自贸区成功经验，优化对外开放环境。四是聚焦重点招引优质企业。依托鄂州花湖机场项目契机，围绕航空枢纽建设，着力引进电商、外资、商贸服务等行业头部企业，补齐城市发展功能短板，推动产业结构优化升级。五是打造平安稳定高效商务环境。深化“放管服”改革，加强事中事后监管，推进商务领域诚信建设。加强市场信息监测预警，落实应急保供和重要商品储备，抓好商贸（成品油）领域安全生产，妥善处理矛盾纠纷，持续巩固疫情防控和脱贫攻坚成果，以良好商务环境推动鄂州商务高质量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管理好自有明堂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市场工贸市场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、八卦石市场，保持所管理市场的繁荣和稳定，保证市民民生物资充足，流通有序、购物方便。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765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年全市实现社会消费品零售总额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预计比上年同比增长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10%。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年全市预计完成外贸进出口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65.7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出口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35.6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进口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30.1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年全市预计完成实际利用外资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1155.8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万美元，同比增长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88.86%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95.65%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96.58%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46.81%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0.4%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91.76%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9.8%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社会消费品零售总额增长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7.5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完成外贸进出口亿元人民币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58.7亿元人民币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完成实际利用外资万美元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1050.72亿美元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社会消费品零售总额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稳步增长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稳定市场，促进再就业，扩大消费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再生资源回收，循环利用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有效提升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成效显著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稳步推进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初步完成成品油云监管平台建设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编制跨境电子商务项目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促进跨境电子商务发展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消费券使用客户满意度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财政、商贸系统等满意度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23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765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年全市实现社会消费品零售总额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预计比上年同比增长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10%。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年全市预计完成外贸进出口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65.7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出口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35.6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进口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30.1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亿元，同比增长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年全市预计完成实际利用外资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1155.8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万美元，同比增长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5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6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5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85.63%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88.86%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96.36%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95.65%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95.81%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96.58%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86.52%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46.81%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0.8%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0.4%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0.5%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95.21%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91.76%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9.8%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社会消费品零售总额增长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val="en-US" w:eastAsia="zh-CN"/>
              </w:rPr>
              <w:t>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完成外贸进出口亿元人民币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53.36亿元人民币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58.7亿元人民币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64.57亿元人民币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完成实际利用外资万美元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901.13亿美元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955.2亿美元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1050.72亿美元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实现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</w:rPr>
              <w:t>社会消费品零售总额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none"/>
                <w:lang w:eastAsia="zh-CN"/>
              </w:rPr>
              <w:t>稳步增长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6.5%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增长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稳定市场，促进再就业，扩大消费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再生资源回收，循环利用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有效提升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有效提升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有效提升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成效显著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成效显著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成效显著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稳步推进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稳步推进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稳步推进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初步完成成品油云监管平台建设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初步完成成品油云监管平台建设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初步完成成品油云监管平台建设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编制跨境电子商务项目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促进跨境电子商务发展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促进跨境电子商务发展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促进跨境电子商务发展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消费券使用客户满意度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财政、商贸系统等满意度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6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60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0715DAB"/>
    <w:rsid w:val="071C1AB9"/>
    <w:rsid w:val="0C836A27"/>
    <w:rsid w:val="0ED40DFE"/>
    <w:rsid w:val="154A75D7"/>
    <w:rsid w:val="193E0AFF"/>
    <w:rsid w:val="19E21966"/>
    <w:rsid w:val="1CA22253"/>
    <w:rsid w:val="1F5951D6"/>
    <w:rsid w:val="212C2F24"/>
    <w:rsid w:val="219926BA"/>
    <w:rsid w:val="2A927C50"/>
    <w:rsid w:val="2B650917"/>
    <w:rsid w:val="2C365954"/>
    <w:rsid w:val="2D9827B3"/>
    <w:rsid w:val="30240E53"/>
    <w:rsid w:val="32291DEB"/>
    <w:rsid w:val="34401473"/>
    <w:rsid w:val="347079F0"/>
    <w:rsid w:val="388B350E"/>
    <w:rsid w:val="41497365"/>
    <w:rsid w:val="42AA1D80"/>
    <w:rsid w:val="46181668"/>
    <w:rsid w:val="473E758C"/>
    <w:rsid w:val="4A9216E3"/>
    <w:rsid w:val="4D533A2B"/>
    <w:rsid w:val="507021CA"/>
    <w:rsid w:val="57315B79"/>
    <w:rsid w:val="5C8A0E8F"/>
    <w:rsid w:val="5D75082F"/>
    <w:rsid w:val="5E042D06"/>
    <w:rsid w:val="62E349BD"/>
    <w:rsid w:val="67CB2476"/>
    <w:rsid w:val="6A1B32E7"/>
    <w:rsid w:val="79FD58D5"/>
    <w:rsid w:val="7A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4104</Words>
  <Characters>4632</Characters>
  <Lines>0</Lines>
  <Paragraphs>0</Paragraphs>
  <TotalTime>1</TotalTime>
  <ScaleCrop>false</ScaleCrop>
  <LinksUpToDate>false</LinksUpToDate>
  <CharactersWithSpaces>4687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2024-01-30T09:05:00Z</cp:lastPrinted>
  <dcterms:modified xsi:type="dcterms:W3CDTF">2024-05-25T07:59:07Z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A12B307188FD47EB84BB23D1C987BF17_13</vt:lpwstr>
  </property>
</Properties>
</file>