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9"/>
        <w:gridCol w:w="794"/>
        <w:gridCol w:w="29"/>
        <w:gridCol w:w="1407"/>
        <w:gridCol w:w="91"/>
        <w:gridCol w:w="1096"/>
        <w:gridCol w:w="569"/>
        <w:gridCol w:w="361"/>
        <w:gridCol w:w="242"/>
        <w:gridCol w:w="147"/>
        <w:gridCol w:w="783"/>
        <w:gridCol w:w="29"/>
        <w:gridCol w:w="930"/>
        <w:gridCol w:w="24"/>
        <w:gridCol w:w="4"/>
        <w:gridCol w:w="50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名称</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鄂州市退役军人事务局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朱晓玲</w:t>
            </w:r>
            <w:r>
              <w:rPr>
                <w:rFonts w:hint="eastAsia" w:ascii="仿宋_GB2312" w:hAnsi="仿宋_GB2312" w:eastAsia="仿宋_GB2312" w:cs="仿宋_GB2312"/>
                <w:color w:val="auto"/>
                <w:kern w:val="0"/>
                <w:sz w:val="21"/>
                <w:szCs w:val="21"/>
                <w:highlight w:val="none"/>
                <w:u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联系电话</w:t>
            </w:r>
          </w:p>
        </w:tc>
        <w:tc>
          <w:tcPr>
            <w:tcW w:w="4103"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18872887968</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占比</w:t>
            </w:r>
          </w:p>
        </w:tc>
        <w:tc>
          <w:tcPr>
            <w:tcW w:w="19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3417"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17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959"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年</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5109.9</w:t>
            </w:r>
            <w:r>
              <w:rPr>
                <w:rFonts w:hint="eastAsia" w:ascii="仿宋_GB2312" w:hAnsi="仿宋_GB2312" w:eastAsia="仿宋_GB2312" w:cs="仿宋_GB2312"/>
                <w:color w:val="auto"/>
                <w:kern w:val="0"/>
                <w:sz w:val="21"/>
                <w:szCs w:val="21"/>
                <w:highlight w:val="none"/>
                <w:u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5640.79</w:t>
            </w:r>
            <w:r>
              <w:rPr>
                <w:rFonts w:hint="eastAsia" w:ascii="仿宋_GB2312" w:hAnsi="仿宋_GB2312" w:eastAsia="仿宋_GB2312" w:cs="仿宋_GB2312"/>
                <w:color w:val="auto"/>
                <w:kern w:val="0"/>
                <w:sz w:val="21"/>
                <w:szCs w:val="21"/>
                <w:highlight w:val="none"/>
                <w:u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5434.23</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8.14</w:t>
            </w:r>
            <w:r>
              <w:rPr>
                <w:rFonts w:hint="eastAsia" w:ascii="仿宋_GB2312" w:hAnsi="仿宋_GB2312" w:eastAsia="仿宋_GB2312" w:cs="仿宋_GB2312"/>
                <w:color w:val="auto"/>
                <w:kern w:val="0"/>
                <w:sz w:val="21"/>
                <w:szCs w:val="21"/>
                <w:highlight w:val="none"/>
                <w:u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18.39</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5109.9</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5648.93</w:t>
            </w:r>
            <w:r>
              <w:rPr>
                <w:rFonts w:hint="eastAsia" w:ascii="仿宋_GB2312" w:hAnsi="仿宋_GB2312" w:eastAsia="仿宋_GB2312" w:cs="仿宋_GB2312"/>
                <w:color w:val="auto"/>
                <w:kern w:val="0"/>
                <w:sz w:val="21"/>
                <w:szCs w:val="21"/>
                <w:highlight w:val="none"/>
                <w:u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5452.62</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854.48</w:t>
            </w:r>
            <w:r>
              <w:rPr>
                <w:rFonts w:hint="eastAsia" w:ascii="仿宋_GB2312" w:hAnsi="仿宋_GB2312" w:eastAsia="仿宋_GB2312" w:cs="仿宋_GB2312"/>
                <w:color w:val="auto"/>
                <w:kern w:val="0"/>
                <w:sz w:val="21"/>
                <w:szCs w:val="21"/>
                <w:highlight w:val="none"/>
                <w:u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16.72%</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2043.35</w:t>
            </w:r>
            <w:r>
              <w:rPr>
                <w:rFonts w:hint="eastAsia" w:ascii="仿宋_GB2312" w:hAnsi="仿宋_GB2312" w:eastAsia="仿宋_GB2312" w:cs="仿宋_GB2312"/>
                <w:color w:val="auto"/>
                <w:kern w:val="0"/>
                <w:sz w:val="21"/>
                <w:szCs w:val="21"/>
                <w:highlight w:val="none"/>
                <w:u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687.58</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109.42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2.14%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858.83</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4146</w:t>
            </w:r>
            <w:r>
              <w:rPr>
                <w:rFonts w:hint="eastAsia" w:ascii="仿宋_GB2312" w:hAnsi="仿宋_GB2312" w:eastAsia="仿宋_GB2312" w:cs="仿宋_GB2312"/>
                <w:color w:val="auto"/>
                <w:kern w:val="0"/>
                <w:sz w:val="21"/>
                <w:szCs w:val="21"/>
                <w:highlight w:val="none"/>
                <w:u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81.14%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2746.75</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4653.65</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5109.9</w:t>
            </w:r>
            <w:r>
              <w:rPr>
                <w:rFonts w:hint="eastAsia" w:ascii="仿宋_GB2312" w:hAnsi="仿宋_GB2312" w:eastAsia="仿宋_GB2312" w:cs="仿宋_GB2312"/>
                <w:color w:val="auto"/>
                <w:kern w:val="0"/>
                <w:sz w:val="21"/>
                <w:szCs w:val="21"/>
                <w:highlight w:val="none"/>
                <w:u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5648.93</w:t>
            </w:r>
            <w:r>
              <w:rPr>
                <w:rFonts w:hint="eastAsia" w:ascii="仿宋_GB2312" w:hAnsi="仿宋_GB2312" w:eastAsia="仿宋_GB2312" w:cs="仿宋_GB2312"/>
                <w:color w:val="auto"/>
                <w:kern w:val="0"/>
                <w:sz w:val="21"/>
                <w:szCs w:val="21"/>
                <w:highlight w:val="none"/>
                <w:u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5452.62</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部门职能概述</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1.组织落实退役军人思想政治、管理保障和安置优抚等政策法规。</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2.负责退役军人的移交安置和教育培训、就业创业等工作。</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3.做好伤病残退役军人、困难退役军人、军属、烈属等服务对象的优待、抚恤等工作。</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4.负责烈士及退役军人荣誉奖励、烈士墓管理维护纪念活动等工作，总结表彰和宣扬退役军人先进典型事迹。</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5.指导并监督检查退役军人相关法律法规和政策措施的落实，组织开展退役军人权益维护和有关人员的帮扶援助工作。</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6.指导全市退役军人服务管理工作。</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7.完成上级交办的其他任务。</w:t>
            </w:r>
          </w:p>
          <w:p>
            <w:pPr>
              <w:keepNext w:val="0"/>
              <w:keepLines w:val="0"/>
              <w:pageBreakBefore w:val="0"/>
              <w:widowControl w:val="0"/>
              <w:kinsoku/>
              <w:wordWrap/>
              <w:overflowPunct/>
              <w:topLinePunct w:val="0"/>
              <w:autoSpaceDE/>
              <w:autoSpaceDN/>
              <w:bidi w:val="0"/>
              <w:adjustRightInd/>
              <w:snapToGrid w:val="0"/>
              <w:spacing w:line="280" w:lineRule="exact"/>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年度工作任务</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w:t>
            </w:r>
            <w:r>
              <w:rPr>
                <w:rFonts w:hint="eastAsia" w:ascii="仿宋_GB2312" w:hAnsi="仿宋_GB2312" w:eastAsia="仿宋_GB2312" w:cs="仿宋_GB2312"/>
                <w:color w:val="auto"/>
                <w:kern w:val="0"/>
                <w:sz w:val="21"/>
                <w:szCs w:val="21"/>
                <w:highlight w:val="none"/>
                <w:u w:val="none"/>
                <w:lang w:val="en-US" w:eastAsia="zh-CN"/>
              </w:rPr>
              <w:t>大抓乡镇，巩固一线阵地。以乡镇阵地建设为重点，市区再新增5个、农区再新增20个高标准服务站，进一步夯实基层基础</w:t>
            </w:r>
            <w:r>
              <w:rPr>
                <w:rFonts w:hint="eastAsia" w:ascii="仿宋_GB2312" w:hAnsi="仿宋_GB2312" w:eastAsia="仿宋_GB2312" w:cs="仿宋_GB2312"/>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xml:space="preserve"> </w:t>
            </w:r>
            <w:r>
              <w:rPr>
                <w:rFonts w:hint="eastAsia" w:ascii="仿宋_GB2312" w:hAnsi="仿宋_GB2312" w:eastAsia="仿宋_GB2312" w:cs="仿宋_GB2312"/>
                <w:color w:val="auto"/>
                <w:kern w:val="0"/>
                <w:sz w:val="21"/>
                <w:szCs w:val="21"/>
                <w:highlight w:val="none"/>
                <w:u w:val="none"/>
                <w:lang w:val="en-US" w:eastAsia="zh-CN"/>
              </w:rPr>
              <w:t xml:space="preserve"> </w:t>
            </w:r>
            <w:r>
              <w:rPr>
                <w:rFonts w:hint="eastAsia" w:ascii="仿宋_GB2312" w:hAnsi="仿宋_GB2312" w:eastAsia="仿宋_GB2312" w:cs="仿宋_GB2312"/>
                <w:color w:val="auto"/>
                <w:kern w:val="0"/>
                <w:sz w:val="21"/>
                <w:szCs w:val="21"/>
                <w:highlight w:val="none"/>
                <w:u w:val="none"/>
              </w:rPr>
              <w:t>2.</w:t>
            </w:r>
            <w:r>
              <w:rPr>
                <w:rFonts w:hint="eastAsia" w:ascii="仿宋_GB2312" w:hAnsi="仿宋_GB2312" w:eastAsia="仿宋_GB2312" w:cs="仿宋_GB2312"/>
                <w:color w:val="auto"/>
                <w:kern w:val="0"/>
                <w:sz w:val="21"/>
                <w:szCs w:val="21"/>
                <w:highlight w:val="none"/>
                <w:u w:val="none"/>
                <w:lang w:val="en-US" w:eastAsia="zh-CN"/>
              </w:rPr>
              <w:t>力抓双拥，创全国模范城。加大双拥投入和氛围营造，出台一批巩固军政军民团结、服务部队备战打仗、优待优惠退役军人的新举措，力争创建成功</w:t>
            </w:r>
            <w:r>
              <w:rPr>
                <w:rFonts w:hint="eastAsia" w:ascii="仿宋_GB2312" w:hAnsi="仿宋_GB2312" w:eastAsia="仿宋_GB2312" w:cs="仿宋_GB2312"/>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xml:space="preserve"> </w:t>
            </w:r>
            <w:r>
              <w:rPr>
                <w:rFonts w:hint="eastAsia" w:ascii="仿宋_GB2312" w:hAnsi="仿宋_GB2312" w:eastAsia="仿宋_GB2312" w:cs="仿宋_GB2312"/>
                <w:color w:val="auto"/>
                <w:kern w:val="0"/>
                <w:sz w:val="21"/>
                <w:szCs w:val="21"/>
                <w:highlight w:val="none"/>
                <w:u w:val="none"/>
                <w:lang w:val="en-US" w:eastAsia="zh-CN"/>
              </w:rPr>
              <w:t xml:space="preserve"> 3.善抓引领，发挥导向作用。多途径、多层次引领退役军人积极参与志愿服务、乡村振兴、社会治理、扶贫帮困当中；注重在普通义务兵和农村、社区、民营企业中挖掘培树励志典型，增强“最美退役军人”的影响力和公信力；</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 xml:space="preserve">4.实抓队伍，打造“三优”品牌。以能力提升为切入点，采取走出去、请进来相结合的方式，增强专干队伍的为军服务意识和工作质效，提高应对复杂矛盾问题的能力水平，服务退役军人工作的长远发展。 </w:t>
            </w:r>
            <w:r>
              <w:rPr>
                <w:rFonts w:hint="eastAsia" w:ascii="仿宋_GB2312" w:hAnsi="仿宋_GB2312" w:eastAsia="仿宋_GB2312" w:cs="仿宋_GB2312"/>
                <w:color w:val="auto"/>
                <w:kern w:val="0"/>
                <w:sz w:val="21"/>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（截止</w:t>
            </w:r>
            <w:r>
              <w:rPr>
                <w:rFonts w:hint="eastAsia" w:ascii="仿宋_GB2312" w:hAnsi="仿宋_GB2312" w:eastAsia="仿宋_GB2312" w:cs="仿宋_GB2312"/>
                <w:color w:val="auto"/>
                <w:kern w:val="0"/>
                <w:sz w:val="21"/>
                <w:szCs w:val="21"/>
                <w:highlight w:val="none"/>
                <w:u w:val="none"/>
                <w:lang w:val="en-US" w:eastAsia="zh-CN"/>
              </w:rPr>
              <w:t>2027</w:t>
            </w:r>
            <w:r>
              <w:rPr>
                <w:rFonts w:hint="eastAsia" w:ascii="仿宋_GB2312" w:hAnsi="仿宋_GB2312" w:eastAsia="仿宋_GB2312" w:cs="仿宋_GB2312"/>
                <w:color w:val="auto"/>
                <w:kern w:val="0"/>
                <w:sz w:val="21"/>
                <w:szCs w:val="21"/>
                <w:highlight w:val="none"/>
                <w:u w:val="none"/>
              </w:rPr>
              <w:t xml:space="preserve"> 年）</w:t>
            </w:r>
          </w:p>
        </w:tc>
        <w:tc>
          <w:tcPr>
            <w:tcW w:w="7549" w:type="dxa"/>
            <w:gridSpan w:val="17"/>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 xml:space="preserve">  </w:t>
            </w:r>
            <w:r>
              <w:rPr>
                <w:rFonts w:hint="eastAsia" w:ascii="仿宋_GB2312" w:hAnsi="仿宋_GB2312" w:eastAsia="仿宋_GB2312" w:cs="仿宋_GB2312"/>
                <w:color w:val="auto"/>
                <w:kern w:val="0"/>
                <w:sz w:val="21"/>
                <w:szCs w:val="21"/>
                <w:highlight w:val="none"/>
                <w:u w:val="none"/>
              </w:rPr>
              <w:t>深入贯彻习近平强军思想和习近平总书记关于退役军人工作重要论述，紧跟强国兴军事业发展进程，围绕中心、服务大局，承接改革强军任务，释放系统资源效能，解除官兵后顾之忧，营造尊崇军人职业、尊重退役军人的浓厚氛围，服务广大退役军人，为奋力推动党中央决策部署落地见效发挥应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效指标</w:t>
            </w:r>
          </w:p>
        </w:tc>
        <w:tc>
          <w:tcPr>
            <w:tcW w:w="82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“三公”经费变动率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987"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投入产出比</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新增资产支出控制率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基本相符</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健全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相对科学</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基本合理</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基本规范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≤5%</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≥95%</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≤5%</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≥95%</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基本合理</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基本覆盖</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完全应用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基本合规</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服务优抚对象人数</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≥6000人</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sz w:val="21"/>
                <w:szCs w:val="21"/>
                <w:highlight w:val="none"/>
                <w:u w:val="none"/>
                <w:lang w:val="zh-TW" w:eastAsia="zh-CN"/>
              </w:rPr>
              <w:t>服务军休干部人数</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≥25人</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sz w:val="21"/>
                <w:szCs w:val="21"/>
                <w:highlight w:val="none"/>
                <w:u w:val="none"/>
                <w:lang w:val="zh-TW" w:eastAsia="zh-CN"/>
              </w:rPr>
              <w:t>退役军人及随调家属安置人数</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≥30人</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eastAsia="zh-CN"/>
              </w:rPr>
              <w:t>提高荣军优抚医院营利能力</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highlight w:val="none"/>
                <w:u w:val="none"/>
                <w:lang w:val="en-US" w:eastAsia="zh-CN" w:bidi="ar"/>
              </w:rPr>
              <w:t>≥10%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完善退役军人各项保障</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逐步提高</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加强退役军人市、区、乡镇（街道）、村（社区）四级服务体系标准化、规范化建设；推动优抚医院、光荣院提质增效。</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发挥好市委退役军人事务工作领导小组办公室和市双拥工作领导小组办公室综合协调职能，健全顺畅高效的工作运行机制，积极争取、推动相关部门履行工作</w:t>
            </w:r>
            <w:r>
              <w:rPr>
                <w:rFonts w:hint="eastAsia" w:ascii="仿宋_GB2312" w:hAnsi="仿宋_GB2312" w:eastAsia="仿宋_GB2312" w:cs="仿宋_GB2312"/>
                <w:color w:val="auto"/>
                <w:kern w:val="0"/>
                <w:sz w:val="21"/>
                <w:szCs w:val="21"/>
                <w:highlight w:val="none"/>
                <w:u w:val="none"/>
                <w:lang w:val="en-US" w:eastAsia="zh-CN"/>
              </w:rPr>
              <w:t xml:space="preserve"> 职责，更好服务退役军人，服务部队备战打仗，积极争创全国双拥模范城。</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eastAsia="zh-CN"/>
              </w:rPr>
              <w:t>基本符合</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eastAsia="zh-CN"/>
              </w:rPr>
              <w:t>逐步提高</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基本覆盖</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退役军人及军属满意度</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市委退役军人事务工作领导小组各成员单位和市双拥工作领导小组各成员单位</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139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年度目标：</w:t>
            </w:r>
          </w:p>
        </w:tc>
        <w:tc>
          <w:tcPr>
            <w:tcW w:w="7549" w:type="dxa"/>
            <w:gridSpan w:val="17"/>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2024年，市退役军人事务系统将以习近平新时代中国特色社会主义思想为指导，全面贯彻落实党的二十大和二十届二中全会精神，学习贯彻习近平强军思想和习近平总书记关于退役军人工作重要论述，坚决落实市委、市政府和省退役军人事务厅工作要求，认真落实全国、全省退役军人工作会议部署，坚持稳中求进总基调，继续以打造“办事优化、服务优质、评价优良”“三优”品牌为抓手，统筹高质量发展和高水平安全，以更好服务党和国家工作大局、国防和军队建设全局为主题，以助力鄂州“两区一枢纽”建设为主线以推进服务保障体系和能力现代化为支撑，以保障退役军人权益、发挥退役军人作用为重点，坚持服务大局、求真务实、守正创新、创先争优，不断开创全市退役军人工作高质量发展新局面。</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年度绩效指标</w:t>
            </w: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65"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361" w:type="dxa"/>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2131" w:type="dxa"/>
            <w:gridSpan w:val="5"/>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528"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51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近两年指标值</w:t>
            </w:r>
          </w:p>
        </w:tc>
        <w:tc>
          <w:tcPr>
            <w:tcW w:w="959"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预期当年实现值</w:t>
            </w:r>
          </w:p>
        </w:tc>
        <w:tc>
          <w:tcPr>
            <w:tcW w:w="528"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51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 xml:space="preserve"> 年</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 xml:space="preserve"> 年</w:t>
            </w:r>
          </w:p>
        </w:tc>
        <w:tc>
          <w:tcPr>
            <w:tcW w:w="959"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528"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514"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98.6%</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85.2%</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≤95%</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93.3%</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≤93.3%</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95%</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w:t>
            </w:r>
            <w:bookmarkStart w:id="0" w:name="_GoBack"/>
            <w:bookmarkEnd w:id="0"/>
            <w:r>
              <w:rPr>
                <w:rFonts w:hint="eastAsia" w:ascii="仿宋_GB2312" w:hAnsi="仿宋_GB2312" w:eastAsia="仿宋_GB2312" w:cs="仿宋_GB2312"/>
                <w:color w:val="auto"/>
                <w:kern w:val="0"/>
                <w:sz w:val="21"/>
                <w:szCs w:val="21"/>
                <w:highlight w:val="none"/>
                <w:u w:val="none"/>
              </w:rPr>
              <w:t>变动率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79.4%</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43.7%</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投入产出比</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新增资产支出控制率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95%</w:t>
            </w:r>
          </w:p>
        </w:tc>
        <w:tc>
          <w:tcPr>
            <w:tcW w:w="528" w:type="dxa"/>
            <w:gridSpan w:val="3"/>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基本相符</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相符</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相符</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基本健全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基本健全</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相对科学</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科学</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基本合理</w:t>
            </w:r>
          </w:p>
        </w:tc>
        <w:tc>
          <w:tcPr>
            <w:tcW w:w="783" w:type="dxa"/>
            <w:tcMar>
              <w:left w:w="57" w:type="dxa"/>
              <w:right w:w="57" w:type="dxa"/>
            </w:tcMar>
            <w:vAlign w:val="center"/>
          </w:tcPr>
          <w:p>
            <w:pPr>
              <w:keepNext w:val="0"/>
              <w:keepLines w:val="0"/>
              <w:pageBreakBefore w:val="0"/>
              <w:widowControl w:val="0"/>
              <w:tabs>
                <w:tab w:val="left" w:pos="300"/>
              </w:tabs>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合理</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基本规范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≤5%</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71%</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96%</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≥95%</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≤5%</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97%</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99%</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≥95%</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91%</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93%</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基本合理</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基本合理</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合理</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92%</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基本覆盖</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基本覆盖</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基本覆盖</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完全应用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完全应用</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完全应用</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基本健全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基本健全</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基本健全</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相对规范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基本健全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基本合规</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基本合规</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合规</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服务优抚对象人数</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6700人</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6700人</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≥6000人</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lang w:val="zh-TW" w:eastAsia="zh-CN"/>
              </w:rPr>
              <w:t>服务军休干部人数</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26人</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25人</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≥25人</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lang w:val="zh-TW" w:eastAsia="zh-CN"/>
              </w:rPr>
              <w:t>退役军人及随调家属安置人数</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30人</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30人</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≥30人</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2"/>
                <w:sz w:val="21"/>
                <w:szCs w:val="21"/>
                <w:highlight w:val="none"/>
                <w:u w:val="none"/>
                <w:lang w:val="zh-TW" w:eastAsia="zh-CN" w:bidi="ar-SA"/>
              </w:rPr>
            </w:pPr>
            <w:r>
              <w:rPr>
                <w:rFonts w:hint="eastAsia" w:ascii="仿宋_GB2312" w:hAnsi="仿宋_GB2312" w:eastAsia="仿宋_GB2312" w:cs="仿宋_GB2312"/>
                <w:color w:val="auto"/>
                <w:sz w:val="21"/>
                <w:szCs w:val="21"/>
                <w:highlight w:val="none"/>
                <w:u w:val="none"/>
                <w:lang w:eastAsia="zh-CN"/>
              </w:rPr>
              <w:t>提高荣军优抚医院营利能力</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6%</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8%</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highlight w:val="none"/>
                <w:u w:val="none"/>
                <w:lang w:val="en-US" w:eastAsia="zh-CN" w:bidi="ar"/>
              </w:rPr>
              <w:t>≥10%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完善退役军人各项保障</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逐步提高</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逐步提高</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逐步提高</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rPr>
              <w:t>服务体制改革成效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green"/>
                <w:u w:val="none"/>
                <w:lang w:val="en-US" w:eastAsia="zh-CN" w:bidi="ar-SA"/>
              </w:rPr>
            </w:pPr>
            <w:r>
              <w:rPr>
                <w:rFonts w:hint="eastAsia" w:ascii="仿宋_GB2312" w:hAnsi="仿宋_GB2312" w:eastAsia="仿宋_GB2312" w:cs="仿宋_GB2312"/>
                <w:color w:val="auto"/>
                <w:kern w:val="2"/>
                <w:sz w:val="21"/>
                <w:szCs w:val="21"/>
                <w:u w:val="none"/>
                <w:lang w:val="en-US" w:eastAsia="zh-CN"/>
              </w:rPr>
              <w:t>全市389个服务中心（站）均达到三</w:t>
            </w:r>
            <w:r>
              <w:rPr>
                <w:rFonts w:hint="eastAsia" w:ascii="仿宋_GB2312" w:hAnsi="仿宋_GB2312" w:eastAsia="仿宋_GB2312" w:cs="仿宋_GB2312"/>
                <w:color w:val="auto"/>
                <w:kern w:val="2"/>
                <w:sz w:val="21"/>
                <w:szCs w:val="21"/>
                <w:u w:val="none"/>
              </w:rPr>
              <w:t>星</w:t>
            </w:r>
            <w:r>
              <w:rPr>
                <w:rFonts w:hint="eastAsia" w:ascii="仿宋_GB2312" w:hAnsi="仿宋_GB2312" w:eastAsia="仿宋_GB2312" w:cs="仿宋_GB2312"/>
                <w:color w:val="auto"/>
                <w:kern w:val="2"/>
                <w:sz w:val="21"/>
                <w:szCs w:val="21"/>
                <w:u w:val="none"/>
                <w:lang w:val="en-US" w:eastAsia="zh-CN"/>
              </w:rPr>
              <w:t>级</w:t>
            </w:r>
            <w:r>
              <w:rPr>
                <w:rFonts w:hint="eastAsia" w:ascii="仿宋_GB2312" w:hAnsi="仿宋_GB2312" w:eastAsia="仿宋_GB2312" w:cs="仿宋_GB2312"/>
                <w:color w:val="auto"/>
                <w:kern w:val="2"/>
                <w:sz w:val="21"/>
                <w:szCs w:val="21"/>
                <w:u w:val="none"/>
              </w:rPr>
              <w:t>以上标准</w:t>
            </w:r>
            <w:r>
              <w:rPr>
                <w:rFonts w:hint="eastAsia" w:ascii="仿宋_GB2312" w:hAnsi="仿宋_GB2312" w:eastAsia="仿宋_GB2312" w:cs="仿宋_GB2312"/>
                <w:color w:val="auto"/>
                <w:kern w:val="2"/>
                <w:sz w:val="21"/>
                <w:szCs w:val="21"/>
                <w:u w:val="none"/>
                <w:lang w:eastAsia="zh-CN"/>
              </w:rPr>
              <w:t>，</w:t>
            </w:r>
            <w:r>
              <w:rPr>
                <w:rFonts w:hint="eastAsia" w:ascii="仿宋_GB2312" w:hAnsi="仿宋_GB2312" w:eastAsia="仿宋_GB2312" w:cs="仿宋_GB2312"/>
                <w:b w:val="0"/>
                <w:bCs w:val="0"/>
                <w:color w:val="auto"/>
                <w:sz w:val="21"/>
                <w:szCs w:val="21"/>
                <w:u w:val="none"/>
                <w:lang w:val="en-US" w:eastAsia="zh-CN"/>
              </w:rPr>
              <w:t>其中四星级190家，五星级44家，占总数的60．1％。优抚医院、光荣院进行了维修改造。</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sz w:val="21"/>
                <w:szCs w:val="21"/>
                <w:u w:val="none"/>
                <w:lang w:val="en-US" w:eastAsia="zh-CN"/>
              </w:rPr>
              <w:t>全市389个服务中心（站）</w:t>
            </w:r>
            <w:r>
              <w:rPr>
                <w:rFonts w:hint="eastAsia" w:ascii="仿宋_GB2312" w:hAnsi="仿宋_GB2312" w:eastAsia="仿宋_GB2312" w:cs="仿宋_GB2312"/>
                <w:color w:val="auto"/>
                <w:kern w:val="2"/>
                <w:sz w:val="21"/>
                <w:szCs w:val="21"/>
                <w:u w:val="none"/>
                <w:lang w:val="en-US" w:eastAsia="zh-CN"/>
              </w:rPr>
              <w:t>均达到三</w:t>
            </w:r>
            <w:r>
              <w:rPr>
                <w:rFonts w:hint="eastAsia" w:ascii="仿宋_GB2312" w:hAnsi="仿宋_GB2312" w:eastAsia="仿宋_GB2312" w:cs="仿宋_GB2312"/>
                <w:color w:val="auto"/>
                <w:kern w:val="2"/>
                <w:sz w:val="21"/>
                <w:szCs w:val="21"/>
                <w:u w:val="none"/>
              </w:rPr>
              <w:t>星</w:t>
            </w:r>
            <w:r>
              <w:rPr>
                <w:rFonts w:hint="eastAsia" w:ascii="仿宋_GB2312" w:hAnsi="仿宋_GB2312" w:eastAsia="仿宋_GB2312" w:cs="仿宋_GB2312"/>
                <w:color w:val="auto"/>
                <w:kern w:val="2"/>
                <w:sz w:val="21"/>
                <w:szCs w:val="21"/>
                <w:u w:val="none"/>
                <w:lang w:val="en-US" w:eastAsia="zh-CN"/>
              </w:rPr>
              <w:t>级</w:t>
            </w:r>
            <w:r>
              <w:rPr>
                <w:rFonts w:hint="eastAsia" w:ascii="仿宋_GB2312" w:hAnsi="仿宋_GB2312" w:eastAsia="仿宋_GB2312" w:cs="仿宋_GB2312"/>
                <w:color w:val="auto"/>
                <w:kern w:val="2"/>
                <w:sz w:val="21"/>
                <w:szCs w:val="21"/>
                <w:u w:val="none"/>
              </w:rPr>
              <w:t>以上标准</w:t>
            </w:r>
            <w:r>
              <w:rPr>
                <w:rFonts w:hint="eastAsia" w:ascii="仿宋_GB2312" w:hAnsi="仿宋_GB2312" w:eastAsia="仿宋_GB2312" w:cs="仿宋_GB2312"/>
                <w:color w:val="auto"/>
                <w:kern w:val="2"/>
                <w:sz w:val="21"/>
                <w:szCs w:val="21"/>
                <w:u w:val="none"/>
                <w:lang w:eastAsia="zh-CN"/>
              </w:rPr>
              <w:t>，</w:t>
            </w:r>
            <w:r>
              <w:rPr>
                <w:rFonts w:hint="eastAsia" w:ascii="仿宋_GB2312" w:hAnsi="仿宋_GB2312" w:eastAsia="仿宋_GB2312" w:cs="仿宋_GB2312"/>
                <w:b w:val="0"/>
                <w:bCs w:val="0"/>
                <w:color w:val="auto"/>
                <w:sz w:val="21"/>
                <w:szCs w:val="21"/>
                <w:u w:val="none"/>
                <w:lang w:val="en-US" w:eastAsia="zh-CN"/>
              </w:rPr>
              <w:t>其中四星级190家，五星级61家，占总数的64．5％，位居全省前列。</w:t>
            </w:r>
            <w:r>
              <w:rPr>
                <w:rFonts w:hint="eastAsia" w:ascii="仿宋_GB2312" w:hAnsi="仿宋_GB2312" w:eastAsia="仿宋_GB2312" w:cs="仿宋_GB2312"/>
                <w:color w:val="auto"/>
                <w:kern w:val="0"/>
                <w:sz w:val="21"/>
                <w:szCs w:val="21"/>
                <w:highlight w:val="none"/>
                <w:u w:val="none"/>
                <w:lang w:eastAsia="zh-CN"/>
              </w:rPr>
              <w:t>优抚医院</w:t>
            </w:r>
            <w:r>
              <w:rPr>
                <w:rFonts w:hint="eastAsia" w:ascii="仿宋_GB2312" w:hAnsi="仿宋_GB2312" w:eastAsia="仿宋_GB2312" w:cs="仿宋_GB2312"/>
                <w:color w:val="auto"/>
                <w:sz w:val="21"/>
                <w:szCs w:val="21"/>
                <w:u w:val="none"/>
                <w:vertAlign w:val="baseline"/>
                <w:lang w:val="en-US" w:eastAsia="zh-CN"/>
              </w:rPr>
              <w:t>通过</w:t>
            </w:r>
            <w:r>
              <w:rPr>
                <w:rFonts w:hint="eastAsia" w:ascii="仿宋_GB2312" w:hAnsi="仿宋_GB2312" w:eastAsia="仿宋_GB2312" w:cs="仿宋_GB2312"/>
                <w:color w:val="auto"/>
                <w:sz w:val="21"/>
                <w:szCs w:val="21"/>
                <w:u w:val="none"/>
              </w:rPr>
              <w:t>二级</w:t>
            </w:r>
            <w:r>
              <w:rPr>
                <w:rFonts w:hint="eastAsia" w:ascii="仿宋_GB2312" w:hAnsi="仿宋_GB2312" w:eastAsia="仿宋_GB2312" w:cs="仿宋_GB2312"/>
                <w:color w:val="auto"/>
                <w:sz w:val="21"/>
                <w:szCs w:val="21"/>
                <w:u w:val="none"/>
                <w:lang w:val="en-US" w:eastAsia="zh-CN"/>
              </w:rPr>
              <w:t>专科</w:t>
            </w:r>
            <w:r>
              <w:rPr>
                <w:rFonts w:hint="eastAsia" w:ascii="仿宋_GB2312" w:hAnsi="仿宋_GB2312" w:eastAsia="仿宋_GB2312" w:cs="仿宋_GB2312"/>
                <w:color w:val="auto"/>
                <w:sz w:val="21"/>
                <w:szCs w:val="21"/>
                <w:u w:val="none"/>
              </w:rPr>
              <w:t>医院评审</w:t>
            </w:r>
            <w:r>
              <w:rPr>
                <w:rFonts w:hint="eastAsia" w:ascii="仿宋_GB2312" w:hAnsi="仿宋_GB2312" w:eastAsia="仿宋_GB2312" w:cs="仿宋_GB2312"/>
                <w:color w:val="auto"/>
                <w:sz w:val="21"/>
                <w:szCs w:val="21"/>
                <w:u w:val="none"/>
                <w:lang w:eastAsia="zh-CN"/>
              </w:rPr>
              <w:t>。</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逐步提高</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lang w:val="en-US" w:eastAsia="zh-CN" w:bidi="ar-SA"/>
              </w:rPr>
            </w:pPr>
            <w:r>
              <w:rPr>
                <w:rStyle w:val="6"/>
                <w:rFonts w:hint="eastAsia" w:ascii="仿宋_GB2312" w:hAnsi="仿宋_GB2312" w:eastAsia="仿宋_GB2312" w:cs="仿宋_GB2312"/>
                <w:b w:val="0"/>
                <w:bCs/>
                <w:i w:val="0"/>
                <w:caps w:val="0"/>
                <w:color w:val="auto"/>
                <w:spacing w:val="0"/>
                <w:sz w:val="21"/>
                <w:szCs w:val="21"/>
                <w:u w:val="none"/>
                <w:shd w:val="clear" w:color="auto" w:fill="FFFFFF"/>
                <w:lang w:val="en-US" w:eastAsia="zh-CN"/>
              </w:rPr>
              <w:t>召开了</w:t>
            </w:r>
            <w:r>
              <w:rPr>
                <w:rFonts w:hint="eastAsia" w:ascii="仿宋_GB2312" w:hAnsi="仿宋_GB2312" w:eastAsia="仿宋_GB2312" w:cs="仿宋_GB2312"/>
                <w:color w:val="auto"/>
                <w:sz w:val="21"/>
                <w:szCs w:val="21"/>
                <w:u w:val="none"/>
                <w:lang w:val="en-US" w:eastAsia="zh-CN"/>
              </w:rPr>
              <w:t>市委退役军人事务工作领导小组暨双拥工作领导小组2022年全会</w:t>
            </w:r>
            <w:r>
              <w:rPr>
                <w:rStyle w:val="8"/>
                <w:rFonts w:hint="eastAsia" w:ascii="仿宋_GB2312" w:hAnsi="仿宋_GB2312" w:eastAsia="仿宋_GB2312" w:cs="仿宋_GB2312"/>
                <w:b w:val="0"/>
                <w:bCs/>
                <w:color w:val="auto"/>
                <w:sz w:val="21"/>
                <w:szCs w:val="21"/>
                <w:u w:val="none"/>
                <w:lang w:val="en-US" w:eastAsia="zh-CN"/>
              </w:rPr>
              <w:t>，</w:t>
            </w:r>
            <w:r>
              <w:rPr>
                <w:rFonts w:hint="eastAsia" w:ascii="仿宋_GB2312" w:hAnsi="仿宋_GB2312" w:eastAsia="仿宋_GB2312" w:cs="仿宋_GB2312"/>
                <w:color w:val="auto"/>
                <w:sz w:val="21"/>
                <w:szCs w:val="21"/>
                <w:u w:val="none"/>
                <w:lang w:val="en-US" w:eastAsia="zh-CN"/>
              </w:rPr>
              <w:t>研究</w:t>
            </w:r>
            <w:r>
              <w:rPr>
                <w:rStyle w:val="8"/>
                <w:rFonts w:hint="eastAsia" w:ascii="仿宋_GB2312" w:hAnsi="仿宋_GB2312" w:eastAsia="仿宋_GB2312" w:cs="仿宋_GB2312"/>
                <w:b w:val="0"/>
                <w:bCs/>
                <w:color w:val="auto"/>
                <w:sz w:val="21"/>
                <w:szCs w:val="21"/>
                <w:u w:val="none"/>
                <w:lang w:val="en-US" w:eastAsia="zh-CN"/>
              </w:rPr>
              <w:t>退役军人</w:t>
            </w:r>
            <w:r>
              <w:rPr>
                <w:rStyle w:val="8"/>
                <w:rFonts w:hint="eastAsia" w:ascii="仿宋_GB2312" w:hAnsi="仿宋_GB2312" w:eastAsia="仿宋_GB2312" w:cs="仿宋_GB2312"/>
                <w:b w:val="0"/>
                <w:bCs/>
                <w:color w:val="auto"/>
                <w:sz w:val="21"/>
                <w:szCs w:val="21"/>
                <w:u w:val="none"/>
              </w:rPr>
              <w:t>工作</w:t>
            </w:r>
            <w:r>
              <w:rPr>
                <w:rFonts w:hint="eastAsia" w:ascii="仿宋_GB2312" w:hAnsi="仿宋_GB2312" w:eastAsia="仿宋_GB2312" w:cs="仿宋_GB2312"/>
                <w:b w:val="0"/>
                <w:bCs/>
                <w:color w:val="auto"/>
                <w:sz w:val="21"/>
                <w:szCs w:val="21"/>
                <w:u w:val="none"/>
                <w:lang w:val="en-US" w:eastAsia="zh-CN"/>
              </w:rPr>
              <w:t>。</w:t>
            </w:r>
            <w:r>
              <w:rPr>
                <w:rFonts w:hint="eastAsia" w:ascii="仿宋_GB2312" w:hAnsi="仿宋_GB2312" w:eastAsia="仿宋_GB2312" w:cs="仿宋_GB2312"/>
                <w:color w:val="auto"/>
                <w:sz w:val="21"/>
                <w:szCs w:val="21"/>
                <w:u w:val="none"/>
              </w:rPr>
              <w:t>市</w:t>
            </w:r>
            <w:r>
              <w:rPr>
                <w:rFonts w:hint="eastAsia" w:ascii="仿宋_GB2312" w:hAnsi="仿宋_GB2312" w:eastAsia="仿宋_GB2312" w:cs="仿宋_GB2312"/>
                <w:color w:val="auto"/>
                <w:sz w:val="21"/>
                <w:szCs w:val="21"/>
                <w:u w:val="none"/>
                <w:lang w:eastAsia="zh-CN"/>
              </w:rPr>
              <w:t>两</w:t>
            </w:r>
            <w:r>
              <w:rPr>
                <w:rFonts w:hint="eastAsia" w:ascii="仿宋_GB2312" w:hAnsi="仿宋_GB2312" w:eastAsia="仿宋_GB2312" w:cs="仿宋_GB2312"/>
                <w:color w:val="auto"/>
                <w:sz w:val="21"/>
                <w:szCs w:val="21"/>
                <w:u w:val="none"/>
              </w:rPr>
              <w:t>办、鄂州军分区政工处联合</w:t>
            </w:r>
            <w:r>
              <w:rPr>
                <w:rFonts w:hint="eastAsia" w:ascii="仿宋_GB2312" w:hAnsi="仿宋_GB2312" w:eastAsia="仿宋_GB2312" w:cs="仿宋_GB2312"/>
                <w:color w:val="auto"/>
                <w:sz w:val="21"/>
                <w:szCs w:val="21"/>
                <w:u w:val="none"/>
                <w:lang w:eastAsia="zh-CN"/>
              </w:rPr>
              <w:t>下</w:t>
            </w:r>
            <w:r>
              <w:rPr>
                <w:rFonts w:hint="eastAsia" w:ascii="仿宋_GB2312" w:hAnsi="仿宋_GB2312" w:eastAsia="仿宋_GB2312" w:cs="仿宋_GB2312"/>
                <w:color w:val="auto"/>
                <w:sz w:val="21"/>
                <w:szCs w:val="21"/>
                <w:u w:val="none"/>
              </w:rPr>
              <w:t>发</w:t>
            </w:r>
            <w:r>
              <w:rPr>
                <w:rFonts w:hint="eastAsia" w:ascii="仿宋_GB2312" w:hAnsi="仿宋_GB2312" w:eastAsia="仿宋_GB2312" w:cs="仿宋_GB2312"/>
                <w:color w:val="auto"/>
                <w:sz w:val="21"/>
                <w:szCs w:val="21"/>
                <w:u w:val="none"/>
                <w:lang w:val="en-US" w:eastAsia="zh-CN"/>
              </w:rPr>
              <w:t>了《</w:t>
            </w:r>
            <w:r>
              <w:rPr>
                <w:rFonts w:hint="eastAsia" w:ascii="仿宋_GB2312" w:hAnsi="仿宋_GB2312" w:eastAsia="仿宋_GB2312" w:cs="仿宋_GB2312"/>
                <w:color w:val="auto"/>
                <w:sz w:val="21"/>
                <w:szCs w:val="21"/>
                <w:u w:val="none"/>
              </w:rPr>
              <w:t>退役军人</w:t>
            </w:r>
            <w:r>
              <w:rPr>
                <w:rFonts w:hint="eastAsia" w:ascii="仿宋_GB2312" w:hAnsi="仿宋_GB2312" w:eastAsia="仿宋_GB2312" w:cs="仿宋_GB2312"/>
                <w:color w:val="auto"/>
                <w:sz w:val="21"/>
                <w:szCs w:val="21"/>
                <w:u w:val="none"/>
                <w:lang w:eastAsia="zh-CN"/>
              </w:rPr>
              <w:t>工作</w:t>
            </w:r>
            <w:r>
              <w:rPr>
                <w:rFonts w:hint="eastAsia" w:ascii="仿宋_GB2312" w:hAnsi="仿宋_GB2312" w:eastAsia="仿宋_GB2312" w:cs="仿宋_GB2312"/>
                <w:color w:val="auto"/>
                <w:sz w:val="21"/>
                <w:szCs w:val="21"/>
                <w:u w:val="none"/>
              </w:rPr>
              <w:t>“十四五”规划</w:t>
            </w:r>
            <w:r>
              <w:rPr>
                <w:rFonts w:hint="eastAsia" w:ascii="仿宋_GB2312" w:hAnsi="仿宋_GB2312" w:eastAsia="仿宋_GB2312" w:cs="仿宋_GB2312"/>
                <w:color w:val="auto"/>
                <w:sz w:val="21"/>
                <w:szCs w:val="21"/>
                <w:u w:val="none"/>
                <w:lang w:eastAsia="zh-CN"/>
              </w:rPr>
              <w:t>》和《</w:t>
            </w:r>
            <w:r>
              <w:rPr>
                <w:rFonts w:hint="eastAsia" w:ascii="仿宋_GB2312" w:hAnsi="仿宋_GB2312" w:eastAsia="仿宋_GB2312" w:cs="仿宋_GB2312"/>
                <w:b w:val="0"/>
                <w:bCs w:val="0"/>
                <w:i w:val="0"/>
                <w:iCs w:val="0"/>
                <w:color w:val="auto"/>
                <w:sz w:val="21"/>
                <w:szCs w:val="21"/>
                <w:u w:val="none"/>
                <w:lang w:val="en-US" w:eastAsia="zh-CN"/>
              </w:rPr>
              <w:t>创建全国双拥模范城三年行动方案》</w:t>
            </w:r>
            <w:r>
              <w:rPr>
                <w:rFonts w:hint="eastAsia" w:ascii="仿宋_GB2312" w:hAnsi="仿宋_GB2312" w:eastAsia="仿宋_GB2312" w:cs="仿宋_GB2312"/>
                <w:color w:val="auto"/>
                <w:sz w:val="21"/>
                <w:szCs w:val="21"/>
                <w:u w:val="none"/>
                <w:lang w:val="en-US" w:eastAsia="zh-CN"/>
              </w:rPr>
              <w:t>，进一步明确了目标。</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Style w:val="8"/>
                <w:rFonts w:hint="eastAsia" w:ascii="仿宋_GB2312" w:hAnsi="仿宋_GB2312" w:eastAsia="仿宋_GB2312" w:cs="仿宋_GB2312"/>
                <w:color w:val="auto"/>
                <w:sz w:val="21"/>
                <w:szCs w:val="21"/>
                <w:u w:val="none"/>
                <w:lang w:val="en-US" w:eastAsia="zh-CN"/>
              </w:rPr>
              <w:t>市委常委会、市政府常务会多次专题听取退役军人工作汇报，</w:t>
            </w:r>
            <w:r>
              <w:rPr>
                <w:rStyle w:val="8"/>
                <w:rFonts w:hint="eastAsia" w:ascii="仿宋_GB2312" w:hAnsi="仿宋_GB2312" w:eastAsia="仿宋_GB2312" w:cs="仿宋_GB2312"/>
                <w:color w:val="auto"/>
                <w:sz w:val="21"/>
                <w:szCs w:val="21"/>
                <w:u w:val="none"/>
              </w:rPr>
              <w:t>研究解决</w:t>
            </w:r>
            <w:r>
              <w:rPr>
                <w:rFonts w:hint="eastAsia" w:ascii="仿宋_GB2312" w:hAnsi="仿宋_GB2312" w:eastAsia="仿宋_GB2312" w:cs="仿宋_GB2312"/>
                <w:color w:val="auto"/>
                <w:sz w:val="21"/>
                <w:szCs w:val="21"/>
                <w:u w:val="none"/>
                <w:lang w:eastAsia="zh-CN"/>
              </w:rPr>
              <w:t>重点难点问题；</w:t>
            </w:r>
            <w:r>
              <w:rPr>
                <w:rStyle w:val="8"/>
                <w:rFonts w:hint="eastAsia" w:ascii="仿宋_GB2312" w:hAnsi="仿宋_GB2312" w:eastAsia="仿宋_GB2312" w:cs="仿宋_GB2312"/>
                <w:color w:val="auto"/>
                <w:sz w:val="21"/>
                <w:szCs w:val="21"/>
                <w:u w:val="none"/>
                <w:lang w:val="en-US" w:eastAsia="zh-CN"/>
              </w:rPr>
              <w:t>定期召开市委退役军人领导小组和双拥工作领导小组全会，传达贯彻上级精神，安排</w:t>
            </w:r>
            <w:r>
              <w:rPr>
                <w:rStyle w:val="8"/>
                <w:rFonts w:hint="eastAsia" w:ascii="仿宋_GB2312" w:hAnsi="仿宋_GB2312" w:eastAsia="仿宋_GB2312" w:cs="仿宋_GB2312"/>
                <w:color w:val="auto"/>
                <w:sz w:val="21"/>
                <w:szCs w:val="21"/>
                <w:u w:val="none"/>
                <w:lang w:eastAsia="zh-CN"/>
              </w:rPr>
              <w:t>阶段性重点</w:t>
            </w:r>
            <w:r>
              <w:rPr>
                <w:rStyle w:val="8"/>
                <w:rFonts w:hint="eastAsia" w:ascii="仿宋_GB2312" w:hAnsi="仿宋_GB2312" w:eastAsia="仿宋_GB2312" w:cs="仿宋_GB2312"/>
                <w:color w:val="auto"/>
                <w:sz w:val="21"/>
                <w:szCs w:val="21"/>
                <w:u w:val="none"/>
              </w:rPr>
              <w:t>工作</w:t>
            </w:r>
            <w:r>
              <w:rPr>
                <w:rFonts w:hint="eastAsia" w:ascii="仿宋_GB2312" w:hAnsi="仿宋_GB2312" w:eastAsia="仿宋_GB2312" w:cs="仿宋_GB2312"/>
                <w:color w:val="auto"/>
                <w:sz w:val="21"/>
                <w:szCs w:val="21"/>
                <w:u w:val="none"/>
                <w:lang w:val="en-US" w:eastAsia="zh-CN"/>
              </w:rPr>
              <w:t>。</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逐步提高</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基本符合</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基本符合</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eastAsia="zh-CN"/>
              </w:rPr>
              <w:t>基本符合</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lang w:val="en-US"/>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逐步提高</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逐步提高</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eastAsia="zh-CN"/>
              </w:rPr>
              <w:t>逐步提高</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基本覆盖</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基本覆盖</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基本覆盖</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退役军人及军属满意度</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≥95%</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green"/>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市委退役军人事务工作领导小组各成员单位和市双拥工作领导小组各成员单位</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≥90%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≥95%</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0F05A47"/>
    <w:rsid w:val="014E6977"/>
    <w:rsid w:val="04853622"/>
    <w:rsid w:val="065E4A58"/>
    <w:rsid w:val="067572F2"/>
    <w:rsid w:val="06761C7E"/>
    <w:rsid w:val="072B5E64"/>
    <w:rsid w:val="079C288F"/>
    <w:rsid w:val="08847403"/>
    <w:rsid w:val="088E4A76"/>
    <w:rsid w:val="09C120A6"/>
    <w:rsid w:val="0DB90439"/>
    <w:rsid w:val="0F3007F1"/>
    <w:rsid w:val="0F9E7ADD"/>
    <w:rsid w:val="100C6B4B"/>
    <w:rsid w:val="103F774D"/>
    <w:rsid w:val="127266E1"/>
    <w:rsid w:val="12BD2A38"/>
    <w:rsid w:val="12DE15D3"/>
    <w:rsid w:val="13444F72"/>
    <w:rsid w:val="14641C7C"/>
    <w:rsid w:val="158A4280"/>
    <w:rsid w:val="182214D0"/>
    <w:rsid w:val="18E06ECB"/>
    <w:rsid w:val="1A7C0248"/>
    <w:rsid w:val="1BFE4A94"/>
    <w:rsid w:val="1CA22253"/>
    <w:rsid w:val="1F473DA7"/>
    <w:rsid w:val="1F8021C9"/>
    <w:rsid w:val="212C2F24"/>
    <w:rsid w:val="213D3DBA"/>
    <w:rsid w:val="226C44AE"/>
    <w:rsid w:val="24E96F2A"/>
    <w:rsid w:val="25912353"/>
    <w:rsid w:val="2699341F"/>
    <w:rsid w:val="274034A3"/>
    <w:rsid w:val="277670D2"/>
    <w:rsid w:val="2B4B7182"/>
    <w:rsid w:val="2C0C6D59"/>
    <w:rsid w:val="2C365954"/>
    <w:rsid w:val="2CA82D64"/>
    <w:rsid w:val="2E5C3FC8"/>
    <w:rsid w:val="2F936EB4"/>
    <w:rsid w:val="30240E53"/>
    <w:rsid w:val="30CB71E3"/>
    <w:rsid w:val="34034186"/>
    <w:rsid w:val="34677222"/>
    <w:rsid w:val="37E172EC"/>
    <w:rsid w:val="388B350E"/>
    <w:rsid w:val="38CF049E"/>
    <w:rsid w:val="3AE55458"/>
    <w:rsid w:val="3CC620E0"/>
    <w:rsid w:val="3D562535"/>
    <w:rsid w:val="3E86299B"/>
    <w:rsid w:val="3EAB6CA8"/>
    <w:rsid w:val="405014B2"/>
    <w:rsid w:val="413E130B"/>
    <w:rsid w:val="41E45A02"/>
    <w:rsid w:val="42C8777A"/>
    <w:rsid w:val="430F2F5F"/>
    <w:rsid w:val="43A57D99"/>
    <w:rsid w:val="452508D3"/>
    <w:rsid w:val="45985061"/>
    <w:rsid w:val="46277AAC"/>
    <w:rsid w:val="4A0F6290"/>
    <w:rsid w:val="4D55232C"/>
    <w:rsid w:val="4DAC584E"/>
    <w:rsid w:val="4E6B5174"/>
    <w:rsid w:val="4F2C5DD9"/>
    <w:rsid w:val="4FF79E72"/>
    <w:rsid w:val="51F065B0"/>
    <w:rsid w:val="523867D2"/>
    <w:rsid w:val="532A6688"/>
    <w:rsid w:val="564156CE"/>
    <w:rsid w:val="56586573"/>
    <w:rsid w:val="582801F9"/>
    <w:rsid w:val="589D4C38"/>
    <w:rsid w:val="59406843"/>
    <w:rsid w:val="5CA93FCD"/>
    <w:rsid w:val="5FEC00D0"/>
    <w:rsid w:val="62B40FD5"/>
    <w:rsid w:val="6388493C"/>
    <w:rsid w:val="647E22C1"/>
    <w:rsid w:val="64E75692"/>
    <w:rsid w:val="66560D21"/>
    <w:rsid w:val="669E26A9"/>
    <w:rsid w:val="6B5E5861"/>
    <w:rsid w:val="6C4258A4"/>
    <w:rsid w:val="6DFE57FA"/>
    <w:rsid w:val="6E7A6CBF"/>
    <w:rsid w:val="6F6600CC"/>
    <w:rsid w:val="6F7447ED"/>
    <w:rsid w:val="70B41A29"/>
    <w:rsid w:val="73360EA6"/>
    <w:rsid w:val="76202224"/>
    <w:rsid w:val="77866F8C"/>
    <w:rsid w:val="77F55EC0"/>
    <w:rsid w:val="7A996D3E"/>
    <w:rsid w:val="7DC1214B"/>
    <w:rsid w:val="7ED15B69"/>
    <w:rsid w:val="ED6F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3">
    <w:name w:val="Normal (Web)"/>
    <w:basedOn w:val="1"/>
    <w:autoRedefine/>
    <w:qFormat/>
    <w:uiPriority w:val="0"/>
    <w:pPr>
      <w:spacing w:beforeAutospacing="1" w:afterAutospacing="1" w:line="240" w:lineRule="auto"/>
      <w:jc w:val="left"/>
    </w:pPr>
    <w:rPr>
      <w:rFonts w:ascii="Calibri" w:hAnsi="Calibri" w:eastAsia="宋体"/>
      <w:kern w:val="0"/>
      <w:sz w:val="24"/>
    </w:rPr>
  </w:style>
  <w:style w:type="character" w:styleId="6">
    <w:name w:val="Strong"/>
    <w:basedOn w:val="5"/>
    <w:autoRedefine/>
    <w:qFormat/>
    <w:uiPriority w:val="0"/>
    <w:rPr>
      <w:b/>
    </w:rPr>
  </w:style>
  <w:style w:type="paragraph" w:customStyle="1" w:styleId="7">
    <w:name w:val="正文缩进 + 首行缩进:  2 字符"/>
    <w:basedOn w:val="1"/>
    <w:autoRedefine/>
    <w:qFormat/>
    <w:uiPriority w:val="0"/>
    <w:pPr>
      <w:spacing w:line="560" w:lineRule="exact"/>
      <w:ind w:firstLine="640"/>
    </w:pPr>
    <w:rPr>
      <w:rFonts w:ascii="Times New Roman" w:hAnsi="Times New Roman" w:eastAsia="仿宋_GB2312" w:cs="宋体"/>
      <w:sz w:val="32"/>
      <w:szCs w:val="20"/>
    </w:rPr>
  </w:style>
  <w:style w:type="character" w:customStyle="1" w:styleId="8">
    <w:name w:val="ca-21"/>
    <w:basedOn w:val="5"/>
    <w:qFormat/>
    <w:uiPriority w:val="0"/>
    <w:rPr>
      <w:rFonts w:hint="eastAsia" w:ascii="仿宋" w:hAnsi="仿宋" w:eastAsia="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3724</Words>
  <Characters>4082</Characters>
  <Lines>0</Lines>
  <Paragraphs>0</Paragraphs>
  <TotalTime>3</TotalTime>
  <ScaleCrop>false</ScaleCrop>
  <LinksUpToDate>false</LinksUpToDate>
  <CharactersWithSpaces>4121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2024-01-24T23:26:00Z</dcterms:created>
  <dc:creator>倒亚指芭绦</dc:creator>
  <cp:lastModifiedBy>远烟</cp:lastModifiedBy>
  <cp:lastPrinted>2024-01-25T00:44:00Z</cp:lastPrinted>
  <dcterms:modified xsi:type="dcterms:W3CDTF">2024-05-25T07:42:29Z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