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Times New Roman" w:eastAsia="方正小标宋简体" w:cs="Times New Roman"/>
          <w:color w:val="auto"/>
          <w:sz w:val="40"/>
          <w:szCs w:val="40"/>
          <w:highlight w:val="none"/>
        </w:rPr>
      </w:pPr>
      <w:r>
        <w:rPr>
          <w:rFonts w:hint="eastAsia" w:ascii="方正小标宋简体" w:hAnsi="Times New Roman" w:eastAsia="方正小标宋简体" w:cs="Times New Roman"/>
          <w:color w:val="auto"/>
          <w:sz w:val="40"/>
          <w:szCs w:val="40"/>
          <w:highlight w:val="none"/>
        </w:rPr>
        <w:t>部门整体绩效目标申报表</w:t>
      </w:r>
    </w:p>
    <w:p>
      <w:pPr>
        <w:widowControl/>
        <w:spacing w:before="156" w:beforeLines="50"/>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填报日期：</w:t>
      </w:r>
      <w:r>
        <w:rPr>
          <w:rFonts w:hint="eastAsia" w:ascii="楷体_GB2312" w:hAnsi="Times New Roman" w:eastAsia="楷体_GB2312"/>
          <w:color w:val="auto"/>
          <w:sz w:val="28"/>
          <w:szCs w:val="28"/>
          <w:highlight w:val="none"/>
          <w:lang w:val="en-US" w:eastAsia="zh-CN"/>
        </w:rPr>
        <w:t>2024</w:t>
      </w:r>
      <w:r>
        <w:rPr>
          <w:rFonts w:hint="eastAsia" w:ascii="楷体_GB2312" w:hAnsi="Times New Roman" w:eastAsia="楷体_GB2312"/>
          <w:color w:val="auto"/>
          <w:sz w:val="28"/>
          <w:szCs w:val="28"/>
          <w:highlight w:val="none"/>
        </w:rPr>
        <w:t>年</w:t>
      </w:r>
      <w:r>
        <w:rPr>
          <w:rFonts w:hint="eastAsia" w:ascii="楷体_GB2312" w:hAnsi="Times New Roman" w:eastAsia="楷体_GB2312"/>
          <w:color w:val="auto"/>
          <w:sz w:val="28"/>
          <w:szCs w:val="28"/>
          <w:highlight w:val="none"/>
          <w:lang w:val="en-US" w:eastAsia="zh-CN"/>
        </w:rPr>
        <w:t>1</w:t>
      </w:r>
      <w:r>
        <w:rPr>
          <w:rFonts w:hint="eastAsia" w:ascii="楷体_GB2312" w:hAnsi="Times New Roman" w:eastAsia="楷体_GB2312"/>
          <w:color w:val="auto"/>
          <w:sz w:val="28"/>
          <w:szCs w:val="28"/>
          <w:highlight w:val="none"/>
        </w:rPr>
        <w:t xml:space="preserve">月 </w:t>
      </w:r>
      <w:r>
        <w:rPr>
          <w:rFonts w:hint="eastAsia" w:ascii="楷体_GB2312" w:hAnsi="Times New Roman" w:eastAsia="楷体_GB2312"/>
          <w:color w:val="auto"/>
          <w:sz w:val="28"/>
          <w:szCs w:val="28"/>
          <w:highlight w:val="none"/>
          <w:lang w:val="en-US" w:eastAsia="zh-CN"/>
        </w:rPr>
        <w:t>16</w:t>
      </w:r>
      <w:r>
        <w:rPr>
          <w:rFonts w:hint="eastAsia" w:ascii="楷体_GB2312" w:hAnsi="Times New Roman" w:eastAsia="楷体_GB2312"/>
          <w:color w:val="auto"/>
          <w:sz w:val="28"/>
          <w:szCs w:val="28"/>
          <w:highlight w:val="none"/>
        </w:rPr>
        <w:t xml:space="preserve">日         </w:t>
      </w:r>
      <w:r>
        <w:rPr>
          <w:rFonts w:hint="eastAsia" w:ascii="楷体_GB2312" w:hAnsi="Times New Roman" w:eastAsia="楷体_GB2312"/>
          <w:color w:val="auto"/>
          <w:sz w:val="28"/>
          <w:szCs w:val="28"/>
          <w:highlight w:val="none"/>
          <w:lang w:val="en-US" w:eastAsia="zh-CN"/>
        </w:rPr>
        <w:t xml:space="preserve">      </w:t>
      </w:r>
      <w:r>
        <w:rPr>
          <w:rFonts w:hint="eastAsia" w:ascii="楷体_GB2312" w:hAnsi="Times New Roman" w:eastAsia="楷体_GB2312"/>
          <w:color w:val="auto"/>
          <w:sz w:val="28"/>
          <w:szCs w:val="28"/>
          <w:highlight w:val="none"/>
        </w:rPr>
        <w:t xml:space="preserve">       单位：万元</w:t>
      </w:r>
    </w:p>
    <w:tbl>
      <w:tblPr>
        <w:tblStyle w:val="5"/>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60"/>
        <w:gridCol w:w="794"/>
        <w:gridCol w:w="29"/>
        <w:gridCol w:w="1407"/>
        <w:gridCol w:w="25"/>
        <w:gridCol w:w="1162"/>
        <w:gridCol w:w="278"/>
        <w:gridCol w:w="652"/>
        <w:gridCol w:w="242"/>
        <w:gridCol w:w="36"/>
        <w:gridCol w:w="810"/>
        <w:gridCol w:w="113"/>
        <w:gridCol w:w="672"/>
        <w:gridCol w:w="282"/>
        <w:gridCol w:w="4"/>
        <w:gridCol w:w="500"/>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s="Times New Roman"/>
                <w:color w:val="auto"/>
                <w:kern w:val="0"/>
                <w:highlight w:val="none"/>
              </w:rPr>
            </w:pPr>
            <w:r>
              <w:rPr>
                <w:rFonts w:hint="eastAsia" w:ascii="仿宋_GB2312" w:hAnsi="宋体" w:eastAsia="仿宋_GB2312"/>
                <w:color w:val="auto"/>
                <w:kern w:val="0"/>
                <w:highlight w:val="none"/>
              </w:rPr>
              <w:t>部门（单位）</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名称</w:t>
            </w:r>
          </w:p>
        </w:tc>
        <w:tc>
          <w:tcPr>
            <w:tcW w:w="7600"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eastAsia="zh-CN"/>
              </w:rPr>
              <w:t>中共鄂州市委政法委员会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填报人</w:t>
            </w: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徐觉胜</w:t>
            </w:r>
          </w:p>
        </w:tc>
        <w:tc>
          <w:tcPr>
            <w:tcW w:w="118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联系电话</w:t>
            </w:r>
          </w:p>
        </w:tc>
        <w:tc>
          <w:tcPr>
            <w:tcW w:w="4183" w:type="dxa"/>
            <w:gridSpan w:val="11"/>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15271703800</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部门总体</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资金情况</w:t>
            </w:r>
          </w:p>
        </w:tc>
        <w:tc>
          <w:tcPr>
            <w:tcW w:w="3417" w:type="dxa"/>
            <w:gridSpan w:val="5"/>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总体资金情况</w:t>
            </w:r>
          </w:p>
        </w:tc>
        <w:tc>
          <w:tcPr>
            <w:tcW w:w="1172"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当年金额</w:t>
            </w:r>
          </w:p>
        </w:tc>
        <w:tc>
          <w:tcPr>
            <w:tcW w:w="959"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占比</w:t>
            </w:r>
          </w:p>
        </w:tc>
        <w:tc>
          <w:tcPr>
            <w:tcW w:w="2052"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3417" w:type="dxa"/>
            <w:gridSpan w:val="5"/>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1172"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59"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2022</w:t>
            </w:r>
            <w:r>
              <w:rPr>
                <w:rFonts w:hint="eastAsia" w:ascii="仿宋_GB2312" w:hAnsi="宋体" w:eastAsia="仿宋_GB2312"/>
                <w:color w:val="auto"/>
                <w:kern w:val="0"/>
                <w:highlight w:val="none"/>
              </w:rPr>
              <w:t>年</w:t>
            </w:r>
          </w:p>
        </w:tc>
        <w:tc>
          <w:tcPr>
            <w:tcW w:w="109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2023</w:t>
            </w:r>
            <w:r>
              <w:rPr>
                <w:rFonts w:hint="eastAsia" w:ascii="仿宋_GB2312" w:hAnsi="宋体" w:eastAsia="仿宋_GB2312"/>
                <w:color w:val="auto"/>
                <w:kern w:val="0"/>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收入</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财政拨款</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1374.12</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4540.31</w:t>
            </w:r>
            <w:r>
              <w:rPr>
                <w:rFonts w:hint="eastAsia" w:ascii="仿宋_GB2312" w:hAnsi="宋体" w:eastAsia="仿宋_GB2312"/>
                <w:color w:val="auto"/>
                <w:kern w:val="0"/>
                <w:highlight w:val="none"/>
              </w:rPr>
              <w:t>　</w:t>
            </w:r>
          </w:p>
        </w:tc>
        <w:tc>
          <w:tcPr>
            <w:tcW w:w="109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4648.02</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财政专户管理资金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109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单位资金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p>
        </w:tc>
        <w:tc>
          <w:tcPr>
            <w:tcW w:w="109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1374.12</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4540.31</w:t>
            </w:r>
            <w:r>
              <w:rPr>
                <w:rFonts w:hint="eastAsia" w:ascii="仿宋_GB2312" w:hAnsi="宋体" w:eastAsia="仿宋_GB2312"/>
                <w:color w:val="auto"/>
                <w:kern w:val="0"/>
                <w:highlight w:val="none"/>
              </w:rPr>
              <w:t>　</w:t>
            </w:r>
          </w:p>
        </w:tc>
        <w:tc>
          <w:tcPr>
            <w:tcW w:w="109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4648.02</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支出</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人员类项目支出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565.32</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41.14%</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681.96</w:t>
            </w:r>
            <w:r>
              <w:rPr>
                <w:rFonts w:hint="eastAsia" w:ascii="仿宋_GB2312" w:hAnsi="宋体" w:eastAsia="仿宋_GB2312"/>
                <w:color w:val="auto"/>
                <w:kern w:val="0"/>
                <w:highlight w:val="none"/>
              </w:rPr>
              <w:t>　</w:t>
            </w:r>
          </w:p>
        </w:tc>
        <w:tc>
          <w:tcPr>
            <w:tcW w:w="109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605.8</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运转类项目支出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75.52</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5.5%</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93.11</w:t>
            </w:r>
          </w:p>
        </w:tc>
        <w:tc>
          <w:tcPr>
            <w:tcW w:w="109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84.18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特定目标类项目支出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733.28</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53.36%</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both"/>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823.89</w:t>
            </w:r>
            <w:r>
              <w:rPr>
                <w:rFonts w:hint="eastAsia" w:ascii="仿宋_GB2312" w:hAnsi="宋体" w:eastAsia="仿宋_GB2312"/>
                <w:color w:val="auto"/>
                <w:kern w:val="0"/>
                <w:highlight w:val="none"/>
              </w:rPr>
              <w:t>　</w:t>
            </w:r>
          </w:p>
        </w:tc>
        <w:tc>
          <w:tcPr>
            <w:tcW w:w="109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1726.06</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1374.12</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1598.96</w:t>
            </w:r>
            <w:r>
              <w:rPr>
                <w:rFonts w:hint="eastAsia" w:ascii="仿宋_GB2312" w:hAnsi="宋体" w:eastAsia="仿宋_GB2312"/>
                <w:color w:val="auto"/>
                <w:kern w:val="0"/>
                <w:highlight w:val="none"/>
              </w:rPr>
              <w:t>　</w:t>
            </w:r>
          </w:p>
        </w:tc>
        <w:tc>
          <w:tcPr>
            <w:tcW w:w="109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2416.04</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部门职能概述</w:t>
            </w:r>
          </w:p>
        </w:tc>
        <w:tc>
          <w:tcPr>
            <w:tcW w:w="7600"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hint="eastAsia" w:ascii="宋体" w:hAnsi="宋体" w:cs="宋体"/>
                <w:kern w:val="0"/>
                <w:szCs w:val="21"/>
              </w:rPr>
            </w:pPr>
            <w:r>
              <w:rPr>
                <w:rFonts w:hint="eastAsia" w:ascii="宋体" w:hAnsi="宋体"/>
                <w:color w:val="auto"/>
                <w:kern w:val="0"/>
                <w:highlight w:val="none"/>
              </w:rPr>
              <w:t> </w:t>
            </w:r>
            <w:r>
              <w:rPr>
                <w:rFonts w:hint="eastAsia" w:ascii="宋体" w:hAnsi="宋体" w:cs="宋体"/>
                <w:kern w:val="0"/>
                <w:szCs w:val="21"/>
              </w:rPr>
              <w:t>(1)深入贯彻习近平新时代中国特色社会主义思想，坚持和加强党对政法工作的绝对领导，坚决贯彻执行党中央关于政法工作的方针政策和决策部署，贯彻落实政治轮训和政治督查制度。</w:t>
            </w:r>
          </w:p>
          <w:p>
            <w:pPr>
              <w:widowControl/>
              <w:snapToGrid w:val="0"/>
              <w:rPr>
                <w:rFonts w:hint="eastAsia" w:ascii="宋体" w:hAnsi="宋体" w:cs="宋体"/>
                <w:kern w:val="0"/>
                <w:szCs w:val="21"/>
              </w:rPr>
            </w:pPr>
            <w:r>
              <w:rPr>
                <w:rFonts w:hint="eastAsia" w:ascii="宋体" w:hAnsi="宋体" w:cs="宋体"/>
                <w:kern w:val="0"/>
                <w:szCs w:val="21"/>
              </w:rPr>
              <w:t>(2)对全市政法工作研究提出全局性部署，加强对政法工作的督查。统筹推进平安建设、法治建设，加强过硬政法队伍建设，深化政法智能化建设，坚决维护国家政治安全、确保社会大局稳定、促进社会公平正义、保障人民安居乐业。</w:t>
            </w:r>
          </w:p>
          <w:p>
            <w:pPr>
              <w:widowControl/>
              <w:snapToGrid w:val="0"/>
              <w:rPr>
                <w:rFonts w:hint="eastAsia" w:ascii="宋体" w:hAnsi="宋体" w:cs="宋体"/>
                <w:kern w:val="0"/>
                <w:szCs w:val="21"/>
              </w:rPr>
            </w:pPr>
            <w:r>
              <w:rPr>
                <w:rFonts w:hint="eastAsia" w:ascii="宋体" w:hAnsi="宋体" w:cs="宋体"/>
                <w:kern w:val="0"/>
                <w:szCs w:val="21"/>
              </w:rPr>
              <w:t>(3)指导协调全市维护社会稳定工作，分析研判社会稳定形势。协调政法部门做好涉及国家政治安全重要事项和重大问题的联动处置。协调推动预防、化解全市影响社会稳定的矛盾和风险，协调应对和处置重大突发事件。协调指导做好反邪教、反暴恐工作。</w:t>
            </w:r>
          </w:p>
          <w:p>
            <w:pPr>
              <w:widowControl/>
              <w:snapToGrid w:val="0"/>
              <w:rPr>
                <w:rFonts w:hint="eastAsia" w:ascii="宋体" w:hAnsi="宋体" w:cs="宋体"/>
                <w:kern w:val="0"/>
                <w:szCs w:val="21"/>
              </w:rPr>
            </w:pPr>
            <w:r>
              <w:rPr>
                <w:rFonts w:hint="eastAsia" w:ascii="宋体" w:hAnsi="宋体" w:cs="宋体"/>
                <w:kern w:val="0"/>
                <w:szCs w:val="21"/>
              </w:rPr>
              <w:t>(4)负责全市平安建设和社会治安综合治理工作。研究制定并推动落实社会治安治理的重大政策措施。指导协调扫黑除恶、社会重点地区和突出问题排查整治、社会治安防控体系建设和重点领域、行业、物品安全管理等工作。组织推动基层社会治安综合治理、矛盾纠纷排查化解、特殊人群服务管理、护路护线联防等工作。指导全市见义勇为工作。</w:t>
            </w:r>
          </w:p>
          <w:p>
            <w:pPr>
              <w:widowControl/>
              <w:snapToGrid w:val="0"/>
              <w:rPr>
                <w:rFonts w:hint="eastAsia" w:ascii="宋体" w:hAnsi="宋体" w:cs="宋体"/>
                <w:kern w:val="0"/>
                <w:szCs w:val="21"/>
              </w:rPr>
            </w:pPr>
            <w:r>
              <w:rPr>
                <w:rFonts w:hint="eastAsia" w:ascii="宋体" w:hAnsi="宋体" w:cs="宋体"/>
                <w:kern w:val="0"/>
                <w:szCs w:val="21"/>
              </w:rPr>
              <w:t>(5)监督和支持政法部门依法行使职权。指导和协调政法部门密切配合,依法协调督导重大、敏感案件的办理和政法部门在执行法律、政策中出现的重大争议事项。协调督导政法部门依法办理涉法涉诉信访事项。组织政法部门开展案件评查工作。对政法部门重大执法活动和事项进行备案。</w:t>
            </w:r>
          </w:p>
          <w:p>
            <w:pPr>
              <w:widowControl/>
              <w:snapToGrid w:val="0"/>
              <w:rPr>
                <w:rFonts w:hint="eastAsia" w:ascii="宋体" w:hAnsi="宋体" w:cs="宋体"/>
                <w:kern w:val="0"/>
                <w:szCs w:val="21"/>
              </w:rPr>
            </w:pPr>
            <w:r>
              <w:rPr>
                <w:rFonts w:hint="eastAsia" w:ascii="宋体" w:hAnsi="宋体" w:cs="宋体"/>
                <w:kern w:val="0"/>
                <w:szCs w:val="21"/>
              </w:rPr>
              <w:t>(6)落实市委国家安全领导机构、全面依法治市领导机构的决策部署，支持配合其办事机构工作。组织研究法治鄂州建设重大问题和政法改革中带有方向性、倾向性和普遍性的重大问题，提出建议和工作意见。深化政法改革。协助开展法官、检察官遴选和惩戒工作。</w:t>
            </w:r>
          </w:p>
          <w:p>
            <w:pPr>
              <w:widowControl/>
              <w:snapToGrid w:val="0"/>
              <w:rPr>
                <w:rFonts w:hint="eastAsia" w:ascii="宋体" w:hAnsi="宋体" w:cs="宋体"/>
                <w:kern w:val="0"/>
                <w:szCs w:val="21"/>
              </w:rPr>
            </w:pPr>
            <w:r>
              <w:rPr>
                <w:rFonts w:hint="eastAsia" w:ascii="宋体" w:hAnsi="宋体" w:cs="宋体"/>
                <w:kern w:val="0"/>
                <w:szCs w:val="21"/>
              </w:rPr>
              <w:t>(7)掌握分析全市政法舆情动态，指导和协调政法部门和有关部门做好依法办理、宣传报道和舆论引导等相关工作。指导和协调政法新媒体建设和宣传工作。</w:t>
            </w:r>
          </w:p>
          <w:p>
            <w:pPr>
              <w:widowControl/>
              <w:snapToGrid w:val="0"/>
              <w:rPr>
                <w:rFonts w:hint="eastAsia" w:ascii="宋体" w:hAnsi="宋体" w:cs="宋体"/>
                <w:kern w:val="0"/>
                <w:szCs w:val="21"/>
              </w:rPr>
            </w:pPr>
            <w:r>
              <w:rPr>
                <w:rFonts w:hint="eastAsia" w:ascii="宋体" w:hAnsi="宋体" w:cs="宋体"/>
                <w:kern w:val="0"/>
                <w:szCs w:val="21"/>
              </w:rPr>
              <w:t>(8)指导推动全市政法系统党的建设和政法队伍建设。组织指导全市政法队伍教育、培训等工作。按照干部管理权限，协助党委及其组织部门管理政法部门领导班子和领导干部。</w:t>
            </w:r>
          </w:p>
          <w:p>
            <w:pPr>
              <w:widowControl/>
              <w:snapToGrid w:val="0"/>
              <w:rPr>
                <w:rFonts w:hint="eastAsia" w:ascii="宋体" w:hAnsi="宋体" w:cs="宋体"/>
                <w:kern w:val="0"/>
                <w:szCs w:val="21"/>
              </w:rPr>
            </w:pPr>
            <w:r>
              <w:rPr>
                <w:rFonts w:hint="eastAsia" w:ascii="宋体" w:hAnsi="宋体" w:cs="宋体"/>
                <w:kern w:val="0"/>
                <w:szCs w:val="21"/>
              </w:rPr>
              <w:t>(9)指导各区党委政法委工作。</w:t>
            </w:r>
          </w:p>
          <w:p>
            <w:pPr>
              <w:widowControl/>
              <w:snapToGrid w:val="0"/>
              <w:rPr>
                <w:rFonts w:hint="eastAsia" w:ascii="宋体" w:hAnsi="宋体" w:cs="宋体"/>
                <w:kern w:val="0"/>
                <w:szCs w:val="21"/>
              </w:rPr>
            </w:pPr>
            <w:r>
              <w:rPr>
                <w:rFonts w:hint="eastAsia" w:ascii="宋体" w:hAnsi="宋体" w:cs="宋体"/>
                <w:kern w:val="0"/>
                <w:szCs w:val="21"/>
              </w:rPr>
              <w:t>(10)代管市法学会。</w:t>
            </w:r>
          </w:p>
          <w:p>
            <w:pPr>
              <w:widowControl/>
              <w:snapToGrid w:val="0"/>
              <w:rPr>
                <w:rFonts w:ascii="仿宋_GB2312" w:hAnsi="宋体" w:eastAsia="仿宋_GB2312"/>
                <w:color w:val="auto"/>
                <w:kern w:val="0"/>
                <w:highlight w:val="none"/>
              </w:rPr>
            </w:pPr>
            <w:r>
              <w:rPr>
                <w:rFonts w:hint="eastAsia" w:ascii="宋体" w:hAnsi="宋体" w:cs="宋体"/>
                <w:kern w:val="0"/>
                <w:szCs w:val="21"/>
              </w:rPr>
              <w:t>(11)完成上级交办的其他任务。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年度工作任务</w:t>
            </w:r>
          </w:p>
        </w:tc>
        <w:tc>
          <w:tcPr>
            <w:tcW w:w="7600"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ascii="宋体" w:hAnsi="宋体" w:cs="宋体"/>
                <w:kern w:val="0"/>
                <w:szCs w:val="21"/>
              </w:rPr>
            </w:pPr>
            <w:r>
              <w:rPr>
                <w:rFonts w:hint="eastAsia" w:ascii="宋体" w:hAnsi="宋体" w:cs="宋体"/>
                <w:kern w:val="0"/>
                <w:szCs w:val="21"/>
              </w:rPr>
              <w:t>1．推动学习贯彻习近平新时代中国特色社会主义思想走深走实，用以武装头脑、指导实践、推动工作。加强政法队伍政治建设，建立政法系统党委（党组）理论学习中心组联学机制和政法领导干部“学习贯彻习近平总书记对政法工作重要指示精神”笔谈活动。加强政法队伍思想建设，开设习近平法治思想讲堂。加强政法队伍能力建设，组织全市政法系统同堂业务培训。</w:t>
            </w:r>
          </w:p>
          <w:p>
            <w:pPr>
              <w:widowControl/>
              <w:snapToGrid w:val="0"/>
              <w:rPr>
                <w:rFonts w:ascii="宋体" w:hAnsi="宋体" w:cs="宋体"/>
                <w:kern w:val="0"/>
                <w:szCs w:val="21"/>
              </w:rPr>
            </w:pPr>
            <w:r>
              <w:rPr>
                <w:rFonts w:hint="eastAsia" w:ascii="宋体" w:hAnsi="宋体" w:cs="宋体"/>
                <w:kern w:val="0"/>
                <w:szCs w:val="21"/>
              </w:rPr>
              <w:t>2．以营造安全稳定的社会环境为主线，全力维护政治安全和社会稳定，确保“五个不发生”工作目标</w:t>
            </w:r>
            <w:r>
              <w:rPr>
                <w:rFonts w:hint="eastAsia"/>
                <w:color w:val="333333"/>
                <w:shd w:val="clear" w:color="auto" w:fill="FFFFFF"/>
              </w:rPr>
              <w:t>。</w:t>
            </w:r>
          </w:p>
          <w:p>
            <w:pPr>
              <w:widowControl/>
              <w:snapToGrid w:val="0"/>
              <w:rPr>
                <w:rFonts w:ascii="宋体" w:hAnsi="宋体" w:cs="宋体"/>
                <w:kern w:val="0"/>
                <w:szCs w:val="21"/>
              </w:rPr>
            </w:pPr>
            <w:r>
              <w:rPr>
                <w:rFonts w:hint="eastAsia" w:ascii="宋体" w:hAnsi="宋体" w:cs="宋体"/>
                <w:kern w:val="0"/>
                <w:szCs w:val="21"/>
              </w:rPr>
              <w:t>3.进一步完善平安建设领导小组，压实各级党委政府属地责任、职能部门工作责任、各单位主体责任，推动更高水平的平安鄂州建设，推进平安建设工作重心下移、力量下沉。加快建设市级综治中心，推进市域社会治理现代化试点工作。常态化开展扫黑除恶斗争，深入开展行业领域专项整治，推动扫黑除恶常治长效。</w:t>
            </w:r>
          </w:p>
          <w:p>
            <w:pPr>
              <w:widowControl/>
              <w:snapToGrid w:val="0"/>
              <w:rPr>
                <w:rFonts w:ascii="宋体" w:hAnsi="宋体" w:cs="宋体"/>
                <w:kern w:val="0"/>
                <w:szCs w:val="21"/>
              </w:rPr>
            </w:pPr>
            <w:r>
              <w:rPr>
                <w:rFonts w:hint="eastAsia" w:ascii="宋体" w:hAnsi="宋体" w:cs="宋体"/>
                <w:kern w:val="0"/>
                <w:szCs w:val="21"/>
              </w:rPr>
              <w:t>4.持续优化法治化营商环境，深入推进更高水平法治鄂州建设。推进全国法治政府建设示范市的建设，高标准、高质量、高效率开展创建工作，不断强化法治思维，浓厚法律意识，全面提升社会面的法治素质，推动法治思想入脑入心。强化执法司法制约监督，依法妥善处置重大敏感案件。扎实开展涉法涉诉信访积案清查化解专项行动，建立12337平台涉法涉诉信访案件常态化交转督办机制。</w:t>
            </w:r>
          </w:p>
          <w:p>
            <w:pPr>
              <w:widowControl/>
              <w:snapToGrid w:val="0"/>
              <w:rPr>
                <w:rFonts w:ascii="宋体" w:hAnsi="宋体" w:cs="宋体"/>
                <w:kern w:val="0"/>
                <w:szCs w:val="21"/>
              </w:rPr>
            </w:pPr>
            <w:r>
              <w:rPr>
                <w:rFonts w:ascii="宋体" w:hAnsi="宋体" w:cs="宋体"/>
                <w:kern w:val="0"/>
                <w:szCs w:val="21"/>
              </w:rPr>
              <w:t>5</w:t>
            </w:r>
            <w:r>
              <w:rPr>
                <w:rFonts w:hint="eastAsia" w:ascii="宋体" w:hAnsi="宋体" w:cs="宋体"/>
                <w:kern w:val="0"/>
                <w:szCs w:val="21"/>
              </w:rPr>
              <w:t>.加快推进政法智能化建设。坚持高标准建设，不断提升“雪亮工程”交换共享平台及各类公共安全视频监控系统应用和服务能力。组织政法单位赴外考察学习，推进政法智能化建设。</w:t>
            </w:r>
          </w:p>
          <w:p>
            <w:pPr>
              <w:widowControl/>
              <w:snapToGrid w:val="0"/>
              <w:rPr>
                <w:rFonts w:hint="eastAsia" w:ascii="宋体" w:hAnsi="宋体" w:cs="宋体"/>
                <w:kern w:val="0"/>
                <w:szCs w:val="21"/>
              </w:rPr>
            </w:pPr>
            <w:r>
              <w:rPr>
                <w:rFonts w:hint="eastAsia" w:ascii="宋体" w:hAnsi="宋体" w:cs="宋体"/>
                <w:kern w:val="0"/>
                <w:szCs w:val="21"/>
              </w:rPr>
              <w:t>6</w:t>
            </w:r>
            <w:r>
              <w:rPr>
                <w:rFonts w:hint="default" w:ascii="宋体" w:hAnsi="宋体" w:cs="宋体"/>
                <w:kern w:val="0"/>
                <w:szCs w:val="21"/>
              </w:rPr>
              <w:t>.</w:t>
            </w:r>
            <w:r>
              <w:rPr>
                <w:rFonts w:hint="eastAsia" w:ascii="宋体" w:hAnsi="宋体" w:cs="宋体"/>
                <w:kern w:val="0"/>
                <w:szCs w:val="21"/>
              </w:rPr>
              <w:t>巩固深化政法队伍教育整顿成果。常态化整治顽瘴痼疾，持续推进政法系统自我革命，打造党和人民信得过靠得住能放心的政法铁军。坚持严管厚爱，定期开展优秀政法干警评选表彰，完善关爱慰问工作机制和政策。常态化开展“我为群众办实事”“我为基层解难题”活动。加强党风廉政建设，持续开展“转作风、提效能、强责任”。加强政法宣传工作，全面展现政法队伍时代风采。 </w:t>
            </w:r>
          </w:p>
          <w:p>
            <w:pPr>
              <w:widowControl/>
              <w:snapToGrid w:val="0"/>
              <w:rPr>
                <w:rFonts w:ascii="仿宋_GB2312" w:hAnsi="宋体" w:eastAsia="仿宋_GB2312"/>
                <w:color w:val="auto"/>
                <w:kern w:val="0"/>
                <w:highlight w:val="none"/>
              </w:rPr>
            </w:pPr>
            <w:r>
              <w:rPr>
                <w:rFonts w:hint="eastAsia" w:ascii="仿宋_GB2312" w:hAnsi="宋体" w:eastAsia="仿宋_GB2312"/>
                <w:color w:val="auto"/>
                <w:kern w:val="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tcMar>
              <w:left w:w="57" w:type="dxa"/>
              <w:right w:w="57" w:type="dxa"/>
            </w:tcMar>
            <w:vAlign w:val="center"/>
          </w:tcPr>
          <w:p>
            <w:pPr>
              <w:widowControl/>
              <w:snapToGrid w:val="0"/>
              <w:jc w:val="center"/>
              <w:rPr>
                <w:rFonts w:ascii="仿宋_GB2312" w:hAnsi="宋体" w:eastAsia="仿宋_GB2312" w:cs="仿宋_GB2312"/>
                <w:b/>
                <w:bCs/>
                <w:color w:val="auto"/>
                <w:kern w:val="0"/>
                <w:highlight w:val="none"/>
              </w:rPr>
            </w:pPr>
            <w:r>
              <w:rPr>
                <w:rFonts w:hint="eastAsia" w:ascii="仿宋_GB2312" w:hAnsi="宋体" w:eastAsia="仿宋_GB2312" w:cs="仿宋_GB2312"/>
                <w:b/>
                <w:bCs/>
                <w:color w:val="auto"/>
                <w:kern w:val="0"/>
                <w:highlight w:val="none"/>
              </w:rPr>
              <w:t>长期目标：</w:t>
            </w:r>
          </w:p>
          <w:p>
            <w:pPr>
              <w:widowControl/>
              <w:snapToGrid w:val="0"/>
              <w:jc w:val="center"/>
              <w:rPr>
                <w:rFonts w:ascii="仿宋_GB2312" w:hAnsi="宋体" w:eastAsia="仿宋_GB2312"/>
                <w:b/>
                <w:bCs/>
                <w:color w:val="auto"/>
                <w:kern w:val="0"/>
                <w:highlight w:val="none"/>
              </w:rPr>
            </w:pPr>
            <w:r>
              <w:rPr>
                <w:rFonts w:ascii="仿宋_GB2312" w:hAnsi="宋体" w:eastAsia="仿宋_GB2312" w:cs="仿宋_GB2312"/>
                <w:color w:val="auto"/>
                <w:kern w:val="0"/>
                <w:highlight w:val="none"/>
              </w:rPr>
              <w:t>（</w:t>
            </w:r>
            <w:r>
              <w:rPr>
                <w:rFonts w:hint="eastAsia" w:ascii="仿宋_GB2312" w:hAnsi="宋体" w:eastAsia="仿宋_GB2312" w:cs="仿宋_GB2312"/>
                <w:color w:val="auto"/>
                <w:kern w:val="0"/>
                <w:highlight w:val="none"/>
              </w:rPr>
              <w:t>截止</w:t>
            </w:r>
            <w:r>
              <w:rPr>
                <w:rFonts w:hint="eastAsia" w:ascii="仿宋_GB2312" w:hAnsi="宋体" w:eastAsia="仿宋_GB2312" w:cs="仿宋_GB2312"/>
                <w:color w:val="auto"/>
                <w:kern w:val="0"/>
                <w:highlight w:val="none"/>
                <w:lang w:val="en-US" w:eastAsia="zh-CN"/>
              </w:rPr>
              <w:t>2028</w:t>
            </w:r>
            <w:r>
              <w:rPr>
                <w:rFonts w:hint="eastAsia" w:ascii="仿宋_GB2312" w:hAnsi="宋体" w:eastAsia="仿宋_GB2312" w:cs="仿宋_GB2312"/>
                <w:color w:val="auto"/>
                <w:kern w:val="0"/>
                <w:highlight w:val="none"/>
              </w:rPr>
              <w:t>年）</w:t>
            </w:r>
          </w:p>
        </w:tc>
        <w:tc>
          <w:tcPr>
            <w:tcW w:w="7760" w:type="dxa"/>
            <w:gridSpan w:val="17"/>
            <w:tcMar>
              <w:left w:w="57" w:type="dxa"/>
              <w:right w:w="57" w:type="dxa"/>
            </w:tcMar>
            <w:vAlign w:val="center"/>
          </w:tcPr>
          <w:p>
            <w:pPr>
              <w:widowControl/>
              <w:snapToGrid w:val="0"/>
              <w:jc w:val="left"/>
              <w:rPr>
                <w:rFonts w:ascii="仿宋_GB2312" w:hAnsi="宋体" w:eastAsia="仿宋_GB2312"/>
                <w:color w:val="auto"/>
                <w:kern w:val="0"/>
                <w:highlight w:val="none"/>
              </w:rPr>
            </w:pPr>
            <w:r>
              <w:rPr>
                <w:rFonts w:hint="eastAsia" w:ascii="宋体" w:hAnsi="宋体" w:cs="宋体"/>
                <w:kern w:val="0"/>
                <w:szCs w:val="21"/>
              </w:rPr>
              <w:t>完善和创新社会矛盾纠纷预防化解机制，引导各部门依法定纷止争、依理排忧解难，确保社会大局稳定，维护社会公平正义，保障群众安居乐业，推进社会治理体系和治理能力现代化。</w:t>
            </w:r>
            <w:r>
              <w:rPr>
                <w:rFonts w:hint="eastAsia" w:ascii="仿宋_GB2312" w:hAnsi="宋体" w:eastAsia="仿宋_GB2312" w:cs="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长期绩</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效指标</w:t>
            </w:r>
          </w:p>
        </w:tc>
        <w:tc>
          <w:tcPr>
            <w:tcW w:w="954"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461"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二级指标</w:t>
            </w: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三级指标</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指标值</w:t>
            </w:r>
          </w:p>
        </w:tc>
        <w:tc>
          <w:tcPr>
            <w:tcW w:w="1071"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指标值确定依据</w:t>
            </w:r>
          </w:p>
        </w:tc>
        <w:tc>
          <w:tcPr>
            <w:tcW w:w="109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461"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single"/>
              </w:rPr>
            </w:pPr>
            <w:r>
              <w:rPr>
                <w:rFonts w:hint="eastAsia" w:ascii="仿宋_GB2312" w:hAnsi="仿宋_GB2312" w:eastAsia="仿宋_GB2312" w:cs="仿宋_GB2312"/>
                <w:kern w:val="0"/>
                <w:sz w:val="21"/>
                <w:szCs w:val="21"/>
                <w:u w:val="none"/>
              </w:rPr>
              <w:t>公用经费控制</w:t>
            </w: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公用经费控制率</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1071"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109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single"/>
              </w:rPr>
            </w:pPr>
            <w:r>
              <w:rPr>
                <w:rFonts w:hint="eastAsia" w:ascii="仿宋_GB2312" w:hAnsi="仿宋_GB2312" w:eastAsia="仿宋_GB2312" w:cs="仿宋_GB2312"/>
                <w:kern w:val="0"/>
                <w:sz w:val="21"/>
                <w:szCs w:val="21"/>
                <w:u w:val="none"/>
              </w:rPr>
              <w:t>在职人员控制</w:t>
            </w: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在职人员控制率</w:t>
            </w:r>
          </w:p>
        </w:tc>
        <w:tc>
          <w:tcPr>
            <w:tcW w:w="1740"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项目支出成本控制</w:t>
            </w: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会议费控制率</w:t>
            </w:r>
          </w:p>
        </w:tc>
        <w:tc>
          <w:tcPr>
            <w:tcW w:w="1740"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“三公”经费变动率</w:t>
            </w:r>
          </w:p>
        </w:tc>
        <w:tc>
          <w:tcPr>
            <w:tcW w:w="1740"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w:t>
            </w:r>
            <w:r>
              <w:rPr>
                <w:rFonts w:hint="eastAsia" w:ascii="仿宋_GB2312" w:hAnsi="仿宋_GB2312" w:eastAsia="仿宋_GB2312" w:cs="仿宋_GB2312"/>
                <w:kern w:val="0"/>
                <w:sz w:val="21"/>
                <w:szCs w:val="21"/>
                <w:u w:val="none"/>
              </w:rPr>
              <w:t>0%</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行政成本控制率</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461" w:type="dxa"/>
            <w:gridSpan w:val="3"/>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single"/>
              </w:rPr>
            </w:pPr>
            <w:r>
              <w:rPr>
                <w:rFonts w:hint="eastAsia" w:ascii="仿宋_GB2312" w:hAnsi="仿宋_GB2312" w:eastAsia="仿宋_GB2312" w:cs="仿宋_GB2312"/>
                <w:kern w:val="0"/>
                <w:sz w:val="21"/>
                <w:szCs w:val="21"/>
                <w:u w:val="none"/>
              </w:rPr>
              <w:t>战略管理</w:t>
            </w: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中长期规划相符性</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olor w:val="auto"/>
                <w:kern w:val="0"/>
                <w:highlight w:val="none"/>
                <w:lang w:val="en-US" w:eastAsia="zh-CN"/>
              </w:rPr>
            </w:pPr>
            <w:r>
              <w:rPr>
                <w:rFonts w:hint="eastAsia" w:ascii="仿宋_GB2312" w:hAnsi="仿宋_GB2312" w:eastAsia="仿宋_GB2312" w:cs="仿宋_GB2312"/>
                <w:kern w:val="0"/>
                <w:sz w:val="21"/>
                <w:szCs w:val="21"/>
                <w:u w:val="none"/>
              </w:rPr>
              <w:t>完全相符</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工作计划健全性</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olor w:val="auto"/>
                <w:kern w:val="0"/>
                <w:highlight w:val="none"/>
                <w:lang w:val="en-US" w:eastAsia="zh-CN"/>
              </w:rPr>
            </w:pPr>
            <w:r>
              <w:rPr>
                <w:rFonts w:hint="eastAsia" w:ascii="仿宋_GB2312" w:hAnsi="仿宋_GB2312" w:eastAsia="仿宋_GB2312" w:cs="仿宋_GB2312"/>
                <w:kern w:val="0"/>
                <w:sz w:val="21"/>
                <w:szCs w:val="21"/>
                <w:u w:val="none"/>
              </w:rPr>
              <w:t>健全</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预算编制</w:t>
            </w: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预算编制科学性</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olor w:val="FF0000"/>
                <w:kern w:val="0"/>
                <w:highlight w:val="none"/>
                <w:lang w:val="en-US" w:eastAsia="zh-CN"/>
              </w:rPr>
            </w:pPr>
            <w:r>
              <w:rPr>
                <w:rFonts w:hint="eastAsia" w:ascii="仿宋_GB2312" w:hAnsi="仿宋_GB2312" w:eastAsia="仿宋_GB2312" w:cs="仿宋_GB2312"/>
                <w:kern w:val="0"/>
                <w:sz w:val="21"/>
                <w:szCs w:val="21"/>
                <w:u w:val="none"/>
              </w:rPr>
              <w:t>科学</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singl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预算编制合理性</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olor w:val="FF0000"/>
                <w:kern w:val="0"/>
                <w:highlight w:val="none"/>
                <w:lang w:val="en-US" w:eastAsia="zh-CN"/>
              </w:rPr>
            </w:pPr>
            <w:r>
              <w:rPr>
                <w:rFonts w:hint="eastAsia" w:ascii="仿宋_GB2312" w:hAnsi="仿宋_GB2312" w:eastAsia="仿宋_GB2312" w:cs="仿宋_GB2312"/>
                <w:kern w:val="0"/>
                <w:sz w:val="21"/>
                <w:szCs w:val="21"/>
                <w:u w:val="none"/>
              </w:rPr>
              <w:t>合理</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立项规范性</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olor w:val="FF0000"/>
                <w:kern w:val="0"/>
                <w:highlight w:val="none"/>
                <w:lang w:val="en-US" w:eastAsia="zh-CN"/>
              </w:rPr>
            </w:pPr>
            <w:r>
              <w:rPr>
                <w:rFonts w:hint="eastAsia" w:ascii="仿宋_GB2312" w:hAnsi="仿宋_GB2312" w:eastAsia="仿宋_GB2312" w:cs="仿宋_GB2312"/>
                <w:kern w:val="0"/>
                <w:sz w:val="21"/>
                <w:szCs w:val="21"/>
                <w:u w:val="none"/>
              </w:rPr>
              <w:t>规范</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预算调整率</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0%</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预算执行</w:t>
            </w: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预算执行率</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结转结余率</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0</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政府采购执行率</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≥99%</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非税收入预算完成率</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绩效管理</w:t>
            </w: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事前绩效评估完成率</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绩效目标合理性</w:t>
            </w:r>
          </w:p>
        </w:tc>
        <w:tc>
          <w:tcPr>
            <w:tcW w:w="1740"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绩效监控开展率</w:t>
            </w:r>
          </w:p>
        </w:tc>
        <w:tc>
          <w:tcPr>
            <w:tcW w:w="1740"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绩效评价覆盖率</w:t>
            </w:r>
          </w:p>
        </w:tc>
        <w:tc>
          <w:tcPr>
            <w:tcW w:w="1740"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评价结果应用率</w:t>
            </w:r>
          </w:p>
        </w:tc>
        <w:tc>
          <w:tcPr>
            <w:tcW w:w="1740"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资产管理</w:t>
            </w: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资产管理制度健全性</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健全</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资产管理规范性</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规范</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财务管理</w:t>
            </w: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财务管理制度健全性</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健全</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会计核算规范性</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规范</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资金使用合规性</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完全合规</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461"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赴省进京劝返重点上访人</w:t>
            </w:r>
          </w:p>
        </w:tc>
        <w:tc>
          <w:tcPr>
            <w:tcW w:w="144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赴省进京劝返重点上访人不少于5次</w:t>
            </w:r>
          </w:p>
        </w:tc>
        <w:tc>
          <w:tcPr>
            <w:tcW w:w="1740"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w:t>
            </w:r>
            <w:r>
              <w:rPr>
                <w:rFonts w:hint="eastAsia" w:ascii="仿宋_GB2312" w:hAnsi="仿宋_GB2312" w:eastAsia="仿宋_GB2312" w:cs="仿宋_GB2312"/>
                <w:kern w:val="0"/>
                <w:sz w:val="21"/>
                <w:szCs w:val="21"/>
                <w:u w:val="none"/>
                <w:lang w:val="en-US" w:eastAsia="zh-CN"/>
              </w:rPr>
              <w:t>5人</w:t>
            </w:r>
            <w:r>
              <w:rPr>
                <w:rFonts w:hint="eastAsia" w:ascii="仿宋_GB2312" w:hAnsi="仿宋_GB2312" w:eastAsia="仿宋_GB2312" w:cs="仿宋_GB2312"/>
                <w:kern w:val="0"/>
                <w:sz w:val="21"/>
                <w:szCs w:val="21"/>
                <w:u w:val="none"/>
              </w:rPr>
              <w:t>次</w:t>
            </w:r>
          </w:p>
        </w:tc>
        <w:tc>
          <w:tcPr>
            <w:tcW w:w="1071"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下基层开展专项督查</w:t>
            </w:r>
          </w:p>
        </w:tc>
        <w:tc>
          <w:tcPr>
            <w:tcW w:w="144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每月下基层开展专项督查不少于3次</w:t>
            </w:r>
          </w:p>
        </w:tc>
        <w:tc>
          <w:tcPr>
            <w:tcW w:w="1740"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w:t>
            </w:r>
            <w:r>
              <w:rPr>
                <w:rFonts w:hint="eastAsia" w:ascii="仿宋_GB2312" w:hAnsi="仿宋_GB2312" w:eastAsia="仿宋_GB2312" w:cs="仿宋_GB2312"/>
                <w:kern w:val="0"/>
                <w:sz w:val="21"/>
                <w:szCs w:val="21"/>
                <w:u w:val="none"/>
                <w:lang w:val="en-US" w:eastAsia="zh-CN"/>
              </w:rPr>
              <w:t>3</w:t>
            </w:r>
            <w:r>
              <w:rPr>
                <w:rFonts w:hint="eastAsia" w:ascii="仿宋_GB2312" w:hAnsi="仿宋_GB2312" w:eastAsia="仿宋_GB2312" w:cs="仿宋_GB2312"/>
                <w:kern w:val="0"/>
                <w:sz w:val="21"/>
                <w:szCs w:val="21"/>
                <w:u w:val="none"/>
              </w:rPr>
              <w:t>次</w:t>
            </w:r>
          </w:p>
        </w:tc>
        <w:tc>
          <w:tcPr>
            <w:tcW w:w="1071"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全面推进我市政治安保保卫工作，确保全市政治社会大局持续稳定。</w:t>
            </w:r>
          </w:p>
        </w:tc>
        <w:tc>
          <w:tcPr>
            <w:tcW w:w="144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严防影响国家政治安全和社会稳定的重大事件，严防暴力恐怖袭击和个人极端暴力事件，严防规模性群体性事件和影响庆祝活动安全的滋扰事件，严防重特大公安安全事故，严防重大治安事件和网络安全事件，严防重大疫情事件和失泄密事件。</w:t>
            </w:r>
          </w:p>
        </w:tc>
        <w:tc>
          <w:tcPr>
            <w:tcW w:w="1740"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100%</w:t>
            </w:r>
          </w:p>
        </w:tc>
        <w:tc>
          <w:tcPr>
            <w:tcW w:w="1071"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被救助的维稳对象停访息诉</w:t>
            </w:r>
          </w:p>
        </w:tc>
        <w:tc>
          <w:tcPr>
            <w:tcW w:w="144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确保被救助的维稳对象停访息诉</w:t>
            </w:r>
          </w:p>
        </w:tc>
        <w:tc>
          <w:tcPr>
            <w:tcW w:w="1740"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仿宋_GB2312" w:eastAsia="仿宋_GB2312" w:cs="仿宋_GB2312"/>
                <w:kern w:val="0"/>
                <w:sz w:val="21"/>
                <w:szCs w:val="21"/>
                <w:u w:val="none"/>
              </w:rPr>
              <w:t>≥</w:t>
            </w:r>
            <w:r>
              <w:rPr>
                <w:rFonts w:hint="eastAsia" w:ascii="仿宋_GB2312" w:hAnsi="仿宋_GB2312" w:eastAsia="仿宋_GB2312" w:cs="仿宋_GB2312"/>
                <w:kern w:val="0"/>
                <w:sz w:val="21"/>
                <w:szCs w:val="21"/>
                <w:u w:val="none"/>
                <w:lang w:val="en-US" w:eastAsia="zh-CN"/>
              </w:rPr>
              <w:t>95%</w:t>
            </w:r>
          </w:p>
        </w:tc>
        <w:tc>
          <w:tcPr>
            <w:tcW w:w="1071"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落实教育转化、打击防控、宣传教育等反邪教工作措施，</w:t>
            </w:r>
          </w:p>
        </w:tc>
        <w:tc>
          <w:tcPr>
            <w:tcW w:w="144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着力提升邪教治理水平，全力防控邪教问题风险，确保“三个不发生”</w:t>
            </w:r>
          </w:p>
        </w:tc>
        <w:tc>
          <w:tcPr>
            <w:tcW w:w="1740"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1071"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矛盾纠纷调解有效率</w:t>
            </w:r>
          </w:p>
        </w:tc>
        <w:tc>
          <w:tcPr>
            <w:tcW w:w="144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提高矛盾纠纷调解有效率</w:t>
            </w:r>
          </w:p>
        </w:tc>
        <w:tc>
          <w:tcPr>
            <w:tcW w:w="1740"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1071"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平安创建宣传到位</w:t>
            </w:r>
          </w:p>
        </w:tc>
        <w:tc>
          <w:tcPr>
            <w:tcW w:w="144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平安创建宣传不少于100万人次</w:t>
            </w:r>
          </w:p>
        </w:tc>
        <w:tc>
          <w:tcPr>
            <w:tcW w:w="1740"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1071"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提高公正执法满意度</w:t>
            </w:r>
          </w:p>
        </w:tc>
        <w:tc>
          <w:tcPr>
            <w:tcW w:w="144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全面提升公正执法满意度</w:t>
            </w:r>
          </w:p>
        </w:tc>
        <w:tc>
          <w:tcPr>
            <w:tcW w:w="1740"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1071"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提升我市“一感一度一率一评价”</w:t>
            </w:r>
          </w:p>
        </w:tc>
        <w:tc>
          <w:tcPr>
            <w:tcW w:w="144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加强重点特殊群体稳控，推动我市平安创建工作，充分发挥社会治安综合治理的优势和职能作用</w:t>
            </w:r>
          </w:p>
        </w:tc>
        <w:tc>
          <w:tcPr>
            <w:tcW w:w="1740"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1071"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宋体" w:hAnsi="宋体" w:eastAsia="宋体" w:cs="宋体"/>
                <w:i w:val="0"/>
                <w:iCs w:val="0"/>
                <w:color w:val="000000"/>
                <w:kern w:val="0"/>
                <w:sz w:val="20"/>
                <w:szCs w:val="20"/>
                <w:u w:val="none"/>
                <w:lang w:val="en-US" w:eastAsia="zh-CN" w:bidi="ar"/>
              </w:rPr>
              <w:t>全市扫黑除恶宣传</w:t>
            </w:r>
          </w:p>
        </w:tc>
        <w:tc>
          <w:tcPr>
            <w:tcW w:w="144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宋体" w:hAnsi="宋体" w:eastAsia="宋体" w:cs="宋体"/>
                <w:i w:val="0"/>
                <w:iCs w:val="0"/>
                <w:color w:val="000000"/>
                <w:kern w:val="0"/>
                <w:sz w:val="20"/>
                <w:szCs w:val="20"/>
                <w:u w:val="none"/>
                <w:lang w:val="en-US" w:eastAsia="zh-CN" w:bidi="ar"/>
              </w:rPr>
              <w:t>全市扫黑除恶宣传人数100万人次</w:t>
            </w:r>
          </w:p>
        </w:tc>
        <w:tc>
          <w:tcPr>
            <w:tcW w:w="1740"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w:t>
            </w:r>
            <w:r>
              <w:rPr>
                <w:rFonts w:hint="eastAsia" w:ascii="宋体" w:hAnsi="宋体" w:eastAsia="宋体" w:cs="宋体"/>
                <w:i w:val="0"/>
                <w:iCs w:val="0"/>
                <w:color w:val="000000"/>
                <w:kern w:val="0"/>
                <w:sz w:val="20"/>
                <w:szCs w:val="20"/>
                <w:u w:val="none"/>
                <w:lang w:val="en-US" w:eastAsia="zh-CN" w:bidi="ar"/>
              </w:rPr>
              <w:t>100万人次</w:t>
            </w:r>
          </w:p>
        </w:tc>
        <w:tc>
          <w:tcPr>
            <w:tcW w:w="1071"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宋体" w:hAnsi="宋体" w:eastAsia="宋体" w:cs="宋体"/>
                <w:i w:val="0"/>
                <w:iCs w:val="0"/>
                <w:color w:val="000000"/>
                <w:kern w:val="0"/>
                <w:sz w:val="20"/>
                <w:szCs w:val="20"/>
                <w:u w:val="none"/>
                <w:lang w:val="en-US" w:eastAsia="zh-CN" w:bidi="ar"/>
              </w:rPr>
              <w:t>无黑恶势力，无“保护伞”</w:t>
            </w:r>
          </w:p>
        </w:tc>
        <w:tc>
          <w:tcPr>
            <w:tcW w:w="1440" w:type="dxa"/>
            <w:gridSpan w:val="2"/>
            <w:tcMar>
              <w:left w:w="57" w:type="dxa"/>
              <w:right w:w="57" w:type="dxa"/>
            </w:tcMar>
            <w:vAlign w:val="center"/>
          </w:tcPr>
          <w:p>
            <w:pPr>
              <w:keepNext w:val="0"/>
              <w:keepLines w:val="0"/>
              <w:widowControl/>
              <w:suppressLineNumbers w:val="0"/>
              <w:jc w:val="left"/>
              <w:textAlignment w:val="center"/>
              <w:rPr>
                <w:rFonts w:hint="eastAsia" w:ascii="仿宋_GB2312" w:hAnsi="宋体" w:eastAsia="仿宋_GB2312" w:cs="Times New Roman"/>
                <w:kern w:val="0"/>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扫除黑恶势力，打伞破网</w:t>
            </w:r>
          </w:p>
        </w:tc>
        <w:tc>
          <w:tcPr>
            <w:tcW w:w="1740"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1071"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宋体" w:hAnsi="宋体" w:eastAsia="宋体" w:cs="宋体"/>
                <w:i w:val="0"/>
                <w:iCs w:val="0"/>
                <w:color w:val="000000"/>
                <w:kern w:val="0"/>
                <w:sz w:val="20"/>
                <w:szCs w:val="20"/>
                <w:u w:val="none"/>
                <w:lang w:val="en-US" w:eastAsia="zh-CN" w:bidi="ar"/>
              </w:rPr>
              <w:t>扫黑除恶常态化和法治化营商环境</w:t>
            </w:r>
          </w:p>
        </w:tc>
        <w:tc>
          <w:tcPr>
            <w:tcW w:w="144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宋体" w:hAnsi="宋体" w:eastAsia="宋体" w:cs="宋体"/>
                <w:i w:val="0"/>
                <w:iCs w:val="0"/>
                <w:color w:val="000000"/>
                <w:kern w:val="0"/>
                <w:sz w:val="20"/>
                <w:szCs w:val="20"/>
                <w:u w:val="none"/>
                <w:lang w:val="en-US" w:eastAsia="zh-CN" w:bidi="ar"/>
              </w:rPr>
              <w:t>扫黑除恶常态化和法治化营商环境</w:t>
            </w:r>
          </w:p>
        </w:tc>
        <w:tc>
          <w:tcPr>
            <w:tcW w:w="1740"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1071"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督查检查铁路隐患整改</w:t>
            </w:r>
          </w:p>
        </w:tc>
        <w:tc>
          <w:tcPr>
            <w:tcW w:w="144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开展督查整改次数不少于10次</w:t>
            </w:r>
          </w:p>
        </w:tc>
        <w:tc>
          <w:tcPr>
            <w:tcW w:w="1740"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w:t>
            </w:r>
            <w:r>
              <w:rPr>
                <w:rFonts w:hint="eastAsia" w:ascii="宋体" w:hAnsi="宋体" w:eastAsia="宋体" w:cs="宋体"/>
                <w:i w:val="0"/>
                <w:iCs w:val="0"/>
                <w:color w:val="000000"/>
                <w:kern w:val="0"/>
                <w:sz w:val="20"/>
                <w:szCs w:val="20"/>
                <w:u w:val="none"/>
                <w:lang w:val="en-US" w:eastAsia="zh-CN" w:bidi="ar"/>
              </w:rPr>
              <w:t>10</w:t>
            </w:r>
            <w:r>
              <w:rPr>
                <w:rFonts w:hint="eastAsia" w:ascii="宋体" w:hAnsi="宋体" w:cs="宋体"/>
                <w:i w:val="0"/>
                <w:iCs w:val="0"/>
                <w:color w:val="000000"/>
                <w:kern w:val="0"/>
                <w:sz w:val="20"/>
                <w:szCs w:val="20"/>
                <w:u w:val="none"/>
                <w:lang w:val="en-US" w:eastAsia="zh-CN" w:bidi="ar"/>
              </w:rPr>
              <w:t>次</w:t>
            </w:r>
          </w:p>
        </w:tc>
        <w:tc>
          <w:tcPr>
            <w:tcW w:w="1071"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铁路沿线环境整治</w:t>
            </w:r>
          </w:p>
        </w:tc>
        <w:tc>
          <w:tcPr>
            <w:tcW w:w="144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结合美丽乡村建设美化铁路沿线环境</w:t>
            </w:r>
          </w:p>
        </w:tc>
        <w:tc>
          <w:tcPr>
            <w:tcW w:w="1740"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1071"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调解各类民事纠纷</w:t>
            </w:r>
          </w:p>
        </w:tc>
        <w:tc>
          <w:tcPr>
            <w:tcW w:w="144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及时化解各行业矛盾纠纷</w:t>
            </w:r>
          </w:p>
        </w:tc>
        <w:tc>
          <w:tcPr>
            <w:tcW w:w="1740"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1071"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hint="eastAsia" w:ascii="仿宋_GB2312" w:hAnsi="宋体" w:eastAsia="仿宋_GB2312" w:cs="仿宋_GB2312"/>
                <w:b/>
                <w:bCs/>
                <w:color w:val="auto"/>
                <w:kern w:val="0"/>
                <w:highlight w:val="none"/>
                <w:lang w:eastAsia="zh-CN"/>
              </w:rPr>
            </w:pPr>
            <w:r>
              <w:rPr>
                <w:rFonts w:hint="eastAsia" w:ascii="仿宋_GB2312" w:hAnsi="宋体" w:eastAsia="仿宋_GB2312" w:cs="仿宋_GB2312"/>
                <w:color w:val="auto"/>
                <w:kern w:val="0"/>
                <w:highlight w:val="none"/>
              </w:rPr>
              <w:t>智能化建设信息系统正常使用</w:t>
            </w:r>
            <w:r>
              <w:rPr>
                <w:rFonts w:hint="eastAsia" w:ascii="仿宋_GB2312" w:hAnsi="宋体" w:eastAsia="仿宋_GB2312" w:cs="仿宋_GB2312"/>
                <w:color w:val="auto"/>
                <w:kern w:val="0"/>
                <w:highlight w:val="none"/>
                <w:lang w:eastAsia="zh-CN"/>
              </w:rPr>
              <w:t>，建立健全网上网下联动机制</w:t>
            </w:r>
          </w:p>
        </w:tc>
        <w:tc>
          <w:tcPr>
            <w:tcW w:w="144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rPr>
              <w:t>年度建设任务按时完成</w:t>
            </w:r>
            <w:r>
              <w:rPr>
                <w:rFonts w:hint="eastAsia" w:ascii="仿宋_GB2312" w:hAnsi="宋体" w:eastAsia="仿宋_GB2312" w:cs="仿宋_GB2312"/>
                <w:color w:val="auto"/>
                <w:kern w:val="0"/>
                <w:highlight w:val="none"/>
                <w:lang w:eastAsia="zh-CN"/>
              </w:rPr>
              <w:t>，提高应用水平和实战能力</w:t>
            </w:r>
          </w:p>
        </w:tc>
        <w:tc>
          <w:tcPr>
            <w:tcW w:w="1740"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1071"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推进市综治中心实体化运作</w:t>
            </w:r>
          </w:p>
        </w:tc>
        <w:tc>
          <w:tcPr>
            <w:tcW w:w="144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围绕市域社会治理，开展调查研究</w:t>
            </w:r>
          </w:p>
        </w:tc>
        <w:tc>
          <w:tcPr>
            <w:tcW w:w="1740"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1071"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围绕法治保障、法律实施出现的热点、难点问题开展调查研究</w:t>
            </w:r>
          </w:p>
        </w:tc>
        <w:tc>
          <w:tcPr>
            <w:tcW w:w="144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建立服务平台，开展法律咨询、法律援助、矛盾调解等工作。</w:t>
            </w:r>
          </w:p>
        </w:tc>
        <w:tc>
          <w:tcPr>
            <w:tcW w:w="1740"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w:t>
            </w:r>
            <w:r>
              <w:rPr>
                <w:rFonts w:hint="eastAsia" w:ascii="宋体" w:hAnsi="宋体" w:eastAsia="宋体" w:cs="宋体"/>
                <w:i w:val="0"/>
                <w:iCs w:val="0"/>
                <w:color w:val="000000"/>
                <w:kern w:val="0"/>
                <w:sz w:val="20"/>
                <w:szCs w:val="20"/>
                <w:u w:val="none"/>
                <w:lang w:val="en-US" w:eastAsia="zh-CN" w:bidi="ar"/>
              </w:rPr>
              <w:t>10</w:t>
            </w:r>
            <w:r>
              <w:rPr>
                <w:rFonts w:hint="eastAsia" w:ascii="宋体" w:hAnsi="宋体" w:cs="宋体"/>
                <w:i w:val="0"/>
                <w:iCs w:val="0"/>
                <w:color w:val="000000"/>
                <w:kern w:val="0"/>
                <w:sz w:val="20"/>
                <w:szCs w:val="20"/>
                <w:u w:val="none"/>
                <w:lang w:val="en-US" w:eastAsia="zh-CN" w:bidi="ar"/>
              </w:rPr>
              <w:t>次</w:t>
            </w:r>
          </w:p>
        </w:tc>
        <w:tc>
          <w:tcPr>
            <w:tcW w:w="1071"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rPr>
            </w:pPr>
            <w:r>
              <w:rPr>
                <w:rFonts w:hint="eastAsia" w:ascii="仿宋_GB2312" w:hAnsi="仿宋_GB2312" w:eastAsia="仿宋_GB2312" w:cs="仿宋_GB2312"/>
                <w:kern w:val="0"/>
                <w:sz w:val="21"/>
                <w:szCs w:val="21"/>
                <w:u w:val="none"/>
              </w:rPr>
              <w:t>社会</w:t>
            </w:r>
          </w:p>
          <w:p>
            <w:pPr>
              <w:keepNext w:val="0"/>
              <w:keepLines w:val="0"/>
              <w:pageBreakBefore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效应</w:t>
            </w:r>
          </w:p>
        </w:tc>
        <w:tc>
          <w:tcPr>
            <w:tcW w:w="1461" w:type="dxa"/>
            <w:gridSpan w:val="3"/>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经济效益</w:t>
            </w: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维护社会安全稳定，促进经济繁荣发展</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100%</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优化</w:t>
            </w:r>
            <w:r>
              <w:rPr>
                <w:rFonts w:hint="eastAsia" w:ascii="仿宋_GB2312" w:hAnsi="仿宋_GB2312" w:eastAsia="仿宋_GB2312" w:cs="仿宋_GB2312"/>
                <w:kern w:val="0"/>
                <w:sz w:val="21"/>
                <w:szCs w:val="21"/>
                <w:u w:val="none"/>
                <w:lang w:eastAsia="zh-CN"/>
              </w:rPr>
              <w:t>法治</w:t>
            </w:r>
            <w:r>
              <w:rPr>
                <w:rFonts w:hint="eastAsia" w:ascii="仿宋_GB2312" w:hAnsi="仿宋_GB2312" w:eastAsia="仿宋_GB2312" w:cs="仿宋_GB2312"/>
                <w:kern w:val="0"/>
                <w:sz w:val="21"/>
                <w:szCs w:val="21"/>
                <w:u w:val="none"/>
              </w:rPr>
              <w:t>营商环境</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100%</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p>
        </w:tc>
        <w:tc>
          <w:tcPr>
            <w:tcW w:w="1461"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社会效益</w:t>
            </w: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意识形态工作</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100%</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历史标准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p>
        </w:tc>
        <w:tc>
          <w:tcPr>
            <w:tcW w:w="1461"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rPr>
            </w:pPr>
            <w:r>
              <w:rPr>
                <w:rFonts w:hint="eastAsia" w:ascii="仿宋_GB2312" w:hAnsi="仿宋_GB2312" w:eastAsia="仿宋_GB2312" w:cs="仿宋_GB2312"/>
                <w:kern w:val="0"/>
                <w:sz w:val="21"/>
                <w:szCs w:val="21"/>
                <w:u w:val="none"/>
              </w:rPr>
              <w:t>生态效益</w:t>
            </w: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rPr>
            </w:pPr>
            <w:r>
              <w:rPr>
                <w:rFonts w:hint="eastAsia" w:ascii="仿宋_GB2312" w:hAnsi="仿宋_GB2312" w:eastAsia="仿宋_GB2312" w:cs="仿宋_GB2312"/>
                <w:kern w:val="0"/>
                <w:sz w:val="21"/>
                <w:szCs w:val="21"/>
                <w:u w:val="none"/>
              </w:rPr>
              <w:t>生态建设工作正向影响</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rPr>
            </w:pPr>
            <w:r>
              <w:rPr>
                <w:rFonts w:hint="eastAsia" w:ascii="仿宋_GB2312" w:hAnsi="仿宋_GB2312" w:eastAsia="仿宋_GB2312" w:cs="仿宋_GB2312"/>
                <w:kern w:val="0"/>
                <w:sz w:val="21"/>
                <w:szCs w:val="21"/>
                <w:u w:val="none"/>
              </w:rPr>
              <w:t>100%</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kern w:val="0"/>
                <w:sz w:val="21"/>
                <w:szCs w:val="21"/>
                <w:u w:val="none"/>
              </w:rPr>
            </w:pPr>
            <w:r>
              <w:rPr>
                <w:rFonts w:hint="eastAsia" w:ascii="仿宋_GB2312" w:hAnsi="仿宋_GB2312" w:eastAsia="仿宋_GB2312" w:cs="仿宋_GB2312"/>
                <w:kern w:val="0"/>
                <w:sz w:val="21"/>
                <w:szCs w:val="21"/>
                <w:u w:val="none"/>
              </w:rPr>
              <w:t>历史标准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kern w:val="0"/>
                <w:sz w:val="21"/>
                <w:szCs w:val="21"/>
                <w:u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461"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44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成效明显</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44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成效明显</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44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100%</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44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符合</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44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基本符合</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restart"/>
            <w:tcMar>
              <w:left w:w="57" w:type="dxa"/>
              <w:right w:w="57" w:type="dxa"/>
            </w:tcMar>
            <w:vAlign w:val="center"/>
          </w:tcPr>
          <w:p>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信息化建设情况</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完全合规</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专用通信保障专用通信水平</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完全合规</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国产化替代水平</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完全合规</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461"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离退休人员满意度</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100%</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历史标准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hint="eastAsia" w:ascii="仿宋_GB2312" w:hAnsi="宋体" w:eastAsia="仿宋_GB2312"/>
                <w:color w:val="auto"/>
                <w:kern w:val="0"/>
                <w:highlight w:val="none"/>
              </w:rPr>
            </w:pPr>
          </w:p>
        </w:tc>
        <w:tc>
          <w:tcPr>
            <w:tcW w:w="1461"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群众</w:t>
            </w:r>
            <w:r>
              <w:rPr>
                <w:rFonts w:hint="eastAsia" w:ascii="仿宋_GB2312" w:hAnsi="仿宋_GB2312" w:eastAsia="仿宋_GB2312" w:cs="仿宋_GB2312"/>
                <w:kern w:val="0"/>
                <w:sz w:val="21"/>
                <w:szCs w:val="21"/>
                <w:u w:val="none"/>
                <w:lang w:eastAsia="zh-CN"/>
              </w:rPr>
              <w:t>安全感</w:t>
            </w:r>
            <w:r>
              <w:rPr>
                <w:rFonts w:hint="eastAsia" w:ascii="仿宋_GB2312" w:hAnsi="仿宋_GB2312" w:eastAsia="仿宋_GB2312" w:cs="仿宋_GB2312"/>
                <w:kern w:val="0"/>
                <w:sz w:val="21"/>
                <w:szCs w:val="21"/>
                <w:u w:val="none"/>
              </w:rPr>
              <w:br w:type="textWrapping"/>
            </w:r>
            <w:r>
              <w:rPr>
                <w:rFonts w:hint="eastAsia" w:ascii="仿宋_GB2312" w:hAnsi="仿宋_GB2312" w:eastAsia="仿宋_GB2312" w:cs="仿宋_GB2312"/>
                <w:kern w:val="0"/>
                <w:sz w:val="21"/>
                <w:szCs w:val="21"/>
                <w:u w:val="none"/>
              </w:rPr>
              <w:t>满意度</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100%</w:t>
            </w:r>
          </w:p>
        </w:tc>
        <w:tc>
          <w:tcPr>
            <w:tcW w:w="1071" w:type="dxa"/>
            <w:gridSpan w:val="4"/>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历史标准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hint="eastAsia" w:ascii="仿宋_GB2312" w:hAnsi="宋体" w:eastAsia="仿宋_GB2312"/>
                <w:color w:val="auto"/>
                <w:kern w:val="0"/>
                <w:highlight w:val="none"/>
              </w:rPr>
            </w:pPr>
          </w:p>
        </w:tc>
        <w:tc>
          <w:tcPr>
            <w:tcW w:w="1461"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共建村（居）满意度</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100%</w:t>
            </w:r>
          </w:p>
        </w:tc>
        <w:tc>
          <w:tcPr>
            <w:tcW w:w="1071"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历史标准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部门工作联系</w:t>
            </w:r>
          </w:p>
        </w:tc>
        <w:tc>
          <w:tcPr>
            <w:tcW w:w="1740"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及时有效</w:t>
            </w:r>
          </w:p>
        </w:tc>
        <w:tc>
          <w:tcPr>
            <w:tcW w:w="1071"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历史标准</w:t>
            </w:r>
          </w:p>
        </w:tc>
        <w:tc>
          <w:tcPr>
            <w:tcW w:w="1094"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68" w:type="dxa"/>
            <w:tcMar>
              <w:left w:w="57" w:type="dxa"/>
              <w:right w:w="57" w:type="dxa"/>
            </w:tcMar>
            <w:vAlign w:val="center"/>
          </w:tcPr>
          <w:p>
            <w:pPr>
              <w:widowControl/>
              <w:snapToGrid w:val="0"/>
              <w:jc w:val="center"/>
              <w:rPr>
                <w:rFonts w:ascii="仿宋_GB2312" w:hAnsi="宋体" w:eastAsia="仿宋_GB2312"/>
                <w:b/>
                <w:bCs/>
                <w:color w:val="auto"/>
                <w:kern w:val="0"/>
                <w:highlight w:val="none"/>
              </w:rPr>
            </w:pPr>
            <w:r>
              <w:rPr>
                <w:rFonts w:hint="eastAsia" w:ascii="仿宋_GB2312" w:hAnsi="宋体" w:eastAsia="仿宋_GB2312" w:cs="仿宋_GB2312"/>
                <w:b/>
                <w:bCs/>
                <w:color w:val="auto"/>
                <w:kern w:val="0"/>
                <w:highlight w:val="none"/>
              </w:rPr>
              <w:t>年度目标：</w:t>
            </w:r>
          </w:p>
        </w:tc>
        <w:tc>
          <w:tcPr>
            <w:tcW w:w="7760" w:type="dxa"/>
            <w:gridSpan w:val="17"/>
            <w:tcMar>
              <w:left w:w="57" w:type="dxa"/>
              <w:right w:w="57" w:type="dxa"/>
            </w:tcMar>
            <w:vAlign w:val="center"/>
          </w:tcPr>
          <w:p>
            <w:pPr>
              <w:widowControl/>
              <w:snapToGrid w:val="0"/>
              <w:jc w:val="left"/>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　</w:t>
            </w:r>
            <w:r>
              <w:rPr>
                <w:rFonts w:hint="eastAsia" w:ascii="宋体" w:hAnsi="宋体" w:cs="宋体"/>
                <w:kern w:val="0"/>
                <w:szCs w:val="21"/>
              </w:rPr>
              <w:t>充分发挥社会治安综合治理的优势和职能作用，动员全社会广泛参与，推进各部门齐抓共管，为鄂州市经济建设保驾护航。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年度绩效指标</w:t>
            </w:r>
          </w:p>
        </w:tc>
        <w:tc>
          <w:tcPr>
            <w:tcW w:w="954"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461"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440"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652" w:type="dxa"/>
            <w:tcBorders>
              <w:righ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873" w:type="dxa"/>
            <w:gridSpan w:val="5"/>
            <w:tcBorders>
              <w:lef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指标值</w:t>
            </w:r>
          </w:p>
        </w:tc>
        <w:tc>
          <w:tcPr>
            <w:tcW w:w="786"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594"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40"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40"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近两年指标值</w:t>
            </w:r>
          </w:p>
        </w:tc>
        <w:tc>
          <w:tcPr>
            <w:tcW w:w="785"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预期当年实现值</w:t>
            </w:r>
          </w:p>
        </w:tc>
        <w:tc>
          <w:tcPr>
            <w:tcW w:w="786"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5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40"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93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2022</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810" w:type="dxa"/>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2023</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78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86"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594" w:type="dxa"/>
            <w:vMerge w:val="continue"/>
            <w:tcBorders>
              <w:lef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461"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44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93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78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786"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olor w:val="auto"/>
                <w:kern w:val="0"/>
                <w:highlight w:val="none"/>
                <w:lang w:eastAsia="zh-CN"/>
              </w:rPr>
            </w:pPr>
            <w:r>
              <w:rPr>
                <w:rFonts w:hint="eastAsia" w:ascii="仿宋_GB2312" w:hAnsi="仿宋_GB2312" w:eastAsia="仿宋_GB2312" w:cs="仿宋_GB2312"/>
                <w:kern w:val="0"/>
                <w:sz w:val="21"/>
                <w:szCs w:val="21"/>
                <w:u w:val="none"/>
              </w:rPr>
              <w:t>预算支出标准</w:t>
            </w:r>
          </w:p>
        </w:tc>
        <w:tc>
          <w:tcPr>
            <w:tcW w:w="594"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single"/>
              </w:rPr>
            </w:pPr>
            <w:r>
              <w:rPr>
                <w:rFonts w:hint="eastAsia" w:ascii="仿宋_GB2312" w:hAnsi="仿宋_GB2312" w:eastAsia="仿宋_GB2312" w:cs="仿宋_GB2312"/>
                <w:kern w:val="0"/>
                <w:sz w:val="21"/>
                <w:szCs w:val="21"/>
                <w:u w:val="none"/>
              </w:rPr>
              <w:t>在职人员控制</w:t>
            </w: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在职人员控制率</w:t>
            </w:r>
          </w:p>
        </w:tc>
        <w:tc>
          <w:tcPr>
            <w:tcW w:w="93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78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项目支出成本控制</w:t>
            </w: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会议费控制率</w:t>
            </w:r>
          </w:p>
        </w:tc>
        <w:tc>
          <w:tcPr>
            <w:tcW w:w="93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78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“三公”经费</w:t>
            </w:r>
            <w:bookmarkStart w:id="0" w:name="_GoBack"/>
            <w:bookmarkEnd w:id="0"/>
            <w:r>
              <w:rPr>
                <w:rFonts w:hint="eastAsia" w:ascii="仿宋_GB2312" w:hAnsi="仿宋_GB2312" w:eastAsia="仿宋_GB2312" w:cs="仿宋_GB2312"/>
                <w:kern w:val="0"/>
                <w:sz w:val="21"/>
                <w:szCs w:val="21"/>
                <w:u w:val="none"/>
              </w:rPr>
              <w:t>变动率</w:t>
            </w:r>
          </w:p>
        </w:tc>
        <w:tc>
          <w:tcPr>
            <w:tcW w:w="930"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lang w:val="en-US" w:eastAsia="zh-CN"/>
              </w:rPr>
              <w:t>30</w:t>
            </w:r>
            <w:r>
              <w:rPr>
                <w:rFonts w:hint="eastAsia" w:ascii="仿宋_GB2312" w:hAnsi="仿宋_GB2312" w:eastAsia="仿宋_GB2312" w:cs="仿宋_GB2312"/>
                <w:kern w:val="0"/>
                <w:sz w:val="21"/>
                <w:szCs w:val="21"/>
                <w:u w:val="none"/>
              </w:rPr>
              <w:t>%</w:t>
            </w:r>
          </w:p>
        </w:tc>
        <w:tc>
          <w:tcPr>
            <w:tcW w:w="810"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lang w:val="en-US" w:eastAsia="zh-CN"/>
              </w:rPr>
              <w:t>6</w:t>
            </w:r>
            <w:r>
              <w:rPr>
                <w:rFonts w:hint="eastAsia" w:ascii="仿宋_GB2312" w:hAnsi="仿宋_GB2312" w:eastAsia="仿宋_GB2312" w:cs="仿宋_GB2312"/>
                <w:kern w:val="0"/>
                <w:sz w:val="21"/>
                <w:szCs w:val="21"/>
                <w:u w:val="none"/>
              </w:rPr>
              <w:t>%</w:t>
            </w:r>
          </w:p>
        </w:tc>
        <w:tc>
          <w:tcPr>
            <w:tcW w:w="785"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lang w:val="en-US" w:eastAsia="zh-CN"/>
              </w:rPr>
              <w:t>0</w:t>
            </w:r>
            <w:r>
              <w:rPr>
                <w:rFonts w:hint="eastAsia" w:ascii="仿宋_GB2312" w:hAnsi="仿宋_GB2312" w:eastAsia="仿宋_GB2312" w:cs="仿宋_GB2312"/>
                <w:kern w:val="0"/>
                <w:sz w:val="21"/>
                <w:szCs w:val="21"/>
                <w:u w:val="none"/>
              </w:rPr>
              <w:t>%</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行政成本控制率</w:t>
            </w:r>
          </w:p>
        </w:tc>
        <w:tc>
          <w:tcPr>
            <w:tcW w:w="930"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810"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785"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461" w:type="dxa"/>
            <w:gridSpan w:val="3"/>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single"/>
              </w:rPr>
            </w:pPr>
            <w:r>
              <w:rPr>
                <w:rFonts w:hint="eastAsia" w:ascii="仿宋_GB2312" w:hAnsi="仿宋_GB2312" w:eastAsia="仿宋_GB2312" w:cs="仿宋_GB2312"/>
                <w:kern w:val="0"/>
                <w:sz w:val="21"/>
                <w:szCs w:val="21"/>
                <w:u w:val="none"/>
              </w:rPr>
              <w:t>战略管理</w:t>
            </w: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中长期规划相符性</w:t>
            </w:r>
          </w:p>
        </w:tc>
        <w:tc>
          <w:tcPr>
            <w:tcW w:w="93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完全相符</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完全相符</w:t>
            </w:r>
          </w:p>
        </w:tc>
        <w:tc>
          <w:tcPr>
            <w:tcW w:w="78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完全相符</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工作计划健全性</w:t>
            </w:r>
          </w:p>
        </w:tc>
        <w:tc>
          <w:tcPr>
            <w:tcW w:w="93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健全</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健全</w:t>
            </w:r>
          </w:p>
        </w:tc>
        <w:tc>
          <w:tcPr>
            <w:tcW w:w="78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健全</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预算编制</w:t>
            </w: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预算编制科学性</w:t>
            </w:r>
          </w:p>
        </w:tc>
        <w:tc>
          <w:tcPr>
            <w:tcW w:w="93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科学</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科学</w:t>
            </w:r>
          </w:p>
        </w:tc>
        <w:tc>
          <w:tcPr>
            <w:tcW w:w="78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科学</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singl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预算编制合理性</w:t>
            </w:r>
          </w:p>
        </w:tc>
        <w:tc>
          <w:tcPr>
            <w:tcW w:w="93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合理</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合理</w:t>
            </w:r>
          </w:p>
        </w:tc>
        <w:tc>
          <w:tcPr>
            <w:tcW w:w="78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合理</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立项规范性</w:t>
            </w:r>
          </w:p>
        </w:tc>
        <w:tc>
          <w:tcPr>
            <w:tcW w:w="93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规范</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规范</w:t>
            </w:r>
          </w:p>
        </w:tc>
        <w:tc>
          <w:tcPr>
            <w:tcW w:w="78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规范</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预算调整率</w:t>
            </w:r>
          </w:p>
        </w:tc>
        <w:tc>
          <w:tcPr>
            <w:tcW w:w="93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0%</w:t>
            </w:r>
          </w:p>
        </w:tc>
        <w:tc>
          <w:tcPr>
            <w:tcW w:w="78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0%</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预算执行</w:t>
            </w: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预算执行率</w:t>
            </w:r>
          </w:p>
        </w:tc>
        <w:tc>
          <w:tcPr>
            <w:tcW w:w="93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78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结转结余率</w:t>
            </w:r>
          </w:p>
        </w:tc>
        <w:tc>
          <w:tcPr>
            <w:tcW w:w="93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0</w:t>
            </w:r>
          </w:p>
        </w:tc>
        <w:tc>
          <w:tcPr>
            <w:tcW w:w="78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0</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政府采购执行率</w:t>
            </w:r>
          </w:p>
        </w:tc>
        <w:tc>
          <w:tcPr>
            <w:tcW w:w="93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≥99%</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≥99%</w:t>
            </w:r>
          </w:p>
        </w:tc>
        <w:tc>
          <w:tcPr>
            <w:tcW w:w="78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≥99%</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非税收入预算完成率</w:t>
            </w:r>
          </w:p>
        </w:tc>
        <w:tc>
          <w:tcPr>
            <w:tcW w:w="93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78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绩效管理</w:t>
            </w: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事前绩效评估完成率</w:t>
            </w:r>
          </w:p>
        </w:tc>
        <w:tc>
          <w:tcPr>
            <w:tcW w:w="93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78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绩效目标合理性</w:t>
            </w:r>
          </w:p>
        </w:tc>
        <w:tc>
          <w:tcPr>
            <w:tcW w:w="930"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810"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785"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绩效监控开展率</w:t>
            </w:r>
          </w:p>
        </w:tc>
        <w:tc>
          <w:tcPr>
            <w:tcW w:w="930"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810"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785"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绩效评价覆盖率</w:t>
            </w:r>
          </w:p>
        </w:tc>
        <w:tc>
          <w:tcPr>
            <w:tcW w:w="930"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810"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785"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评价结果应用率</w:t>
            </w:r>
          </w:p>
        </w:tc>
        <w:tc>
          <w:tcPr>
            <w:tcW w:w="930"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810"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785"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100%</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资产管理</w:t>
            </w: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资产管理制度健全性</w:t>
            </w:r>
          </w:p>
        </w:tc>
        <w:tc>
          <w:tcPr>
            <w:tcW w:w="93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健全</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健全</w:t>
            </w:r>
          </w:p>
        </w:tc>
        <w:tc>
          <w:tcPr>
            <w:tcW w:w="78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健全</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资产管理规范性</w:t>
            </w:r>
          </w:p>
        </w:tc>
        <w:tc>
          <w:tcPr>
            <w:tcW w:w="93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规范</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规范</w:t>
            </w:r>
          </w:p>
        </w:tc>
        <w:tc>
          <w:tcPr>
            <w:tcW w:w="78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规范</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财务管理</w:t>
            </w: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财务管理制度健全性</w:t>
            </w:r>
          </w:p>
        </w:tc>
        <w:tc>
          <w:tcPr>
            <w:tcW w:w="93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健全</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健全</w:t>
            </w:r>
          </w:p>
        </w:tc>
        <w:tc>
          <w:tcPr>
            <w:tcW w:w="78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健全</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会计核算规范性</w:t>
            </w:r>
          </w:p>
        </w:tc>
        <w:tc>
          <w:tcPr>
            <w:tcW w:w="93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规范</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规范</w:t>
            </w:r>
          </w:p>
        </w:tc>
        <w:tc>
          <w:tcPr>
            <w:tcW w:w="78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规范</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资金使用合规性</w:t>
            </w:r>
          </w:p>
        </w:tc>
        <w:tc>
          <w:tcPr>
            <w:tcW w:w="93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完全合规</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完全合规</w:t>
            </w:r>
          </w:p>
        </w:tc>
        <w:tc>
          <w:tcPr>
            <w:tcW w:w="78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完全合规</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预算支出标准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461"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赴省进京劝返重点上访人</w:t>
            </w:r>
          </w:p>
        </w:tc>
        <w:tc>
          <w:tcPr>
            <w:tcW w:w="144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赴省进京劝返重点上访人不少于5次</w:t>
            </w:r>
          </w:p>
        </w:tc>
        <w:tc>
          <w:tcPr>
            <w:tcW w:w="9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w:t>
            </w:r>
            <w:r>
              <w:rPr>
                <w:rFonts w:hint="eastAsia" w:ascii="仿宋_GB2312" w:hAnsi="仿宋_GB2312" w:eastAsia="仿宋_GB2312" w:cs="仿宋_GB2312"/>
                <w:kern w:val="0"/>
                <w:sz w:val="21"/>
                <w:szCs w:val="21"/>
                <w:u w:val="none"/>
                <w:lang w:val="en-US" w:eastAsia="zh-CN"/>
              </w:rPr>
              <w:t>5人</w:t>
            </w:r>
            <w:r>
              <w:rPr>
                <w:rFonts w:hint="eastAsia" w:ascii="仿宋_GB2312" w:hAnsi="仿宋_GB2312" w:eastAsia="仿宋_GB2312" w:cs="仿宋_GB2312"/>
                <w:kern w:val="0"/>
                <w:sz w:val="21"/>
                <w:szCs w:val="21"/>
                <w:u w:val="none"/>
              </w:rPr>
              <w:t>次</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w:t>
            </w:r>
            <w:r>
              <w:rPr>
                <w:rFonts w:hint="eastAsia" w:ascii="仿宋_GB2312" w:hAnsi="仿宋_GB2312" w:eastAsia="仿宋_GB2312" w:cs="仿宋_GB2312"/>
                <w:kern w:val="0"/>
                <w:sz w:val="21"/>
                <w:szCs w:val="21"/>
                <w:u w:val="none"/>
                <w:lang w:val="en-US" w:eastAsia="zh-CN"/>
              </w:rPr>
              <w:t>5人</w:t>
            </w:r>
            <w:r>
              <w:rPr>
                <w:rFonts w:hint="eastAsia" w:ascii="仿宋_GB2312" w:hAnsi="仿宋_GB2312" w:eastAsia="仿宋_GB2312" w:cs="仿宋_GB2312"/>
                <w:kern w:val="0"/>
                <w:sz w:val="21"/>
                <w:szCs w:val="21"/>
                <w:u w:val="none"/>
              </w:rPr>
              <w:t>次</w:t>
            </w:r>
          </w:p>
        </w:tc>
        <w:tc>
          <w:tcPr>
            <w:tcW w:w="78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w:t>
            </w:r>
            <w:r>
              <w:rPr>
                <w:rFonts w:hint="eastAsia" w:ascii="仿宋_GB2312" w:hAnsi="仿宋_GB2312" w:eastAsia="仿宋_GB2312" w:cs="仿宋_GB2312"/>
                <w:kern w:val="0"/>
                <w:sz w:val="21"/>
                <w:szCs w:val="21"/>
                <w:u w:val="none"/>
                <w:lang w:val="en-US" w:eastAsia="zh-CN"/>
              </w:rPr>
              <w:t>5人</w:t>
            </w:r>
            <w:r>
              <w:rPr>
                <w:rFonts w:hint="eastAsia" w:ascii="仿宋_GB2312" w:hAnsi="仿宋_GB2312" w:eastAsia="仿宋_GB2312" w:cs="仿宋_GB2312"/>
                <w:kern w:val="0"/>
                <w:sz w:val="21"/>
                <w:szCs w:val="21"/>
                <w:u w:val="none"/>
              </w:rPr>
              <w:t>次</w:t>
            </w:r>
          </w:p>
        </w:tc>
        <w:tc>
          <w:tcPr>
            <w:tcW w:w="786"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下基层开展专项督查</w:t>
            </w:r>
          </w:p>
        </w:tc>
        <w:tc>
          <w:tcPr>
            <w:tcW w:w="144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每月下基层开展专项督查不少于3次</w:t>
            </w:r>
          </w:p>
        </w:tc>
        <w:tc>
          <w:tcPr>
            <w:tcW w:w="9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w:t>
            </w:r>
            <w:r>
              <w:rPr>
                <w:rFonts w:hint="eastAsia" w:ascii="仿宋_GB2312" w:hAnsi="仿宋_GB2312" w:eastAsia="仿宋_GB2312" w:cs="仿宋_GB2312"/>
                <w:kern w:val="0"/>
                <w:sz w:val="21"/>
                <w:szCs w:val="21"/>
                <w:u w:val="none"/>
                <w:lang w:val="en-US" w:eastAsia="zh-CN"/>
              </w:rPr>
              <w:t>3</w:t>
            </w:r>
            <w:r>
              <w:rPr>
                <w:rFonts w:hint="eastAsia" w:ascii="仿宋_GB2312" w:hAnsi="仿宋_GB2312" w:eastAsia="仿宋_GB2312" w:cs="仿宋_GB2312"/>
                <w:kern w:val="0"/>
                <w:sz w:val="21"/>
                <w:szCs w:val="21"/>
                <w:u w:val="none"/>
              </w:rPr>
              <w:t>次</w:t>
            </w:r>
          </w:p>
        </w:tc>
        <w:tc>
          <w:tcPr>
            <w:tcW w:w="810"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w:t>
            </w:r>
            <w:r>
              <w:rPr>
                <w:rFonts w:hint="eastAsia" w:ascii="仿宋_GB2312" w:hAnsi="仿宋_GB2312" w:eastAsia="仿宋_GB2312" w:cs="仿宋_GB2312"/>
                <w:kern w:val="0"/>
                <w:sz w:val="21"/>
                <w:szCs w:val="21"/>
                <w:u w:val="none"/>
                <w:lang w:val="en-US" w:eastAsia="zh-CN"/>
              </w:rPr>
              <w:t>3</w:t>
            </w:r>
            <w:r>
              <w:rPr>
                <w:rFonts w:hint="eastAsia" w:ascii="仿宋_GB2312" w:hAnsi="仿宋_GB2312" w:eastAsia="仿宋_GB2312" w:cs="仿宋_GB2312"/>
                <w:kern w:val="0"/>
                <w:sz w:val="21"/>
                <w:szCs w:val="21"/>
                <w:u w:val="none"/>
              </w:rPr>
              <w:t>次</w:t>
            </w:r>
          </w:p>
        </w:tc>
        <w:tc>
          <w:tcPr>
            <w:tcW w:w="78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w:t>
            </w:r>
            <w:r>
              <w:rPr>
                <w:rFonts w:hint="eastAsia" w:ascii="仿宋_GB2312" w:hAnsi="仿宋_GB2312" w:eastAsia="仿宋_GB2312" w:cs="仿宋_GB2312"/>
                <w:kern w:val="0"/>
                <w:sz w:val="21"/>
                <w:szCs w:val="21"/>
                <w:u w:val="none"/>
                <w:lang w:val="en-US" w:eastAsia="zh-CN"/>
              </w:rPr>
              <w:t>3</w:t>
            </w:r>
            <w:r>
              <w:rPr>
                <w:rFonts w:hint="eastAsia" w:ascii="仿宋_GB2312" w:hAnsi="仿宋_GB2312" w:eastAsia="仿宋_GB2312" w:cs="仿宋_GB2312"/>
                <w:kern w:val="0"/>
                <w:sz w:val="21"/>
                <w:szCs w:val="21"/>
                <w:u w:val="none"/>
              </w:rPr>
              <w:t>次</w:t>
            </w:r>
          </w:p>
        </w:tc>
        <w:tc>
          <w:tcPr>
            <w:tcW w:w="78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59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全面推进我市政治安保保卫工作，确保全市政治社会大局持续稳定。</w:t>
            </w:r>
          </w:p>
        </w:tc>
        <w:tc>
          <w:tcPr>
            <w:tcW w:w="144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严防影响国家政治安全和社会稳定的重大事件，严防暴力恐怖袭击和个人极端暴力事件，严防规模性群体性事件和影响庆祝活动安全的滋扰事件，严防重特大公安安全事故，严防重大治安事件和网络安全事件，严防重大疫情事件和失泄密事件。</w:t>
            </w:r>
          </w:p>
        </w:tc>
        <w:tc>
          <w:tcPr>
            <w:tcW w:w="9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100%</w:t>
            </w:r>
          </w:p>
        </w:tc>
        <w:tc>
          <w:tcPr>
            <w:tcW w:w="810"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100%</w:t>
            </w:r>
          </w:p>
        </w:tc>
        <w:tc>
          <w:tcPr>
            <w:tcW w:w="78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100%</w:t>
            </w:r>
          </w:p>
        </w:tc>
        <w:tc>
          <w:tcPr>
            <w:tcW w:w="78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59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被救助的维稳对象停访息诉</w:t>
            </w:r>
          </w:p>
        </w:tc>
        <w:tc>
          <w:tcPr>
            <w:tcW w:w="144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确保被救助的维稳对象停访息诉</w:t>
            </w:r>
          </w:p>
        </w:tc>
        <w:tc>
          <w:tcPr>
            <w:tcW w:w="9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w:t>
            </w:r>
            <w:r>
              <w:rPr>
                <w:rFonts w:hint="eastAsia" w:ascii="仿宋_GB2312" w:hAnsi="仿宋_GB2312" w:eastAsia="仿宋_GB2312" w:cs="仿宋_GB2312"/>
                <w:kern w:val="0"/>
                <w:sz w:val="21"/>
                <w:szCs w:val="21"/>
                <w:u w:val="none"/>
                <w:lang w:val="en-US" w:eastAsia="zh-CN"/>
              </w:rPr>
              <w:t>95%</w:t>
            </w:r>
          </w:p>
        </w:tc>
        <w:tc>
          <w:tcPr>
            <w:tcW w:w="810"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w:t>
            </w:r>
            <w:r>
              <w:rPr>
                <w:rFonts w:hint="eastAsia" w:ascii="仿宋_GB2312" w:hAnsi="仿宋_GB2312" w:eastAsia="仿宋_GB2312" w:cs="仿宋_GB2312"/>
                <w:kern w:val="0"/>
                <w:sz w:val="21"/>
                <w:szCs w:val="21"/>
                <w:u w:val="none"/>
                <w:lang w:val="en-US" w:eastAsia="zh-CN"/>
              </w:rPr>
              <w:t>95%</w:t>
            </w:r>
          </w:p>
        </w:tc>
        <w:tc>
          <w:tcPr>
            <w:tcW w:w="78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w:t>
            </w:r>
            <w:r>
              <w:rPr>
                <w:rFonts w:hint="eastAsia" w:ascii="仿宋_GB2312" w:hAnsi="仿宋_GB2312" w:eastAsia="仿宋_GB2312" w:cs="仿宋_GB2312"/>
                <w:kern w:val="0"/>
                <w:sz w:val="21"/>
                <w:szCs w:val="21"/>
                <w:u w:val="none"/>
                <w:lang w:val="en-US" w:eastAsia="zh-CN"/>
              </w:rPr>
              <w:t>95%</w:t>
            </w:r>
          </w:p>
        </w:tc>
        <w:tc>
          <w:tcPr>
            <w:tcW w:w="78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59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落实教育转化、打击防控、宣传教育等反邪教工作措施，</w:t>
            </w:r>
          </w:p>
        </w:tc>
        <w:tc>
          <w:tcPr>
            <w:tcW w:w="144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着力提升邪教治理水平，全力防控邪教问题风险，确保“三个不发生”</w:t>
            </w:r>
          </w:p>
        </w:tc>
        <w:tc>
          <w:tcPr>
            <w:tcW w:w="9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810"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78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78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59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矛盾纠纷调解有效率</w:t>
            </w:r>
          </w:p>
        </w:tc>
        <w:tc>
          <w:tcPr>
            <w:tcW w:w="144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提高矛盾纠纷调解有效率</w:t>
            </w:r>
          </w:p>
        </w:tc>
        <w:tc>
          <w:tcPr>
            <w:tcW w:w="9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810"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78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78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59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平安创建宣传到位</w:t>
            </w:r>
          </w:p>
        </w:tc>
        <w:tc>
          <w:tcPr>
            <w:tcW w:w="144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平安创建宣传不少于100万人次</w:t>
            </w:r>
          </w:p>
        </w:tc>
        <w:tc>
          <w:tcPr>
            <w:tcW w:w="9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810"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78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78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59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提高公正执法满意度</w:t>
            </w:r>
          </w:p>
        </w:tc>
        <w:tc>
          <w:tcPr>
            <w:tcW w:w="144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全面提升公正执法满意度</w:t>
            </w:r>
          </w:p>
        </w:tc>
        <w:tc>
          <w:tcPr>
            <w:tcW w:w="9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810"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78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78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59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提升我市“一感一度一率一评价”</w:t>
            </w:r>
          </w:p>
        </w:tc>
        <w:tc>
          <w:tcPr>
            <w:tcW w:w="144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加强重点特殊群体稳控，推动我市平安创建工作，充分发挥社会治安综合治理的优势和职能作用</w:t>
            </w:r>
          </w:p>
        </w:tc>
        <w:tc>
          <w:tcPr>
            <w:tcW w:w="9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810"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78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78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59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宋体" w:hAnsi="宋体" w:eastAsia="宋体" w:cs="宋体"/>
                <w:i w:val="0"/>
                <w:iCs w:val="0"/>
                <w:color w:val="000000"/>
                <w:kern w:val="0"/>
                <w:sz w:val="20"/>
                <w:szCs w:val="20"/>
                <w:u w:val="none"/>
                <w:lang w:val="en-US" w:eastAsia="zh-CN" w:bidi="ar"/>
              </w:rPr>
              <w:t>全市扫黑除恶宣传</w:t>
            </w:r>
          </w:p>
        </w:tc>
        <w:tc>
          <w:tcPr>
            <w:tcW w:w="144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宋体" w:hAnsi="宋体" w:eastAsia="宋体" w:cs="宋体"/>
                <w:i w:val="0"/>
                <w:iCs w:val="0"/>
                <w:color w:val="000000"/>
                <w:kern w:val="0"/>
                <w:sz w:val="20"/>
                <w:szCs w:val="20"/>
                <w:u w:val="none"/>
                <w:lang w:val="en-US" w:eastAsia="zh-CN" w:bidi="ar"/>
              </w:rPr>
              <w:t>全市扫黑除恶宣传人数100万人次</w:t>
            </w:r>
          </w:p>
        </w:tc>
        <w:tc>
          <w:tcPr>
            <w:tcW w:w="9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w:t>
            </w:r>
            <w:r>
              <w:rPr>
                <w:rFonts w:hint="eastAsia" w:ascii="宋体" w:hAnsi="宋体" w:eastAsia="宋体" w:cs="宋体"/>
                <w:i w:val="0"/>
                <w:iCs w:val="0"/>
                <w:color w:val="000000"/>
                <w:kern w:val="0"/>
                <w:sz w:val="20"/>
                <w:szCs w:val="20"/>
                <w:u w:val="none"/>
                <w:lang w:val="en-US" w:eastAsia="zh-CN" w:bidi="ar"/>
              </w:rPr>
              <w:t>100万人次</w:t>
            </w:r>
          </w:p>
        </w:tc>
        <w:tc>
          <w:tcPr>
            <w:tcW w:w="810"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w:t>
            </w:r>
            <w:r>
              <w:rPr>
                <w:rFonts w:hint="eastAsia" w:ascii="宋体" w:hAnsi="宋体" w:eastAsia="宋体" w:cs="宋体"/>
                <w:i w:val="0"/>
                <w:iCs w:val="0"/>
                <w:color w:val="000000"/>
                <w:kern w:val="0"/>
                <w:sz w:val="20"/>
                <w:szCs w:val="20"/>
                <w:u w:val="none"/>
                <w:lang w:val="en-US" w:eastAsia="zh-CN" w:bidi="ar"/>
              </w:rPr>
              <w:t>100万人次</w:t>
            </w:r>
          </w:p>
        </w:tc>
        <w:tc>
          <w:tcPr>
            <w:tcW w:w="78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w:t>
            </w:r>
            <w:r>
              <w:rPr>
                <w:rFonts w:hint="eastAsia" w:ascii="宋体" w:hAnsi="宋体" w:eastAsia="宋体" w:cs="宋体"/>
                <w:i w:val="0"/>
                <w:iCs w:val="0"/>
                <w:color w:val="000000"/>
                <w:kern w:val="0"/>
                <w:sz w:val="20"/>
                <w:szCs w:val="20"/>
                <w:u w:val="none"/>
                <w:lang w:val="en-US" w:eastAsia="zh-CN" w:bidi="ar"/>
              </w:rPr>
              <w:t>100万人次</w:t>
            </w:r>
          </w:p>
        </w:tc>
        <w:tc>
          <w:tcPr>
            <w:tcW w:w="78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59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宋体" w:hAnsi="宋体" w:eastAsia="宋体" w:cs="宋体"/>
                <w:i w:val="0"/>
                <w:iCs w:val="0"/>
                <w:color w:val="000000"/>
                <w:kern w:val="0"/>
                <w:sz w:val="20"/>
                <w:szCs w:val="20"/>
                <w:u w:val="none"/>
                <w:lang w:val="en-US" w:eastAsia="zh-CN" w:bidi="ar"/>
              </w:rPr>
              <w:t>无黑恶势力，无“保护伞”</w:t>
            </w:r>
          </w:p>
        </w:tc>
        <w:tc>
          <w:tcPr>
            <w:tcW w:w="1440" w:type="dxa"/>
            <w:gridSpan w:val="2"/>
            <w:tcMar>
              <w:left w:w="57" w:type="dxa"/>
              <w:right w:w="57" w:type="dxa"/>
            </w:tcMar>
            <w:vAlign w:val="center"/>
          </w:tcPr>
          <w:p>
            <w:pPr>
              <w:keepNext w:val="0"/>
              <w:keepLines w:val="0"/>
              <w:widowControl/>
              <w:suppressLineNumbers w:val="0"/>
              <w:jc w:val="left"/>
              <w:textAlignment w:val="center"/>
              <w:rPr>
                <w:rFonts w:hint="eastAsia" w:ascii="仿宋_GB2312" w:hAnsi="宋体" w:eastAsia="仿宋_GB2312" w:cs="仿宋_GB2312"/>
                <w:color w:val="auto"/>
                <w:kern w:val="0"/>
                <w:highlight w:val="none"/>
              </w:rPr>
            </w:pPr>
            <w:r>
              <w:rPr>
                <w:rFonts w:hint="eastAsia" w:ascii="宋体" w:hAnsi="宋体" w:eastAsia="宋体" w:cs="宋体"/>
                <w:i w:val="0"/>
                <w:iCs w:val="0"/>
                <w:color w:val="000000"/>
                <w:kern w:val="0"/>
                <w:sz w:val="20"/>
                <w:szCs w:val="20"/>
                <w:u w:val="none"/>
                <w:lang w:val="en-US" w:eastAsia="zh-CN" w:bidi="ar"/>
              </w:rPr>
              <w:t>扫除黑恶势力，打伞破网</w:t>
            </w:r>
          </w:p>
        </w:tc>
        <w:tc>
          <w:tcPr>
            <w:tcW w:w="9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810"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78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78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59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宋体" w:hAnsi="宋体" w:eastAsia="宋体" w:cs="宋体"/>
                <w:i w:val="0"/>
                <w:iCs w:val="0"/>
                <w:color w:val="000000"/>
                <w:kern w:val="0"/>
                <w:sz w:val="20"/>
                <w:szCs w:val="20"/>
                <w:u w:val="none"/>
                <w:lang w:val="en-US" w:eastAsia="zh-CN" w:bidi="ar"/>
              </w:rPr>
              <w:t>扫黑除恶常态化和法治化营商环境</w:t>
            </w:r>
          </w:p>
        </w:tc>
        <w:tc>
          <w:tcPr>
            <w:tcW w:w="144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宋体" w:hAnsi="宋体" w:eastAsia="宋体" w:cs="宋体"/>
                <w:i w:val="0"/>
                <w:iCs w:val="0"/>
                <w:color w:val="000000"/>
                <w:kern w:val="0"/>
                <w:sz w:val="20"/>
                <w:szCs w:val="20"/>
                <w:u w:val="none"/>
                <w:lang w:val="en-US" w:eastAsia="zh-CN" w:bidi="ar"/>
              </w:rPr>
              <w:t>扫黑除恶常态化和法治化营商环境</w:t>
            </w:r>
          </w:p>
        </w:tc>
        <w:tc>
          <w:tcPr>
            <w:tcW w:w="9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810"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78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78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59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督查检查铁路隐患整改</w:t>
            </w:r>
          </w:p>
        </w:tc>
        <w:tc>
          <w:tcPr>
            <w:tcW w:w="144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开展督查整改次数不少于10次</w:t>
            </w:r>
          </w:p>
        </w:tc>
        <w:tc>
          <w:tcPr>
            <w:tcW w:w="9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w:t>
            </w:r>
            <w:r>
              <w:rPr>
                <w:rFonts w:hint="eastAsia" w:ascii="宋体" w:hAnsi="宋体" w:eastAsia="宋体" w:cs="宋体"/>
                <w:i w:val="0"/>
                <w:iCs w:val="0"/>
                <w:color w:val="000000"/>
                <w:kern w:val="0"/>
                <w:sz w:val="20"/>
                <w:szCs w:val="20"/>
                <w:u w:val="none"/>
                <w:lang w:val="en-US" w:eastAsia="zh-CN" w:bidi="ar"/>
              </w:rPr>
              <w:t>10</w:t>
            </w:r>
            <w:r>
              <w:rPr>
                <w:rFonts w:hint="eastAsia" w:ascii="宋体" w:hAnsi="宋体" w:cs="宋体"/>
                <w:i w:val="0"/>
                <w:iCs w:val="0"/>
                <w:color w:val="000000"/>
                <w:kern w:val="0"/>
                <w:sz w:val="20"/>
                <w:szCs w:val="20"/>
                <w:u w:val="none"/>
                <w:lang w:val="en-US" w:eastAsia="zh-CN" w:bidi="ar"/>
              </w:rPr>
              <w:t>次</w:t>
            </w:r>
          </w:p>
        </w:tc>
        <w:tc>
          <w:tcPr>
            <w:tcW w:w="810"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w:t>
            </w:r>
            <w:r>
              <w:rPr>
                <w:rFonts w:hint="eastAsia" w:ascii="宋体" w:hAnsi="宋体" w:eastAsia="宋体" w:cs="宋体"/>
                <w:i w:val="0"/>
                <w:iCs w:val="0"/>
                <w:color w:val="000000"/>
                <w:kern w:val="0"/>
                <w:sz w:val="20"/>
                <w:szCs w:val="20"/>
                <w:u w:val="none"/>
                <w:lang w:val="en-US" w:eastAsia="zh-CN" w:bidi="ar"/>
              </w:rPr>
              <w:t>10</w:t>
            </w:r>
            <w:r>
              <w:rPr>
                <w:rFonts w:hint="eastAsia" w:ascii="宋体" w:hAnsi="宋体" w:cs="宋体"/>
                <w:i w:val="0"/>
                <w:iCs w:val="0"/>
                <w:color w:val="000000"/>
                <w:kern w:val="0"/>
                <w:sz w:val="20"/>
                <w:szCs w:val="20"/>
                <w:u w:val="none"/>
                <w:lang w:val="en-US" w:eastAsia="zh-CN" w:bidi="ar"/>
              </w:rPr>
              <w:t>次</w:t>
            </w:r>
          </w:p>
        </w:tc>
        <w:tc>
          <w:tcPr>
            <w:tcW w:w="78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w:t>
            </w:r>
            <w:r>
              <w:rPr>
                <w:rFonts w:hint="eastAsia" w:ascii="宋体" w:hAnsi="宋体" w:eastAsia="宋体" w:cs="宋体"/>
                <w:i w:val="0"/>
                <w:iCs w:val="0"/>
                <w:color w:val="000000"/>
                <w:kern w:val="0"/>
                <w:sz w:val="20"/>
                <w:szCs w:val="20"/>
                <w:u w:val="none"/>
                <w:lang w:val="en-US" w:eastAsia="zh-CN" w:bidi="ar"/>
              </w:rPr>
              <w:t>10</w:t>
            </w:r>
            <w:r>
              <w:rPr>
                <w:rFonts w:hint="eastAsia" w:ascii="宋体" w:hAnsi="宋体" w:cs="宋体"/>
                <w:i w:val="0"/>
                <w:iCs w:val="0"/>
                <w:color w:val="000000"/>
                <w:kern w:val="0"/>
                <w:sz w:val="20"/>
                <w:szCs w:val="20"/>
                <w:u w:val="none"/>
                <w:lang w:val="en-US" w:eastAsia="zh-CN" w:bidi="ar"/>
              </w:rPr>
              <w:t>次</w:t>
            </w:r>
          </w:p>
        </w:tc>
        <w:tc>
          <w:tcPr>
            <w:tcW w:w="78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59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铁路沿线环境整治</w:t>
            </w:r>
          </w:p>
        </w:tc>
        <w:tc>
          <w:tcPr>
            <w:tcW w:w="144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结合美丽乡村建设美化铁路沿线环境</w:t>
            </w:r>
          </w:p>
        </w:tc>
        <w:tc>
          <w:tcPr>
            <w:tcW w:w="9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810"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78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78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59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调解各类民事纠纷</w:t>
            </w:r>
          </w:p>
        </w:tc>
        <w:tc>
          <w:tcPr>
            <w:tcW w:w="144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及时化解各行业矛盾纠纷</w:t>
            </w:r>
          </w:p>
        </w:tc>
        <w:tc>
          <w:tcPr>
            <w:tcW w:w="9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810"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78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78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59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智能化建设信息系统正常使用</w:t>
            </w:r>
            <w:r>
              <w:rPr>
                <w:rFonts w:hint="eastAsia" w:ascii="仿宋_GB2312" w:hAnsi="宋体" w:eastAsia="仿宋_GB2312" w:cs="仿宋_GB2312"/>
                <w:color w:val="auto"/>
                <w:kern w:val="0"/>
                <w:highlight w:val="none"/>
                <w:lang w:eastAsia="zh-CN"/>
              </w:rPr>
              <w:t>，建立健全网上网下联动机制</w:t>
            </w:r>
          </w:p>
        </w:tc>
        <w:tc>
          <w:tcPr>
            <w:tcW w:w="144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年度建设任务按时完成</w:t>
            </w:r>
            <w:r>
              <w:rPr>
                <w:rFonts w:hint="eastAsia" w:ascii="仿宋_GB2312" w:hAnsi="宋体" w:eastAsia="仿宋_GB2312" w:cs="仿宋_GB2312"/>
                <w:color w:val="auto"/>
                <w:kern w:val="0"/>
                <w:highlight w:val="none"/>
                <w:lang w:eastAsia="zh-CN"/>
              </w:rPr>
              <w:t>，提高应用水平和实战能力</w:t>
            </w:r>
          </w:p>
        </w:tc>
        <w:tc>
          <w:tcPr>
            <w:tcW w:w="9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810"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78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78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59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推进市综治中心实体化运作</w:t>
            </w:r>
          </w:p>
        </w:tc>
        <w:tc>
          <w:tcPr>
            <w:tcW w:w="144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围绕市域社会治理，开展调查研究</w:t>
            </w:r>
          </w:p>
        </w:tc>
        <w:tc>
          <w:tcPr>
            <w:tcW w:w="9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810"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78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78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59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围绕法治保障、法律实施出现的热点、难点问题开展调查研究</w:t>
            </w:r>
          </w:p>
        </w:tc>
        <w:tc>
          <w:tcPr>
            <w:tcW w:w="144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建立服务平台，开展法律咨询、法律援助、矛盾调解等工作。</w:t>
            </w:r>
          </w:p>
        </w:tc>
        <w:tc>
          <w:tcPr>
            <w:tcW w:w="9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w:t>
            </w:r>
            <w:r>
              <w:rPr>
                <w:rFonts w:hint="eastAsia" w:ascii="宋体" w:hAnsi="宋体" w:eastAsia="宋体" w:cs="宋体"/>
                <w:i w:val="0"/>
                <w:iCs w:val="0"/>
                <w:color w:val="000000"/>
                <w:kern w:val="0"/>
                <w:sz w:val="20"/>
                <w:szCs w:val="20"/>
                <w:u w:val="none"/>
                <w:lang w:val="en-US" w:eastAsia="zh-CN" w:bidi="ar"/>
              </w:rPr>
              <w:t>10</w:t>
            </w:r>
            <w:r>
              <w:rPr>
                <w:rFonts w:hint="eastAsia" w:ascii="宋体" w:hAnsi="宋体" w:cs="宋体"/>
                <w:i w:val="0"/>
                <w:iCs w:val="0"/>
                <w:color w:val="000000"/>
                <w:kern w:val="0"/>
                <w:sz w:val="20"/>
                <w:szCs w:val="20"/>
                <w:u w:val="none"/>
                <w:lang w:val="en-US" w:eastAsia="zh-CN" w:bidi="ar"/>
              </w:rPr>
              <w:t>次</w:t>
            </w:r>
          </w:p>
        </w:tc>
        <w:tc>
          <w:tcPr>
            <w:tcW w:w="810"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w:t>
            </w:r>
            <w:r>
              <w:rPr>
                <w:rFonts w:hint="eastAsia" w:ascii="宋体" w:hAnsi="宋体" w:eastAsia="宋体" w:cs="宋体"/>
                <w:i w:val="0"/>
                <w:iCs w:val="0"/>
                <w:color w:val="000000"/>
                <w:kern w:val="0"/>
                <w:sz w:val="20"/>
                <w:szCs w:val="20"/>
                <w:u w:val="none"/>
                <w:lang w:val="en-US" w:eastAsia="zh-CN" w:bidi="ar"/>
              </w:rPr>
              <w:t>10</w:t>
            </w:r>
            <w:r>
              <w:rPr>
                <w:rFonts w:hint="eastAsia" w:ascii="宋体" w:hAnsi="宋体" w:cs="宋体"/>
                <w:i w:val="0"/>
                <w:iCs w:val="0"/>
                <w:color w:val="000000"/>
                <w:kern w:val="0"/>
                <w:sz w:val="20"/>
                <w:szCs w:val="20"/>
                <w:u w:val="none"/>
                <w:lang w:val="en-US" w:eastAsia="zh-CN" w:bidi="ar"/>
              </w:rPr>
              <w:t>次</w:t>
            </w:r>
          </w:p>
        </w:tc>
        <w:tc>
          <w:tcPr>
            <w:tcW w:w="78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w:t>
            </w:r>
            <w:r>
              <w:rPr>
                <w:rFonts w:hint="eastAsia" w:ascii="宋体" w:hAnsi="宋体" w:eastAsia="宋体" w:cs="宋体"/>
                <w:i w:val="0"/>
                <w:iCs w:val="0"/>
                <w:color w:val="000000"/>
                <w:kern w:val="0"/>
                <w:sz w:val="20"/>
                <w:szCs w:val="20"/>
                <w:u w:val="none"/>
                <w:lang w:val="en-US" w:eastAsia="zh-CN" w:bidi="ar"/>
              </w:rPr>
              <w:t>10</w:t>
            </w:r>
            <w:r>
              <w:rPr>
                <w:rFonts w:hint="eastAsia" w:ascii="宋体" w:hAnsi="宋体" w:cs="宋体"/>
                <w:i w:val="0"/>
                <w:iCs w:val="0"/>
                <w:color w:val="000000"/>
                <w:kern w:val="0"/>
                <w:sz w:val="20"/>
                <w:szCs w:val="20"/>
                <w:u w:val="none"/>
                <w:lang w:val="en-US" w:eastAsia="zh-CN" w:bidi="ar"/>
              </w:rPr>
              <w:t>次</w:t>
            </w:r>
          </w:p>
        </w:tc>
        <w:tc>
          <w:tcPr>
            <w:tcW w:w="78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59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461" w:type="dxa"/>
            <w:gridSpan w:val="3"/>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经济效益</w:t>
            </w: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维护社会安全稳定，促进经济繁荣发展</w:t>
            </w:r>
          </w:p>
        </w:tc>
        <w:tc>
          <w:tcPr>
            <w:tcW w:w="93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100%</w:t>
            </w:r>
          </w:p>
        </w:tc>
        <w:tc>
          <w:tcPr>
            <w:tcW w:w="810"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100%</w:t>
            </w:r>
          </w:p>
        </w:tc>
        <w:tc>
          <w:tcPr>
            <w:tcW w:w="785"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100%</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优化</w:t>
            </w:r>
            <w:r>
              <w:rPr>
                <w:rFonts w:hint="eastAsia" w:ascii="仿宋_GB2312" w:hAnsi="仿宋_GB2312" w:eastAsia="仿宋_GB2312" w:cs="仿宋_GB2312"/>
                <w:kern w:val="0"/>
                <w:sz w:val="21"/>
                <w:szCs w:val="21"/>
                <w:u w:val="none"/>
                <w:lang w:eastAsia="zh-CN"/>
              </w:rPr>
              <w:t>法治</w:t>
            </w:r>
            <w:r>
              <w:rPr>
                <w:rFonts w:hint="eastAsia" w:ascii="仿宋_GB2312" w:hAnsi="仿宋_GB2312" w:eastAsia="仿宋_GB2312" w:cs="仿宋_GB2312"/>
                <w:kern w:val="0"/>
                <w:sz w:val="21"/>
                <w:szCs w:val="21"/>
                <w:u w:val="none"/>
              </w:rPr>
              <w:t>营商环境</w:t>
            </w:r>
          </w:p>
        </w:tc>
        <w:tc>
          <w:tcPr>
            <w:tcW w:w="93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100%</w:t>
            </w:r>
          </w:p>
        </w:tc>
        <w:tc>
          <w:tcPr>
            <w:tcW w:w="810"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100%</w:t>
            </w:r>
          </w:p>
        </w:tc>
        <w:tc>
          <w:tcPr>
            <w:tcW w:w="785"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100%</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社会效益</w:t>
            </w: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意识形态工作</w:t>
            </w:r>
          </w:p>
        </w:tc>
        <w:tc>
          <w:tcPr>
            <w:tcW w:w="93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100%</w:t>
            </w:r>
          </w:p>
        </w:tc>
        <w:tc>
          <w:tcPr>
            <w:tcW w:w="810"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100%</w:t>
            </w:r>
          </w:p>
        </w:tc>
        <w:tc>
          <w:tcPr>
            <w:tcW w:w="785"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100%</w:t>
            </w:r>
          </w:p>
        </w:tc>
        <w:tc>
          <w:tcPr>
            <w:tcW w:w="786"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历史标准</w:t>
            </w:r>
          </w:p>
        </w:tc>
        <w:tc>
          <w:tcPr>
            <w:tcW w:w="594"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rPr>
            </w:pPr>
            <w:r>
              <w:rPr>
                <w:rFonts w:hint="eastAsia" w:ascii="仿宋_GB2312" w:hAnsi="仿宋_GB2312" w:eastAsia="仿宋_GB2312" w:cs="仿宋_GB2312"/>
                <w:kern w:val="0"/>
                <w:sz w:val="21"/>
                <w:szCs w:val="21"/>
                <w:u w:val="none"/>
              </w:rPr>
              <w:t>生态效益</w:t>
            </w: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rPr>
            </w:pPr>
            <w:r>
              <w:rPr>
                <w:rFonts w:hint="eastAsia" w:ascii="仿宋_GB2312" w:hAnsi="仿宋_GB2312" w:eastAsia="仿宋_GB2312" w:cs="仿宋_GB2312"/>
                <w:kern w:val="0"/>
                <w:sz w:val="21"/>
                <w:szCs w:val="21"/>
                <w:u w:val="none"/>
              </w:rPr>
              <w:t>生态建设工作正向影响</w:t>
            </w:r>
          </w:p>
        </w:tc>
        <w:tc>
          <w:tcPr>
            <w:tcW w:w="93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rPr>
            </w:pPr>
            <w:r>
              <w:rPr>
                <w:rFonts w:hint="eastAsia" w:ascii="仿宋_GB2312" w:hAnsi="仿宋_GB2312" w:eastAsia="仿宋_GB2312" w:cs="仿宋_GB2312"/>
                <w:kern w:val="0"/>
                <w:sz w:val="21"/>
                <w:szCs w:val="21"/>
                <w:u w:val="none"/>
              </w:rPr>
              <w:t>100%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rPr>
            </w:pPr>
            <w:r>
              <w:rPr>
                <w:rFonts w:hint="eastAsia" w:ascii="仿宋_GB2312" w:hAnsi="仿宋_GB2312" w:eastAsia="仿宋_GB2312" w:cs="仿宋_GB2312"/>
                <w:kern w:val="0"/>
                <w:sz w:val="21"/>
                <w:szCs w:val="21"/>
                <w:u w:val="none"/>
              </w:rPr>
              <w:t>100%</w:t>
            </w:r>
          </w:p>
        </w:tc>
        <w:tc>
          <w:tcPr>
            <w:tcW w:w="78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rPr>
            </w:pPr>
            <w:r>
              <w:rPr>
                <w:rFonts w:hint="eastAsia" w:ascii="仿宋_GB2312" w:hAnsi="仿宋_GB2312" w:eastAsia="仿宋_GB2312" w:cs="仿宋_GB2312"/>
                <w:kern w:val="0"/>
                <w:sz w:val="21"/>
                <w:szCs w:val="21"/>
                <w:u w:val="none"/>
              </w:rPr>
              <w:t>100%</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kern w:val="0"/>
                <w:sz w:val="21"/>
                <w:szCs w:val="21"/>
                <w:u w:val="none"/>
              </w:rPr>
            </w:pPr>
            <w:r>
              <w:rPr>
                <w:rFonts w:hint="eastAsia" w:ascii="仿宋_GB2312" w:hAnsi="仿宋_GB2312" w:eastAsia="仿宋_GB2312" w:cs="仿宋_GB2312"/>
                <w:kern w:val="0"/>
                <w:sz w:val="21"/>
                <w:szCs w:val="21"/>
                <w:u w:val="none"/>
              </w:rPr>
              <w:t>历史标准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kern w:val="0"/>
                <w:sz w:val="21"/>
                <w:szCs w:val="21"/>
                <w:u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461"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业务学习与培训完成率</w:t>
            </w:r>
          </w:p>
        </w:tc>
        <w:tc>
          <w:tcPr>
            <w:tcW w:w="93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100%</w:t>
            </w:r>
          </w:p>
        </w:tc>
        <w:tc>
          <w:tcPr>
            <w:tcW w:w="810"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100%</w:t>
            </w:r>
          </w:p>
        </w:tc>
        <w:tc>
          <w:tcPr>
            <w:tcW w:w="785"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100%</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干部队伍体系建设规划情况</w:t>
            </w:r>
          </w:p>
        </w:tc>
        <w:tc>
          <w:tcPr>
            <w:tcW w:w="93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符合</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符合</w:t>
            </w:r>
          </w:p>
        </w:tc>
        <w:tc>
          <w:tcPr>
            <w:tcW w:w="78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符合</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高学历、高层次人才储备率</w:t>
            </w:r>
          </w:p>
        </w:tc>
        <w:tc>
          <w:tcPr>
            <w:tcW w:w="93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基本符合</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基本符合</w:t>
            </w:r>
          </w:p>
        </w:tc>
        <w:tc>
          <w:tcPr>
            <w:tcW w:w="78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基本符合</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信息化建设情况</w:t>
            </w:r>
          </w:p>
        </w:tc>
        <w:tc>
          <w:tcPr>
            <w:tcW w:w="93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完全合规</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完全合规</w:t>
            </w:r>
          </w:p>
        </w:tc>
        <w:tc>
          <w:tcPr>
            <w:tcW w:w="78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完全合规</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专用通信保障专用通信水平</w:t>
            </w:r>
          </w:p>
        </w:tc>
        <w:tc>
          <w:tcPr>
            <w:tcW w:w="93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完全合规</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完全合规</w:t>
            </w:r>
          </w:p>
        </w:tc>
        <w:tc>
          <w:tcPr>
            <w:tcW w:w="78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完全合规</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restart"/>
            <w:tcMar>
              <w:left w:w="57" w:type="dxa"/>
              <w:right w:w="57" w:type="dxa"/>
            </w:tcMar>
            <w:vAlign w:val="center"/>
          </w:tcPr>
          <w:p>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国产化替代水平</w:t>
            </w:r>
          </w:p>
        </w:tc>
        <w:tc>
          <w:tcPr>
            <w:tcW w:w="93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完全合规</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完全合规</w:t>
            </w:r>
          </w:p>
        </w:tc>
        <w:tc>
          <w:tcPr>
            <w:tcW w:w="78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完全合规</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计划标准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离退休人员满意度</w:t>
            </w:r>
          </w:p>
        </w:tc>
        <w:tc>
          <w:tcPr>
            <w:tcW w:w="93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100%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100%</w:t>
            </w:r>
          </w:p>
        </w:tc>
        <w:tc>
          <w:tcPr>
            <w:tcW w:w="78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100%</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历史标准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461"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群众</w:t>
            </w:r>
            <w:r>
              <w:rPr>
                <w:rFonts w:hint="eastAsia" w:ascii="仿宋_GB2312" w:hAnsi="仿宋_GB2312" w:eastAsia="仿宋_GB2312" w:cs="仿宋_GB2312"/>
                <w:kern w:val="0"/>
                <w:sz w:val="21"/>
                <w:szCs w:val="21"/>
                <w:u w:val="none"/>
                <w:lang w:eastAsia="zh-CN"/>
              </w:rPr>
              <w:t>安全感</w:t>
            </w:r>
            <w:r>
              <w:rPr>
                <w:rFonts w:hint="eastAsia" w:ascii="仿宋_GB2312" w:hAnsi="仿宋_GB2312" w:eastAsia="仿宋_GB2312" w:cs="仿宋_GB2312"/>
                <w:kern w:val="0"/>
                <w:sz w:val="21"/>
                <w:szCs w:val="21"/>
                <w:u w:val="none"/>
              </w:rPr>
              <w:br w:type="textWrapping"/>
            </w:r>
            <w:r>
              <w:rPr>
                <w:rFonts w:hint="eastAsia" w:ascii="仿宋_GB2312" w:hAnsi="仿宋_GB2312" w:eastAsia="仿宋_GB2312" w:cs="仿宋_GB2312"/>
                <w:kern w:val="0"/>
                <w:sz w:val="21"/>
                <w:szCs w:val="21"/>
                <w:u w:val="none"/>
              </w:rPr>
              <w:t>满意度</w:t>
            </w:r>
          </w:p>
        </w:tc>
        <w:tc>
          <w:tcPr>
            <w:tcW w:w="93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100%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100%</w:t>
            </w:r>
          </w:p>
        </w:tc>
        <w:tc>
          <w:tcPr>
            <w:tcW w:w="78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100%</w:t>
            </w:r>
          </w:p>
        </w:tc>
        <w:tc>
          <w:tcPr>
            <w:tcW w:w="786"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历史标准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5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461"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44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共建村（居）满意度</w:t>
            </w:r>
          </w:p>
        </w:tc>
        <w:tc>
          <w:tcPr>
            <w:tcW w:w="93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100%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100%</w:t>
            </w:r>
          </w:p>
        </w:tc>
        <w:tc>
          <w:tcPr>
            <w:tcW w:w="78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100%</w:t>
            </w:r>
          </w:p>
        </w:tc>
        <w:tc>
          <w:tcPr>
            <w:tcW w:w="786"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历史标准</w:t>
            </w:r>
          </w:p>
        </w:tc>
        <w:tc>
          <w:tcPr>
            <w:tcW w:w="594" w:type="dxa"/>
            <w:tcMar>
              <w:left w:w="57" w:type="dxa"/>
              <w:right w:w="57" w:type="dxa"/>
            </w:tcMar>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kern w:val="0"/>
                <w:sz w:val="21"/>
                <w:szCs w:val="21"/>
                <w:u w:val="none"/>
              </w:rPr>
              <w:t>绩效基本型</w:t>
            </w:r>
          </w:p>
        </w:tc>
      </w:tr>
    </w:tbl>
    <w:p>
      <w:pPr>
        <w:spacing w:line="600" w:lineRule="exact"/>
        <w:ind w:firstLine="640" w:firstLineChars="200"/>
        <w:rPr>
          <w:rFonts w:hint="eastAsia" w:ascii="黑体" w:hAnsi="黑体" w:eastAsia="黑体" w:cs="黑体"/>
          <w:color w:val="auto"/>
          <w:sz w:val="32"/>
          <w:szCs w:val="32"/>
          <w:highlight w:val="none"/>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YTNjZDllMGE4MmM1OWYzZjgxMWYwNTA5NjM2MzAifQ=="/>
  </w:docVars>
  <w:rsids>
    <w:rsidRoot w:val="2C365954"/>
    <w:rsid w:val="09BA4417"/>
    <w:rsid w:val="0A193B4F"/>
    <w:rsid w:val="0BB2614A"/>
    <w:rsid w:val="0BDE6F3F"/>
    <w:rsid w:val="0F1A64E0"/>
    <w:rsid w:val="12555A81"/>
    <w:rsid w:val="1CA22253"/>
    <w:rsid w:val="1FF227DB"/>
    <w:rsid w:val="20523890"/>
    <w:rsid w:val="212C2F24"/>
    <w:rsid w:val="262409EA"/>
    <w:rsid w:val="27734537"/>
    <w:rsid w:val="2C365954"/>
    <w:rsid w:val="2F6F7D2B"/>
    <w:rsid w:val="30240E53"/>
    <w:rsid w:val="37260C01"/>
    <w:rsid w:val="388B350E"/>
    <w:rsid w:val="3C8A7F52"/>
    <w:rsid w:val="3C8C231E"/>
    <w:rsid w:val="3E7A7218"/>
    <w:rsid w:val="44F22B38"/>
    <w:rsid w:val="492C2917"/>
    <w:rsid w:val="4D4A527C"/>
    <w:rsid w:val="4EB73F80"/>
    <w:rsid w:val="4F790CE5"/>
    <w:rsid w:val="526861E8"/>
    <w:rsid w:val="539050C5"/>
    <w:rsid w:val="5A5D684E"/>
    <w:rsid w:val="60065292"/>
    <w:rsid w:val="625E13B5"/>
    <w:rsid w:val="66442211"/>
    <w:rsid w:val="67630A3B"/>
    <w:rsid w:val="6DAF51BB"/>
    <w:rsid w:val="6F3B6D06"/>
    <w:rsid w:val="740F0761"/>
    <w:rsid w:val="76547324"/>
    <w:rsid w:val="7AB114DA"/>
    <w:rsid w:val="7C701FB9"/>
    <w:rsid w:val="7DFA5FDE"/>
    <w:rsid w:val="7F483017"/>
    <w:rsid w:val="7F4E65E2"/>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3">
    <w:name w:val="Body Text Indent"/>
    <w:basedOn w:val="1"/>
    <w:next w:val="4"/>
    <w:qFormat/>
    <w:uiPriority w:val="99"/>
    <w:pPr>
      <w:ind w:left="420" w:leftChars="200"/>
    </w:pPr>
    <w:rPr>
      <w:rFonts w:hint="eastAsia"/>
    </w:rPr>
  </w:style>
  <w:style w:type="paragraph" w:styleId="4">
    <w:name w:val="Body Text First Indent 2"/>
    <w:basedOn w:val="3"/>
    <w:next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5776</Words>
  <Characters>6378</Characters>
  <Lines>0</Lines>
  <Paragraphs>0</Paragraphs>
  <TotalTime>0</TotalTime>
  <ScaleCrop>false</ScaleCrop>
  <LinksUpToDate>false</LinksUpToDate>
  <CharactersWithSpaces>6432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2024-01-24T07:26:00Z</dcterms:created>
  <dc:creator>倒亚指芭绦</dc:creator>
  <cp:lastModifiedBy>远烟</cp:lastModifiedBy>
  <cp:lastPrinted>2024-01-25T07:06:00Z</cp:lastPrinted>
  <dcterms:modified xsi:type="dcterms:W3CDTF">2024-05-24T11:27:49Z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FF84E3763D6F46878947E51141B3CD22_13</vt:lpwstr>
  </property>
</Properties>
</file>