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部门整体绩效目标表</w:t>
      </w:r>
    </w:p>
    <w:p>
      <w:pPr>
        <w:widowControl/>
        <w:spacing w:beforeLines="50"/>
        <w:rPr>
          <w:rFonts w:ascii="楷体_GB2312" w:hAnsi="Times New Roman" w:eastAsia="楷体_GB2312"/>
          <w:sz w:val="28"/>
          <w:szCs w:val="28"/>
        </w:rPr>
      </w:pPr>
      <w:r>
        <w:rPr>
          <w:rFonts w:hint="eastAsia" w:ascii="楷体_GB2312" w:hAnsi="Times New Roman" w:eastAsia="楷体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楷体_GB2312" w:hAnsi="Times New Roman" w:eastAsia="楷体_GB2312"/>
          <w:sz w:val="28"/>
          <w:szCs w:val="28"/>
        </w:rPr>
        <w:t xml:space="preserve">              单位：万元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9"/>
        <w:gridCol w:w="794"/>
        <w:gridCol w:w="29"/>
        <w:gridCol w:w="1360"/>
        <w:gridCol w:w="46"/>
        <w:gridCol w:w="1186"/>
        <w:gridCol w:w="286"/>
        <w:gridCol w:w="644"/>
        <w:gridCol w:w="242"/>
        <w:gridCol w:w="89"/>
        <w:gridCol w:w="841"/>
        <w:gridCol w:w="29"/>
        <w:gridCol w:w="153"/>
        <w:gridCol w:w="645"/>
        <w:gridCol w:w="160"/>
        <w:gridCol w:w="403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部门（单位）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名称</w:t>
            </w:r>
          </w:p>
        </w:tc>
        <w:tc>
          <w:tcPr>
            <w:tcW w:w="75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鄂州市信访局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填报人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ind w:firstLine="840" w:firstLineChars="400"/>
              <w:jc w:val="both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罗意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联系电话</w:t>
            </w:r>
          </w:p>
        </w:tc>
        <w:tc>
          <w:tcPr>
            <w:tcW w:w="410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02760830727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资金情况</w:t>
            </w:r>
          </w:p>
        </w:tc>
        <w:tc>
          <w:tcPr>
            <w:tcW w:w="3415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当年金额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占比</w:t>
            </w:r>
          </w:p>
        </w:tc>
        <w:tc>
          <w:tcPr>
            <w:tcW w:w="1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3415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u w:val="single"/>
              </w:rPr>
              <w:t>2022</w:t>
            </w:r>
            <w:r>
              <w:rPr>
                <w:rFonts w:hint="eastAsia" w:ascii="仿宋_GB2312" w:hAnsi="宋体" w:eastAsia="仿宋_GB2312"/>
                <w:kern w:val="0"/>
              </w:rPr>
              <w:t>年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u w:val="single"/>
              </w:rPr>
              <w:t>2023</w:t>
            </w:r>
            <w:r>
              <w:rPr>
                <w:rFonts w:hint="eastAsia" w:ascii="仿宋_GB2312" w:hAnsi="宋体" w:eastAsia="仿宋_GB2312"/>
                <w:kern w:val="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构成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593.27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100%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589.23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652.23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3.32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593.27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592.55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658.57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构成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389.89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65.72%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466.25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435.23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54.38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9.17%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12.99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149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25.11%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112.23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165.38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593.27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591.47　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658.57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部门职能概述</w:t>
            </w:r>
          </w:p>
        </w:tc>
        <w:tc>
          <w:tcPr>
            <w:tcW w:w="75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 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  统筹协调和指导督促检查全市信访工作，及时通报情况，深入开展调研分析，研究改进工作；统筹协调我市信访事项复查复核活动，审议、决定复查复核工作的重大事项，组织全国、全省和全市重大活动和敏感时段信访安全保障工作；保障驻京、赴汉专班正常开展工作，及时、稳妥处置群众来访。确保不发生极端恶性事件，不发生较大影响的群体性事件，不发生因工作不当而引发的网上炒作事件，营造和谐安定的社会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年度工作任务</w:t>
            </w:r>
          </w:p>
        </w:tc>
        <w:tc>
          <w:tcPr>
            <w:tcW w:w="75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 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  确保市信访工作领导小组办公室、市复查复核办公室、市群众来访接待中心各项工作正常运转，进京、赴省上访人员能够得到及时劝返。及时组织信访安全保障工作，全年不发生规模性聚集、不发生涉访个人极端行为、不发生因信访问题引发的负面炒作、不发生重大影响的恶性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长期目标：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截止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年）</w:t>
            </w:r>
          </w:p>
        </w:tc>
        <w:tc>
          <w:tcPr>
            <w:tcW w:w="7551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  确保市信访工作领导小组办公室、市复查复核办公室、市群众来访接待中心各项工作正常运转，进京、赴省上访人员能够得到及时劝返。及时组织信访安全保障工作，全年不发生规模性聚集、不发生涉访个人极端行为、不发生因信访问题引发的负面炒作、不发生重大影响的恶性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成本</w:t>
            </w: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公用经费控制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公用经费控制率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≤100%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在职人员控制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在职人员控制率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项目支出成本控制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会议费控制率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“三公”经费变动率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成本控制率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效率</w:t>
            </w: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战略管理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中长期规划相符性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完全相符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工作计划健全性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预算编制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预算编制科学性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FF0000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科学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预算编制合理性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FF0000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合理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立项规范性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FF0000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预算调整率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预算执行率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结转结余率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政府采购执行率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≥98%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非税收入预算完成率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绩效管理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事前绩效评估完成率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绩效目标合理性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绩效监控开展率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绩效评价覆盖率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评价结果应用率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资产管理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资产管理制度健全性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资产管理规范性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财务管理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财务管理制度健全性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会计核算规范性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资金使用合规性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效能</w:t>
            </w: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常态化驻京专班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1－12月1人次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信访件及时受理率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信访件按期办结率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效应</w:t>
            </w: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受理营商环境投诉，促进企业发展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对经济建设工作产生良好的社会影响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全市信访量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信访总量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持平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，形势平稳可控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对生态建设工作产生良好的社会影响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可持续发展能力</w:t>
            </w: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体制机制改革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服务体制改革成效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服务体制改革成效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行政管理体制改革成效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行政管理体制改革成效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明显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人才支撑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业务学习与培训完成率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干部队伍体系建设规划情况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高学历、高层次人才储备率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≥70%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科技支撑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信息化建设情况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满意度</w:t>
            </w: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信访群众满意率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联系部门满意度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包保企业满意率</w:t>
            </w: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95%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101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年度目标：</w:t>
            </w:r>
          </w:p>
        </w:tc>
        <w:tc>
          <w:tcPr>
            <w:tcW w:w="7551" w:type="dxa"/>
            <w:gridSpan w:val="1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 确保市信访工作领导小组办公室、市复查复核办公室、市群众来访接待中心各项工作正常运转，进京、赴省上访人员能够得到及时劝返。及时组织信访安全保障工作，全年不发生规模性聚集、不发生涉访个人极端行为、不发生因信访问题引发的负面炒作、不发生重大影响的恶性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51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64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999" w:type="dxa"/>
            <w:gridSpan w:val="6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指标值</w:t>
            </w:r>
          </w:p>
        </w:tc>
        <w:tc>
          <w:tcPr>
            <w:tcW w:w="56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  <w:tc>
          <w:tcPr>
            <w:tcW w:w="6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8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816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近两年指标值</w:t>
            </w:r>
          </w:p>
        </w:tc>
        <w:tc>
          <w:tcPr>
            <w:tcW w:w="8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预期当年实现值</w:t>
            </w:r>
          </w:p>
        </w:tc>
        <w:tc>
          <w:tcPr>
            <w:tcW w:w="56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6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8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2022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  <w:u w:val="single"/>
              </w:rPr>
              <w:t>2023</w:t>
            </w:r>
            <w:r>
              <w:rPr>
                <w:rFonts w:ascii="仿宋_GB2312" w:hAnsi="宋体" w:eastAsia="仿宋_GB2312" w:cs="仿宋_GB2312"/>
                <w:kern w:val="0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年</w:t>
            </w:r>
          </w:p>
        </w:tc>
        <w:tc>
          <w:tcPr>
            <w:tcW w:w="8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56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615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成本</w:t>
            </w: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公用经费控制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公用经费控制率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≤100%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在职人员控制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在职人员控制率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Cs w:val="21"/>
              </w:rPr>
              <w:t>≤100%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项目支出成本控制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会议费控制率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</w:rPr>
              <w:t>变动率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成本控制率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效率</w:t>
            </w: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战略管理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中长期规划相符性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完全相符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完全相符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完全相符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工作计划健全性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预算编制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预算编制科学性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科学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科学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科学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u w:val="single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预算编制合理性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合理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合理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合理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立项规范性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预算调整率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预算执行率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结转结余率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政府采购执行率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99%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98%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≥98%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非税收入预算完成率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绩效管理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事前绩效评估完成率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绩效目标合理性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绩效监控开展率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绩效评价覆盖率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评价结果应用率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资产管理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资产管理制度健全性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资产管理规范性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财务管理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财务管理制度健全性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健全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会计核算规范性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规范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资金使用合规性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完全合规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完全合规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完全合规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预算支出标准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效能</w:t>
            </w: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常态化驻京专班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1－12月1人次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1－12月1人次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1－12月1人次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信访件及时受理率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信访件按期办结率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效应</w:t>
            </w: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受理营商环境投诉，促进企业发展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全市信访量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信访总量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持平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，形势平稳可控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信访总量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持平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，形势平稳可控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信访总量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持平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，形势平稳可控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对生态建设工作产生良好的社会影响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可持续发展能力</w:t>
            </w: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体制机制改革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服务体制改革成效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行政管理体制改革成效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明显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明显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明显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人才支撑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业务学习与培训完成率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100%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干部队伍体系建设规划情况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高学历、高层次人才储备率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≥70%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≥70%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≥70%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科技支撑</w:t>
            </w:r>
          </w:p>
        </w:tc>
        <w:tc>
          <w:tcPr>
            <w:tcW w:w="151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信息化建设情况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完全合规</w:t>
            </w:r>
          </w:p>
        </w:tc>
        <w:tc>
          <w:tcPr>
            <w:tcW w:w="84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完全合规</w:t>
            </w:r>
          </w:p>
        </w:tc>
        <w:tc>
          <w:tcPr>
            <w:tcW w:w="8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完全合规</w:t>
            </w:r>
          </w:p>
        </w:tc>
        <w:tc>
          <w:tcPr>
            <w:tcW w:w="56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计划标准</w:t>
            </w:r>
          </w:p>
        </w:tc>
        <w:tc>
          <w:tcPr>
            <w:tcW w:w="61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1518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84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8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56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  <w:tc>
          <w:tcPr>
            <w:tcW w:w="61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满意度</w:t>
            </w: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信访群众满意率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95%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95%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95%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8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联系部门满意度</w:t>
            </w:r>
          </w:p>
        </w:tc>
        <w:tc>
          <w:tcPr>
            <w:tcW w:w="151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包保企业满意率</w:t>
            </w:r>
          </w:p>
        </w:tc>
        <w:tc>
          <w:tcPr>
            <w:tcW w:w="97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95%</w:t>
            </w:r>
          </w:p>
        </w:tc>
        <w:tc>
          <w:tcPr>
            <w:tcW w:w="84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95%</w:t>
            </w:r>
          </w:p>
        </w:tc>
        <w:tc>
          <w:tcPr>
            <w:tcW w:w="8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95%</w:t>
            </w:r>
          </w:p>
        </w:tc>
        <w:tc>
          <w:tcPr>
            <w:tcW w:w="56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国家标准</w:t>
            </w:r>
          </w:p>
        </w:tc>
        <w:tc>
          <w:tcPr>
            <w:tcW w:w="61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绩效基本型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U3YTNjZDllMGE4MmM1OWYzZjgxMWYwNTA5NjM2MzAifQ=="/>
  </w:docVars>
  <w:rsids>
    <w:rsidRoot w:val="2C365954"/>
    <w:rsid w:val="000113FA"/>
    <w:rsid w:val="006D0D89"/>
    <w:rsid w:val="009E27FC"/>
    <w:rsid w:val="00A509BE"/>
    <w:rsid w:val="00AE46F7"/>
    <w:rsid w:val="00BC3DC1"/>
    <w:rsid w:val="00E7694C"/>
    <w:rsid w:val="00F81A6C"/>
    <w:rsid w:val="17CF8AAC"/>
    <w:rsid w:val="1CA22253"/>
    <w:rsid w:val="212C2F24"/>
    <w:rsid w:val="2C365954"/>
    <w:rsid w:val="30240E53"/>
    <w:rsid w:val="31FF3CB5"/>
    <w:rsid w:val="388B350E"/>
    <w:rsid w:val="49094069"/>
    <w:rsid w:val="6FEB1F85"/>
    <w:rsid w:val="75F24E89"/>
    <w:rsid w:val="7E5FEE19"/>
    <w:rsid w:val="CF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6</Pages>
  <Words>2803</Words>
  <Characters>3175</Characters>
  <Lines>32</Lines>
  <Paragraphs>9</Paragraphs>
  <TotalTime>72</TotalTime>
  <ScaleCrop>false</ScaleCrop>
  <LinksUpToDate>false</LinksUpToDate>
  <CharactersWithSpaces>3246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2024-01-25T07:26:00Z</dcterms:created>
  <dc:creator>倒亚指芭绦</dc:creator>
  <cp:lastModifiedBy>远烟</cp:lastModifiedBy>
  <cp:lastPrinted>2024-01-26T23:49:00Z</cp:lastPrinted>
  <dcterms:modified xsi:type="dcterms:W3CDTF">2024-05-24T11:49:08Z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7D35D4129FBE4D18B5AB7F59ED3C128F_11</vt:lpwstr>
  </property>
</Properties>
</file>