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Times New Roman" w:eastAsia="方正小标宋简体" w:cs="Times New Roman"/>
          <w:color w:val="auto"/>
          <w:sz w:val="44"/>
          <w:szCs w:val="44"/>
          <w:highlight w:val="none"/>
        </w:rPr>
      </w:pPr>
      <w:r>
        <w:rPr>
          <w:rFonts w:hint="eastAsia" w:ascii="方正小标宋简体" w:hAnsi="Times New Roman" w:eastAsia="方正小标宋简体" w:cs="Times New Roman"/>
          <w:color w:val="auto"/>
          <w:sz w:val="44"/>
          <w:szCs w:val="44"/>
          <w:highlight w:val="none"/>
        </w:rPr>
        <w:t>部门整体绩效目标表</w:t>
      </w:r>
    </w:p>
    <w:p>
      <w:pPr>
        <w:widowControl/>
        <w:spacing w:before="156" w:beforeLines="50"/>
        <w:jc w:val="right"/>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rPr>
        <w:t>单位：万元</w:t>
      </w:r>
    </w:p>
    <w:tbl>
      <w:tblPr>
        <w:tblStyle w:val="3"/>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867"/>
        <w:gridCol w:w="514"/>
        <w:gridCol w:w="29"/>
        <w:gridCol w:w="790"/>
        <w:gridCol w:w="617"/>
        <w:gridCol w:w="91"/>
        <w:gridCol w:w="626"/>
        <w:gridCol w:w="470"/>
        <w:gridCol w:w="563"/>
        <w:gridCol w:w="6"/>
        <w:gridCol w:w="452"/>
        <w:gridCol w:w="475"/>
        <w:gridCol w:w="475"/>
        <w:gridCol w:w="131"/>
        <w:gridCol w:w="278"/>
        <w:gridCol w:w="705"/>
        <w:gridCol w:w="4"/>
        <w:gridCol w:w="74"/>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部门（单位）</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名称</w:t>
            </w:r>
          </w:p>
        </w:tc>
        <w:tc>
          <w:tcPr>
            <w:tcW w:w="8025" w:type="dxa"/>
            <w:gridSpan w:val="19"/>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eastAsia="zh-CN"/>
              </w:rPr>
              <w:t>鄂州市住房公积金中心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填报人</w:t>
            </w:r>
          </w:p>
        </w:tc>
        <w:tc>
          <w:tcPr>
            <w:tcW w:w="2817"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程乐</w:t>
            </w:r>
            <w:r>
              <w:rPr>
                <w:rFonts w:hint="eastAsia" w:ascii="仿宋_GB2312" w:hAnsi="仿宋_GB2312" w:eastAsia="仿宋_GB2312" w:cs="仿宋_GB2312"/>
                <w:color w:val="auto"/>
                <w:kern w:val="0"/>
                <w:sz w:val="21"/>
                <w:szCs w:val="21"/>
                <w:highlight w:val="none"/>
                <w:u w:val="none"/>
              </w:rPr>
              <w:t>　</w:t>
            </w:r>
          </w:p>
        </w:tc>
        <w:tc>
          <w:tcPr>
            <w:tcW w:w="118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联系电话</w:t>
            </w:r>
          </w:p>
        </w:tc>
        <w:tc>
          <w:tcPr>
            <w:tcW w:w="4021" w:type="dxa"/>
            <w:gridSpan w:val="11"/>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18571108195</w:t>
            </w:r>
            <w:r>
              <w:rPr>
                <w:rFonts w:hint="eastAsia" w:ascii="仿宋_GB2312" w:hAnsi="仿宋_GB2312" w:eastAsia="仿宋_GB2312" w:cs="仿宋_GB2312"/>
                <w:color w:val="auto"/>
                <w:kern w:val="0"/>
                <w:sz w:val="21"/>
                <w:szCs w:val="21"/>
                <w:highlight w:val="none"/>
                <w:u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部门总体</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资金情况</w:t>
            </w:r>
          </w:p>
        </w:tc>
        <w:tc>
          <w:tcPr>
            <w:tcW w:w="4004" w:type="dxa"/>
            <w:gridSpan w:val="8"/>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总体资金情况</w:t>
            </w:r>
          </w:p>
        </w:tc>
        <w:tc>
          <w:tcPr>
            <w:tcW w:w="1021"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当年金额</w:t>
            </w:r>
          </w:p>
        </w:tc>
        <w:tc>
          <w:tcPr>
            <w:tcW w:w="950"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占比</w:t>
            </w:r>
          </w:p>
        </w:tc>
        <w:tc>
          <w:tcPr>
            <w:tcW w:w="2050" w:type="dxa"/>
            <w:gridSpan w:val="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4004" w:type="dxa"/>
            <w:gridSpan w:val="8"/>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021"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950" w:type="dxa"/>
            <w:gridSpan w:val="2"/>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11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2022</w:t>
            </w:r>
            <w:r>
              <w:rPr>
                <w:rFonts w:hint="eastAsia" w:ascii="仿宋_GB2312" w:hAnsi="仿宋_GB2312" w:eastAsia="仿宋_GB2312" w:cs="仿宋_GB2312"/>
                <w:color w:val="auto"/>
                <w:kern w:val="0"/>
                <w:sz w:val="21"/>
                <w:szCs w:val="21"/>
                <w:highlight w:val="none"/>
                <w:u w:val="none"/>
              </w:rPr>
              <w:t>年</w:t>
            </w:r>
          </w:p>
        </w:tc>
        <w:tc>
          <w:tcPr>
            <w:tcW w:w="93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2023</w:t>
            </w:r>
            <w:r>
              <w:rPr>
                <w:rFonts w:hint="eastAsia" w:ascii="仿宋_GB2312" w:hAnsi="仿宋_GB2312" w:eastAsia="仿宋_GB2312" w:cs="仿宋_GB2312"/>
                <w:color w:val="auto"/>
                <w:kern w:val="0"/>
                <w:sz w:val="21"/>
                <w:szCs w:val="21"/>
                <w:highlight w:val="none"/>
                <w:u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410"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收入</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构成</w:t>
            </w:r>
          </w:p>
        </w:tc>
        <w:tc>
          <w:tcPr>
            <w:tcW w:w="2594"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财政拨款</w:t>
            </w:r>
          </w:p>
        </w:tc>
        <w:tc>
          <w:tcPr>
            <w:tcW w:w="102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494.34</w:t>
            </w:r>
            <w:r>
              <w:rPr>
                <w:rFonts w:hint="eastAsia" w:ascii="仿宋_GB2312" w:hAnsi="仿宋_GB2312" w:eastAsia="仿宋_GB2312" w:cs="仿宋_GB2312"/>
                <w:color w:val="auto"/>
                <w:kern w:val="0"/>
                <w:sz w:val="21"/>
                <w:szCs w:val="21"/>
                <w:highlight w:val="none"/>
                <w:u w:val="none"/>
              </w:rPr>
              <w:t>　</w:t>
            </w:r>
          </w:p>
        </w:tc>
        <w:tc>
          <w:tcPr>
            <w:tcW w:w="95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r>
              <w:rPr>
                <w:rFonts w:hint="eastAsia" w:ascii="仿宋_GB2312" w:hAnsi="仿宋_GB2312" w:eastAsia="仿宋_GB2312" w:cs="仿宋_GB2312"/>
                <w:color w:val="auto"/>
                <w:kern w:val="0"/>
                <w:sz w:val="21"/>
                <w:szCs w:val="21"/>
                <w:highlight w:val="none"/>
                <w:u w:val="none"/>
                <w:lang w:val="en-US" w:eastAsia="zh-CN"/>
              </w:rPr>
              <w:t>100%</w:t>
            </w:r>
          </w:p>
        </w:tc>
        <w:tc>
          <w:tcPr>
            <w:tcW w:w="111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987.42</w:t>
            </w:r>
          </w:p>
        </w:tc>
        <w:tc>
          <w:tcPr>
            <w:tcW w:w="93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both"/>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1416.88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410"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594"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财政专户管理资金</w:t>
            </w:r>
          </w:p>
        </w:tc>
        <w:tc>
          <w:tcPr>
            <w:tcW w:w="102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95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11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93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410"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594"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单位资金</w:t>
            </w:r>
          </w:p>
        </w:tc>
        <w:tc>
          <w:tcPr>
            <w:tcW w:w="102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　</w:t>
            </w:r>
          </w:p>
        </w:tc>
        <w:tc>
          <w:tcPr>
            <w:tcW w:w="95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11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93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410"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594"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合  计</w:t>
            </w:r>
          </w:p>
        </w:tc>
        <w:tc>
          <w:tcPr>
            <w:tcW w:w="102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494.34</w:t>
            </w:r>
            <w:r>
              <w:rPr>
                <w:rFonts w:hint="eastAsia" w:ascii="仿宋_GB2312" w:hAnsi="仿宋_GB2312" w:eastAsia="仿宋_GB2312" w:cs="仿宋_GB2312"/>
                <w:color w:val="auto"/>
                <w:kern w:val="0"/>
                <w:sz w:val="21"/>
                <w:szCs w:val="21"/>
                <w:highlight w:val="none"/>
                <w:u w:val="none"/>
              </w:rPr>
              <w:t>　</w:t>
            </w:r>
          </w:p>
        </w:tc>
        <w:tc>
          <w:tcPr>
            <w:tcW w:w="95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100%</w:t>
            </w:r>
          </w:p>
        </w:tc>
        <w:tc>
          <w:tcPr>
            <w:tcW w:w="111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987.42</w:t>
            </w:r>
          </w:p>
        </w:tc>
        <w:tc>
          <w:tcPr>
            <w:tcW w:w="93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1416.88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410"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支出</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构成</w:t>
            </w:r>
          </w:p>
        </w:tc>
        <w:tc>
          <w:tcPr>
            <w:tcW w:w="2594"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人员类项目支出</w:t>
            </w:r>
          </w:p>
        </w:tc>
        <w:tc>
          <w:tcPr>
            <w:tcW w:w="102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257.95</w:t>
            </w:r>
            <w:r>
              <w:rPr>
                <w:rFonts w:hint="eastAsia" w:ascii="仿宋_GB2312" w:hAnsi="仿宋_GB2312" w:eastAsia="仿宋_GB2312" w:cs="仿宋_GB2312"/>
                <w:color w:val="auto"/>
                <w:kern w:val="0"/>
                <w:sz w:val="21"/>
                <w:szCs w:val="21"/>
                <w:highlight w:val="none"/>
                <w:u w:val="none"/>
              </w:rPr>
              <w:t>　</w:t>
            </w:r>
          </w:p>
        </w:tc>
        <w:tc>
          <w:tcPr>
            <w:tcW w:w="95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52.18%</w:t>
            </w:r>
          </w:p>
        </w:tc>
        <w:tc>
          <w:tcPr>
            <w:tcW w:w="111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306.54</w:t>
            </w:r>
          </w:p>
        </w:tc>
        <w:tc>
          <w:tcPr>
            <w:tcW w:w="93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仿宋_GB2312" w:eastAsia="仿宋_GB2312" w:cs="仿宋_GB2312"/>
                <w:color w:val="auto"/>
                <w:kern w:val="0"/>
                <w:sz w:val="21"/>
                <w:szCs w:val="21"/>
                <w:highlight w:val="none"/>
                <w:u w:val="none"/>
                <w:lang w:val="en-US"/>
              </w:rPr>
            </w:pPr>
            <w:r>
              <w:rPr>
                <w:rFonts w:hint="eastAsia" w:ascii="仿宋_GB2312" w:hAnsi="仿宋_GB2312" w:eastAsia="仿宋_GB2312" w:cs="仿宋_GB2312"/>
                <w:color w:val="auto"/>
                <w:kern w:val="0"/>
                <w:sz w:val="21"/>
                <w:szCs w:val="21"/>
                <w:highlight w:val="none"/>
                <w:u w:val="none"/>
                <w:lang w:val="en-US" w:eastAsia="zh-CN"/>
              </w:rPr>
              <w:t>309.99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410"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594"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运转类项目支出</w:t>
            </w:r>
          </w:p>
        </w:tc>
        <w:tc>
          <w:tcPr>
            <w:tcW w:w="102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115.39</w:t>
            </w:r>
          </w:p>
        </w:tc>
        <w:tc>
          <w:tcPr>
            <w:tcW w:w="95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23.34%</w:t>
            </w:r>
          </w:p>
        </w:tc>
        <w:tc>
          <w:tcPr>
            <w:tcW w:w="111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40.49</w:t>
            </w:r>
          </w:p>
        </w:tc>
        <w:tc>
          <w:tcPr>
            <w:tcW w:w="93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仿宋_GB2312" w:eastAsia="仿宋_GB2312" w:cs="仿宋_GB2312"/>
                <w:color w:val="auto"/>
                <w:kern w:val="0"/>
                <w:sz w:val="21"/>
                <w:szCs w:val="21"/>
                <w:highlight w:val="none"/>
                <w:u w:val="none"/>
                <w:lang w:val="en-US"/>
              </w:rPr>
            </w:pPr>
            <w:r>
              <w:rPr>
                <w:rFonts w:hint="eastAsia" w:ascii="仿宋_GB2312" w:hAnsi="仿宋_GB2312" w:eastAsia="仿宋_GB2312" w:cs="仿宋_GB2312"/>
                <w:color w:val="auto"/>
                <w:kern w:val="0"/>
                <w:sz w:val="21"/>
                <w:szCs w:val="21"/>
                <w:highlight w:val="none"/>
                <w:u w:val="none"/>
                <w:lang w:val="en-US" w:eastAsia="zh-CN"/>
              </w:rPr>
              <w:t>31.10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410"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594"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特定目标类项目支出</w:t>
            </w:r>
          </w:p>
        </w:tc>
        <w:tc>
          <w:tcPr>
            <w:tcW w:w="102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121</w:t>
            </w:r>
            <w:r>
              <w:rPr>
                <w:rFonts w:hint="eastAsia" w:ascii="仿宋_GB2312" w:hAnsi="仿宋_GB2312" w:eastAsia="仿宋_GB2312" w:cs="仿宋_GB2312"/>
                <w:color w:val="auto"/>
                <w:kern w:val="0"/>
                <w:sz w:val="21"/>
                <w:szCs w:val="21"/>
                <w:highlight w:val="none"/>
                <w:u w:val="none"/>
              </w:rPr>
              <w:t>　</w:t>
            </w:r>
          </w:p>
        </w:tc>
        <w:tc>
          <w:tcPr>
            <w:tcW w:w="95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24.48%</w:t>
            </w:r>
          </w:p>
        </w:tc>
        <w:tc>
          <w:tcPr>
            <w:tcW w:w="111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640.39</w:t>
            </w:r>
          </w:p>
        </w:tc>
        <w:tc>
          <w:tcPr>
            <w:tcW w:w="93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default" w:ascii="仿宋_GB2312" w:hAnsi="仿宋_GB2312" w:eastAsia="仿宋_GB2312" w:cs="仿宋_GB2312"/>
                <w:color w:val="auto"/>
                <w:kern w:val="0"/>
                <w:sz w:val="21"/>
                <w:szCs w:val="21"/>
                <w:highlight w:val="none"/>
                <w:u w:val="none"/>
                <w:lang w:val="en-US"/>
              </w:rPr>
            </w:pPr>
            <w:r>
              <w:rPr>
                <w:rFonts w:hint="eastAsia" w:ascii="仿宋_GB2312" w:hAnsi="仿宋_GB2312" w:eastAsia="仿宋_GB2312" w:cs="仿宋_GB2312"/>
                <w:color w:val="auto"/>
                <w:kern w:val="0"/>
                <w:sz w:val="21"/>
                <w:szCs w:val="21"/>
                <w:highlight w:val="none"/>
                <w:u w:val="none"/>
                <w:lang w:val="en-US" w:eastAsia="zh-CN"/>
              </w:rPr>
              <w:t>1075.79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410" w:type="dxa"/>
            <w:gridSpan w:val="3"/>
            <w:vMerge w:val="continue"/>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2594"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合  计</w:t>
            </w:r>
          </w:p>
        </w:tc>
        <w:tc>
          <w:tcPr>
            <w:tcW w:w="1021"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494.34</w:t>
            </w:r>
            <w:r>
              <w:rPr>
                <w:rFonts w:hint="eastAsia" w:ascii="仿宋_GB2312" w:hAnsi="仿宋_GB2312" w:eastAsia="仿宋_GB2312" w:cs="仿宋_GB2312"/>
                <w:color w:val="auto"/>
                <w:kern w:val="0"/>
                <w:sz w:val="21"/>
                <w:szCs w:val="21"/>
                <w:highlight w:val="none"/>
                <w:u w:val="none"/>
              </w:rPr>
              <w:t>　</w:t>
            </w:r>
          </w:p>
        </w:tc>
        <w:tc>
          <w:tcPr>
            <w:tcW w:w="950"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100%</w:t>
            </w:r>
          </w:p>
        </w:tc>
        <w:tc>
          <w:tcPr>
            <w:tcW w:w="111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987.42</w:t>
            </w:r>
          </w:p>
        </w:tc>
        <w:tc>
          <w:tcPr>
            <w:tcW w:w="936"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1416.88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部门职能概述</w:t>
            </w:r>
          </w:p>
        </w:tc>
        <w:tc>
          <w:tcPr>
            <w:tcW w:w="8025" w:type="dxa"/>
            <w:gridSpan w:val="19"/>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1</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rPr>
              <w:t>编制住房公积金的归集、使用计划并组织实施，编制计划执行情况报告。</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2</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rPr>
              <w:t>负责住房公积金的统一核算。委托经市住房公积金管理委员会审定的商业银行办理住房公积金贷款、结算等金融业务和住房公积金账户设立、缴存、归还等手续。</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3</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rPr>
              <w:t>拟订住房公积金具体管理办法，经市住房公积金管理委员会审议通过后实施。</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4</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rPr>
              <w:t>审批个人住房公积金的提取和个人住房委托贷款的发放，按照市住房公积金管理委员会审议批准的计划购买国债。</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5</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rPr>
              <w:t>负责住房公积金的保值增值。</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6</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rPr>
              <w:t>提出住房公积金增值收益分配方案，经市财政部门审核，报市住房公积金管理委员会审议后执行。</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7</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rPr>
              <w:t>承办市住房公积金管理委员会决定的其他事项和上级交办的其他事项。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年度工作任务</w:t>
            </w:r>
          </w:p>
        </w:tc>
        <w:tc>
          <w:tcPr>
            <w:tcW w:w="8025" w:type="dxa"/>
            <w:gridSpan w:val="19"/>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sz w:val="21"/>
                <w:szCs w:val="21"/>
                <w:u w:val="none"/>
              </w:rPr>
              <w:t xml:space="preserve"> </w:t>
            </w:r>
            <w:r>
              <w:rPr>
                <w:rFonts w:hint="eastAsia" w:ascii="仿宋_GB2312" w:hAnsi="仿宋_GB2312" w:eastAsia="仿宋_GB2312" w:cs="仿宋_GB2312"/>
                <w:color w:val="auto"/>
                <w:kern w:val="0"/>
                <w:sz w:val="21"/>
                <w:szCs w:val="21"/>
                <w:highlight w:val="none"/>
                <w:u w:val="none"/>
                <w:lang w:eastAsia="zh-CN"/>
              </w:rPr>
              <w:t>202</w:t>
            </w:r>
            <w:r>
              <w:rPr>
                <w:rFonts w:hint="eastAsia" w:ascii="仿宋_GB2312" w:hAnsi="仿宋_GB2312" w:eastAsia="仿宋_GB2312" w:cs="仿宋_GB2312"/>
                <w:color w:val="auto"/>
                <w:kern w:val="0"/>
                <w:sz w:val="21"/>
                <w:szCs w:val="21"/>
                <w:highlight w:val="none"/>
                <w:u w:val="none"/>
                <w:lang w:val="en-US" w:eastAsia="zh-CN"/>
              </w:rPr>
              <w:t>4</w:t>
            </w:r>
            <w:r>
              <w:rPr>
                <w:rFonts w:hint="eastAsia" w:ascii="仿宋_GB2312" w:hAnsi="仿宋_GB2312" w:eastAsia="仿宋_GB2312" w:cs="仿宋_GB2312"/>
                <w:color w:val="auto"/>
                <w:kern w:val="0"/>
                <w:sz w:val="21"/>
                <w:szCs w:val="21"/>
                <w:highlight w:val="none"/>
                <w:u w:val="none"/>
                <w:lang w:eastAsia="zh-CN"/>
              </w:rPr>
              <w:t>年，业务发展的主要预期目标是：新增归集额1</w:t>
            </w:r>
            <w:r>
              <w:rPr>
                <w:rFonts w:hint="eastAsia" w:ascii="仿宋_GB2312" w:hAnsi="仿宋_GB2312" w:eastAsia="仿宋_GB2312" w:cs="仿宋_GB2312"/>
                <w:color w:val="auto"/>
                <w:kern w:val="0"/>
                <w:sz w:val="21"/>
                <w:szCs w:val="21"/>
                <w:highlight w:val="none"/>
                <w:u w:val="none"/>
                <w:lang w:val="en-US" w:eastAsia="zh-CN"/>
              </w:rPr>
              <w:t>6.1</w:t>
            </w:r>
            <w:r>
              <w:rPr>
                <w:rFonts w:hint="eastAsia" w:ascii="仿宋_GB2312" w:hAnsi="仿宋_GB2312" w:eastAsia="仿宋_GB2312" w:cs="仿宋_GB2312"/>
                <w:color w:val="auto"/>
                <w:kern w:val="0"/>
                <w:sz w:val="21"/>
                <w:szCs w:val="21"/>
                <w:highlight w:val="none"/>
                <w:u w:val="none"/>
                <w:lang w:eastAsia="zh-CN"/>
              </w:rPr>
              <w:t>亿，新增实缴人数3000人，发放贷款5亿元，实现增值收益6000万元。</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一</w:t>
            </w:r>
            <w:r>
              <w:rPr>
                <w:rFonts w:hint="eastAsia" w:ascii="仿宋_GB2312" w:hAnsi="仿宋_GB2312" w:eastAsia="仿宋_GB2312" w:cs="仿宋_GB2312"/>
                <w:color w:val="auto"/>
                <w:kern w:val="0"/>
                <w:sz w:val="21"/>
                <w:szCs w:val="21"/>
                <w:highlight w:val="none"/>
                <w:u w:val="none"/>
              </w:rPr>
              <w:t>是大力抓好归集</w:t>
            </w:r>
            <w:r>
              <w:rPr>
                <w:rFonts w:hint="eastAsia" w:ascii="仿宋_GB2312" w:hAnsi="仿宋_GB2312" w:eastAsia="仿宋_GB2312" w:cs="仿宋_GB2312"/>
                <w:color w:val="auto"/>
                <w:kern w:val="0"/>
                <w:sz w:val="21"/>
                <w:szCs w:val="21"/>
                <w:highlight w:val="none"/>
                <w:u w:val="none"/>
                <w:lang w:eastAsia="zh-CN"/>
              </w:rPr>
              <w:t>使用</w:t>
            </w: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eastAsia="zh-CN"/>
              </w:rPr>
              <w:t>建立中心及受委托银行归集扩面“双专班”，加大归集扩面在银行考核机制里面的权重分值，大幅提升受委托银行归集扩面的主动性和积极性。推行市场营销理念，及时跟进新楼盘，主动开展市场贷款营销，着力加大公积金贷款发放力度。</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eastAsia="zh-CN"/>
              </w:rPr>
              <w:t>二</w:t>
            </w:r>
            <w:r>
              <w:rPr>
                <w:rFonts w:hint="eastAsia" w:ascii="仿宋_GB2312" w:hAnsi="仿宋_GB2312" w:eastAsia="仿宋_GB2312" w:cs="仿宋_GB2312"/>
                <w:color w:val="auto"/>
                <w:kern w:val="0"/>
                <w:sz w:val="21"/>
                <w:szCs w:val="21"/>
                <w:highlight w:val="none"/>
                <w:u w:val="none"/>
              </w:rPr>
              <w:t>是积极</w:t>
            </w:r>
            <w:r>
              <w:rPr>
                <w:rFonts w:hint="eastAsia" w:ascii="仿宋_GB2312" w:hAnsi="仿宋_GB2312" w:eastAsia="仿宋_GB2312" w:cs="仿宋_GB2312"/>
                <w:color w:val="auto"/>
                <w:kern w:val="0"/>
                <w:sz w:val="21"/>
                <w:szCs w:val="21"/>
                <w:highlight w:val="none"/>
                <w:u w:val="none"/>
                <w:lang w:eastAsia="zh-CN"/>
              </w:rPr>
              <w:t>推进创新改革</w:t>
            </w:r>
            <w:r>
              <w:rPr>
                <w:rFonts w:hint="eastAsia" w:ascii="仿宋_GB2312" w:hAnsi="仿宋_GB2312" w:eastAsia="仿宋_GB2312" w:cs="仿宋_GB2312"/>
                <w:color w:val="auto"/>
                <w:kern w:val="0"/>
                <w:sz w:val="21"/>
                <w:szCs w:val="21"/>
                <w:highlight w:val="none"/>
                <w:u w:val="none"/>
              </w:rPr>
              <w:t>。</w:t>
            </w:r>
            <w:r>
              <w:rPr>
                <w:rFonts w:hint="eastAsia" w:ascii="仿宋_GB2312" w:hAnsi="仿宋_GB2312" w:eastAsia="仿宋_GB2312" w:cs="仿宋_GB2312"/>
                <w:color w:val="auto"/>
                <w:kern w:val="0"/>
                <w:sz w:val="21"/>
                <w:szCs w:val="21"/>
                <w:highlight w:val="none"/>
                <w:u w:val="none"/>
                <w:lang w:val="en-US" w:eastAsia="zh-CN"/>
              </w:rPr>
              <w:t>多渠道开展住房公积金缴存、提取、贷款、信用管理、流动性风险防控、加装电梯、组合贷款管理等七个办法的宣传。</w:t>
            </w:r>
            <w:r>
              <w:rPr>
                <w:rFonts w:hint="eastAsia" w:ascii="仿宋_GB2312" w:hAnsi="仿宋_GB2312" w:eastAsia="仿宋_GB2312" w:cs="仿宋_GB2312"/>
                <w:color w:val="auto"/>
                <w:kern w:val="0"/>
                <w:sz w:val="21"/>
                <w:szCs w:val="21"/>
                <w:highlight w:val="none"/>
                <w:u w:val="none"/>
              </w:rPr>
              <w:t>全力探索公积金服务机制和运行模式改革</w:t>
            </w: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lang w:val="en-US" w:eastAsia="zh-CN"/>
              </w:rPr>
              <w:t>通过公积金线上云服务平台将公积金业务受理环节事项延伸到银行网点、合作楼盘，审批环节集中到公积金中心，实现缴存职工就近办理、远程审批。按照“政策互同、管理互动、系统互联、数据互享、风险互控、服务互鉴”思路，不断深化武鄂公积金一体化运行机制改革。</w:t>
            </w:r>
          </w:p>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sz w:val="21"/>
                <w:szCs w:val="21"/>
                <w:u w:val="none"/>
              </w:rPr>
            </w:pPr>
            <w:r>
              <w:rPr>
                <w:rFonts w:hint="eastAsia" w:ascii="仿宋_GB2312" w:hAnsi="仿宋_GB2312" w:eastAsia="仿宋_GB2312" w:cs="仿宋_GB2312"/>
                <w:color w:val="auto"/>
                <w:kern w:val="0"/>
                <w:sz w:val="21"/>
                <w:szCs w:val="21"/>
                <w:highlight w:val="none"/>
                <w:u w:val="none"/>
                <w:lang w:eastAsia="zh-CN"/>
              </w:rPr>
              <w:t>三是持续提升服务能效。</w:t>
            </w:r>
            <w:r>
              <w:rPr>
                <w:rFonts w:hint="eastAsia" w:ascii="仿宋_GB2312" w:hAnsi="仿宋_GB2312" w:eastAsia="仿宋_GB2312" w:cs="仿宋_GB2312"/>
                <w:color w:val="auto"/>
                <w:kern w:val="0"/>
                <w:sz w:val="21"/>
                <w:szCs w:val="21"/>
                <w:highlight w:val="none"/>
                <w:u w:val="none"/>
                <w:lang w:val="en-US" w:eastAsia="zh-CN"/>
              </w:rPr>
              <w:t>实施“稳网强链”工程，探索在全省率先建立数据专题库，大力推进鄂州公积金区块链全业务场景应用项目部署和运行，不断发挥在全省住建系统的试点示范作用。积极推进公积金综合服务平台数字化迭代升级，在业务上实现在线协同，推动更多服务“一网通办”“跨省通办”；在服务上便民利民，建设公积金智慧服务大厅，推动更多事项“网上办、掌上办、一次办、集成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bCs/>
                <w:color w:val="auto"/>
                <w:kern w:val="0"/>
                <w:sz w:val="21"/>
                <w:szCs w:val="21"/>
                <w:highlight w:val="none"/>
                <w:u w:val="none"/>
              </w:rPr>
            </w:pPr>
            <w:r>
              <w:rPr>
                <w:rFonts w:hint="eastAsia" w:ascii="仿宋_GB2312" w:hAnsi="仿宋_GB2312" w:eastAsia="仿宋_GB2312" w:cs="仿宋_GB2312"/>
                <w:b/>
                <w:bCs/>
                <w:color w:val="auto"/>
                <w:kern w:val="0"/>
                <w:sz w:val="21"/>
                <w:szCs w:val="21"/>
                <w:highlight w:val="none"/>
                <w:u w:val="none"/>
              </w:rPr>
              <w:t>长期目标：</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bCs/>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（截止</w:t>
            </w:r>
            <w:r>
              <w:rPr>
                <w:rFonts w:hint="eastAsia" w:ascii="仿宋_GB2312" w:hAnsi="仿宋_GB2312" w:eastAsia="仿宋_GB2312" w:cs="仿宋_GB2312"/>
                <w:color w:val="auto"/>
                <w:kern w:val="0"/>
                <w:sz w:val="21"/>
                <w:szCs w:val="21"/>
                <w:highlight w:val="none"/>
                <w:u w:val="none"/>
                <w:lang w:val="en-US" w:eastAsia="zh-CN"/>
              </w:rPr>
              <w:t>2026</w:t>
            </w:r>
            <w:r>
              <w:rPr>
                <w:rFonts w:hint="eastAsia" w:ascii="仿宋_GB2312" w:hAnsi="仿宋_GB2312" w:eastAsia="仿宋_GB2312" w:cs="仿宋_GB2312"/>
                <w:color w:val="auto"/>
                <w:kern w:val="0"/>
                <w:sz w:val="21"/>
                <w:szCs w:val="21"/>
                <w:highlight w:val="none"/>
                <w:u w:val="none"/>
              </w:rPr>
              <w:t xml:space="preserve"> 年）</w:t>
            </w:r>
          </w:p>
        </w:tc>
        <w:tc>
          <w:tcPr>
            <w:tcW w:w="8025" w:type="dxa"/>
            <w:gridSpan w:val="19"/>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 xml:space="preserve">    </w:t>
            </w:r>
            <w:r>
              <w:rPr>
                <w:rFonts w:hint="eastAsia" w:ascii="仿宋_GB2312" w:hAnsi="仿宋_GB2312" w:eastAsia="仿宋_GB2312" w:cs="仿宋_GB2312"/>
                <w:color w:val="auto"/>
                <w:kern w:val="0"/>
                <w:sz w:val="21"/>
                <w:szCs w:val="21"/>
                <w:highlight w:val="none"/>
                <w:u w:val="none"/>
                <w:lang w:eastAsia="zh-CN"/>
              </w:rPr>
              <w:t>要</w:t>
            </w:r>
            <w:r>
              <w:rPr>
                <w:rFonts w:hint="eastAsia" w:ascii="仿宋_GB2312" w:hAnsi="仿宋_GB2312" w:eastAsia="仿宋_GB2312" w:cs="仿宋_GB2312"/>
                <w:color w:val="auto"/>
                <w:kern w:val="0"/>
                <w:sz w:val="21"/>
                <w:szCs w:val="21"/>
                <w:highlight w:val="none"/>
                <w:u w:val="none"/>
                <w:lang w:val="en-US" w:eastAsia="zh-CN"/>
              </w:rPr>
              <w:t>持续推进都市圈同城化发展，扩大住房公积金覆盖面并且</w:t>
            </w:r>
            <w:r>
              <w:rPr>
                <w:rFonts w:hint="eastAsia" w:ascii="仿宋_GB2312" w:hAnsi="仿宋_GB2312" w:eastAsia="仿宋_GB2312" w:cs="仿宋_GB2312"/>
                <w:color w:val="auto"/>
                <w:kern w:val="0"/>
                <w:sz w:val="21"/>
                <w:szCs w:val="21"/>
                <w:highlight w:val="none"/>
                <w:u w:val="none"/>
                <w:lang w:eastAsia="zh-CN"/>
              </w:rPr>
              <w:t>持续提升住房公积金营业大厅的服务能效，筑牢安全发展底线。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长期绩</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效指标</w:t>
            </w:r>
          </w:p>
        </w:tc>
        <w:tc>
          <w:tcPr>
            <w:tcW w:w="1381"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一级</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w:t>
            </w:r>
          </w:p>
        </w:tc>
        <w:tc>
          <w:tcPr>
            <w:tcW w:w="152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二级指标</w:t>
            </w: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三级指标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指标值确定依据</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运行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成本</w:t>
            </w:r>
          </w:p>
        </w:tc>
        <w:tc>
          <w:tcPr>
            <w:tcW w:w="152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w:t>
            </w: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在职人员控制</w:t>
            </w: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在职</w:t>
            </w:r>
            <w:r>
              <w:rPr>
                <w:rFonts w:hint="eastAsia" w:ascii="仿宋_GB2312" w:hAnsi="仿宋_GB2312" w:eastAsia="仿宋_GB2312" w:cs="仿宋_GB2312"/>
                <w:color w:val="auto"/>
                <w:kern w:val="0"/>
                <w:sz w:val="21"/>
                <w:szCs w:val="21"/>
                <w:highlight w:val="none"/>
                <w:u w:val="none"/>
              </w:rPr>
              <w:t>人员控制率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≤100%</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项目支出成本控制</w:t>
            </w: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会议费控制率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“三公”经费变动率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管理</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效率</w:t>
            </w:r>
          </w:p>
        </w:tc>
        <w:tc>
          <w:tcPr>
            <w:tcW w:w="1527" w:type="dxa"/>
            <w:gridSpan w:val="4"/>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战略管理</w:t>
            </w: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中长期规划相符性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eastAsia="zh-CN"/>
              </w:rPr>
              <w:t>完全相符</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工作计划健全性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eastAsia="zh-CN"/>
              </w:rPr>
              <w:t>健全</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w:t>
            </w: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预算编制科学性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eastAsia="zh-CN"/>
              </w:rPr>
              <w:t>科学</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预算编制合理性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eastAsia="zh-CN"/>
              </w:rPr>
              <w:t>合理</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立项规范性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eastAsia="zh-CN"/>
              </w:rPr>
              <w:t>规范</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预算调整率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预算执行</w:t>
            </w: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预算执行率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结转结余率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0%</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政府采购执行率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≥98%</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非税收入预算完成率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绩效管理</w:t>
            </w: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事前绩效评估完成率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绩效目标合理性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绩效监控开展率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绩效评价覆盖率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评价结果应用率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w:t>
            </w: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资产管理制度健全性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健全</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资产管理规范性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规范</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w:t>
            </w: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财务管理制度健全性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健全</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会计核算规范性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规范</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资金使用合规性</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完全合规</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履职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效能</w:t>
            </w:r>
          </w:p>
        </w:tc>
        <w:tc>
          <w:tcPr>
            <w:tcW w:w="1527" w:type="dxa"/>
            <w:gridSpan w:val="4"/>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数量指标</w:t>
            </w: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实缴职工增长率（%）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历史标准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实缴单位增长率（%）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历史标准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缴存覆盖率（%）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≥62%</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历史标准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异地贷款发放笔数占比（%）</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≥50%</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历史标准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质量指标</w:t>
            </w: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个贷逾期率（‰）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lang w:val="en-US" w:eastAsia="zh-CN"/>
              </w:rPr>
              <w:t>1</w:t>
            </w:r>
            <w:r>
              <w:rPr>
                <w:rFonts w:hint="eastAsia" w:ascii="仿宋_GB2312" w:hAnsi="仿宋_GB2312" w:eastAsia="仿宋_GB2312" w:cs="仿宋_GB2312"/>
                <w:color w:val="auto"/>
                <w:kern w:val="0"/>
                <w:sz w:val="21"/>
                <w:szCs w:val="21"/>
                <w:highlight w:val="none"/>
                <w:u w:val="none"/>
                <w:lang w:eastAsia="zh-CN"/>
              </w:rPr>
              <w:t>‰</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历史标准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存贷比（%）</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lang w:val="en-US" w:eastAsia="zh-CN"/>
              </w:rPr>
              <w:t>80%</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历史标准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效应</w:t>
            </w:r>
          </w:p>
        </w:tc>
        <w:tc>
          <w:tcPr>
            <w:tcW w:w="152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经济效益</w:t>
            </w: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个人住房贷款市场占有率（%）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历史标准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社会效益</w:t>
            </w: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增值收益率</w:t>
            </w:r>
            <w:r>
              <w:rPr>
                <w:rFonts w:hint="eastAsia" w:ascii="仿宋_GB2312" w:hAnsi="仿宋_GB2312" w:eastAsia="仿宋_GB2312" w:cs="仿宋_GB2312"/>
                <w:color w:val="auto"/>
                <w:kern w:val="0"/>
                <w:sz w:val="21"/>
                <w:szCs w:val="21"/>
                <w:highlight w:val="none"/>
                <w:u w:val="none"/>
              </w:rPr>
              <w:t>（%）</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lang w:val="en-US" w:eastAsia="zh-CN"/>
              </w:rPr>
              <w:t>1%</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历史标准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生态效益</w:t>
            </w: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节约纸张情况</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提升</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其他标准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可持续发展能力</w:t>
            </w:r>
          </w:p>
        </w:tc>
        <w:tc>
          <w:tcPr>
            <w:tcW w:w="1527" w:type="dxa"/>
            <w:gridSpan w:val="4"/>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体制机制改革</w:t>
            </w: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服务体制改革成效</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完成</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计划标准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行政管理体制改革成效</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明显</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计划标准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人才支撑</w:t>
            </w: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业务学习与培训完成率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计划标准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干部队伍体系建设规划情况</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完成</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计划标准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高学历、高层次人才储备率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≥70%</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计划标准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科技支撑</w:t>
            </w: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信息化建设情况</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完全合规</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计划标准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共享数据使用率（%）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≥20%</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计划标准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满意度</w:t>
            </w:r>
          </w:p>
        </w:tc>
        <w:tc>
          <w:tcPr>
            <w:tcW w:w="152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服务对象满意度</w:t>
            </w: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社会满意度（%）</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≥98%</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历史标准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1381" w:type="dxa"/>
            <w:gridSpan w:val="2"/>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527"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联系部门满意度</w:t>
            </w:r>
          </w:p>
        </w:tc>
        <w:tc>
          <w:tcPr>
            <w:tcW w:w="1665"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跨省通办业务及时办结率（%）</w:t>
            </w:r>
          </w:p>
        </w:tc>
        <w:tc>
          <w:tcPr>
            <w:tcW w:w="1533" w:type="dxa"/>
            <w:gridSpan w:val="4"/>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≥100%</w:t>
            </w:r>
          </w:p>
        </w:tc>
        <w:tc>
          <w:tcPr>
            <w:tcW w:w="987"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历史标准</w:t>
            </w:r>
          </w:p>
        </w:tc>
        <w:tc>
          <w:tcPr>
            <w:tcW w:w="932"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41"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b/>
                <w:bCs/>
                <w:color w:val="auto"/>
                <w:kern w:val="0"/>
                <w:sz w:val="21"/>
                <w:szCs w:val="21"/>
                <w:highlight w:val="none"/>
                <w:u w:val="none"/>
              </w:rPr>
            </w:pPr>
            <w:r>
              <w:rPr>
                <w:rFonts w:hint="eastAsia" w:ascii="仿宋_GB2312" w:hAnsi="仿宋_GB2312" w:eastAsia="仿宋_GB2312" w:cs="仿宋_GB2312"/>
                <w:b/>
                <w:bCs/>
                <w:color w:val="auto"/>
                <w:kern w:val="0"/>
                <w:sz w:val="21"/>
                <w:szCs w:val="21"/>
                <w:highlight w:val="none"/>
                <w:u w:val="none"/>
              </w:rPr>
              <w:t>年度目标：</w:t>
            </w:r>
          </w:p>
        </w:tc>
        <w:tc>
          <w:tcPr>
            <w:tcW w:w="8025" w:type="dxa"/>
            <w:gridSpan w:val="19"/>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 xml:space="preserve">   新增归集额16.1亿，发放贷款5.5亿元，实现逾期率≤0.12‰，缴存率≥72%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年度绩效指标</w:t>
            </w:r>
          </w:p>
        </w:tc>
        <w:tc>
          <w:tcPr>
            <w:tcW w:w="867"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一级</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w:t>
            </w:r>
          </w:p>
        </w:tc>
        <w:tc>
          <w:tcPr>
            <w:tcW w:w="1333"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二级指标</w:t>
            </w:r>
          </w:p>
        </w:tc>
        <w:tc>
          <w:tcPr>
            <w:tcW w:w="1334"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三级指标</w:t>
            </w:r>
          </w:p>
        </w:tc>
        <w:tc>
          <w:tcPr>
            <w:tcW w:w="2850" w:type="dxa"/>
            <w:gridSpan w:val="8"/>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w:t>
            </w:r>
          </w:p>
        </w:tc>
        <w:tc>
          <w:tcPr>
            <w:tcW w:w="783"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指标值确定依据</w:t>
            </w:r>
          </w:p>
        </w:tc>
        <w:tc>
          <w:tcPr>
            <w:tcW w:w="858"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4"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966" w:type="dxa"/>
            <w:gridSpan w:val="5"/>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近两年指标值</w:t>
            </w:r>
          </w:p>
        </w:tc>
        <w:tc>
          <w:tcPr>
            <w:tcW w:w="884"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预期当年实现值</w:t>
            </w:r>
          </w:p>
        </w:tc>
        <w:tc>
          <w:tcPr>
            <w:tcW w:w="78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858"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4"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2022</w:t>
            </w:r>
            <w:r>
              <w:rPr>
                <w:rFonts w:hint="eastAsia" w:ascii="仿宋_GB2312" w:hAnsi="仿宋_GB2312" w:eastAsia="仿宋_GB2312" w:cs="仿宋_GB2312"/>
                <w:color w:val="auto"/>
                <w:kern w:val="0"/>
                <w:sz w:val="21"/>
                <w:szCs w:val="21"/>
                <w:highlight w:val="none"/>
                <w:u w:val="none"/>
              </w:rPr>
              <w:t xml:space="preserve"> 年</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2023</w:t>
            </w:r>
            <w:r>
              <w:rPr>
                <w:rFonts w:hint="eastAsia" w:ascii="仿宋_GB2312" w:hAnsi="仿宋_GB2312" w:eastAsia="仿宋_GB2312" w:cs="仿宋_GB2312"/>
                <w:color w:val="auto"/>
                <w:kern w:val="0"/>
                <w:sz w:val="21"/>
                <w:szCs w:val="21"/>
                <w:highlight w:val="none"/>
                <w:u w:val="none"/>
              </w:rPr>
              <w:t xml:space="preserve"> 年</w:t>
            </w:r>
          </w:p>
        </w:tc>
        <w:tc>
          <w:tcPr>
            <w:tcW w:w="884"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78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858" w:type="dxa"/>
            <w:vMerge w:val="continue"/>
            <w:tcBorders>
              <w:left w:val="nil"/>
            </w:tcBorders>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运行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成本</w:t>
            </w:r>
          </w:p>
        </w:tc>
        <w:tc>
          <w:tcPr>
            <w:tcW w:w="13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w:t>
            </w: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公用经费控制率</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在职人员控制</w:t>
            </w: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在职</w:t>
            </w:r>
            <w:r>
              <w:rPr>
                <w:rFonts w:hint="eastAsia" w:ascii="仿宋_GB2312" w:hAnsi="仿宋_GB2312" w:eastAsia="仿宋_GB2312" w:cs="仿宋_GB2312"/>
                <w:color w:val="auto"/>
                <w:kern w:val="0"/>
                <w:sz w:val="21"/>
                <w:szCs w:val="21"/>
                <w:highlight w:val="none"/>
                <w:u w:val="none"/>
              </w:rPr>
              <w:t>人员控制率</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80%</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66.67</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b w:val="0"/>
                <w:bCs/>
                <w:i w:val="0"/>
                <w:color w:val="000000"/>
                <w:kern w:val="0"/>
                <w:sz w:val="21"/>
                <w:szCs w:val="21"/>
                <w:u w:val="none"/>
                <w:lang w:val="en-US" w:eastAsia="zh-CN" w:bidi="ar"/>
              </w:rPr>
              <w:t>≤100%</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项目支出成本控制</w:t>
            </w: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会议费控制率</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低于100%</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“三公”经费</w:t>
            </w:r>
            <w:bookmarkStart w:id="0" w:name="_GoBack"/>
            <w:bookmarkEnd w:id="0"/>
            <w:r>
              <w:rPr>
                <w:rFonts w:hint="eastAsia" w:ascii="仿宋_GB2312" w:hAnsi="仿宋_GB2312" w:eastAsia="仿宋_GB2312" w:cs="仿宋_GB2312"/>
                <w:color w:val="auto"/>
                <w:kern w:val="0"/>
                <w:sz w:val="21"/>
                <w:szCs w:val="21"/>
                <w:highlight w:val="none"/>
                <w:u w:val="none"/>
              </w:rPr>
              <w:t>变动率</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0%</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0%</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0%</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管理</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效率</w:t>
            </w:r>
          </w:p>
        </w:tc>
        <w:tc>
          <w:tcPr>
            <w:tcW w:w="1333"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战略管理</w:t>
            </w: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中长期规划相符性</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完全相符</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完全相符</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完全相符</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工作计划健全性</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健全</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健全</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健全</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w:t>
            </w: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预算编制科学性</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科学</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科学</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科学</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预算编制合理性</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合理</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合理</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合理</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立项规范性</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规范</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规范</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规范</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预算调整率</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0%</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0%</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0%</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预算执行</w:t>
            </w: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预算执行率</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结转结余率</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0%</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28.55%</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0%</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政府采购执行率</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95.92%</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99%</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≥98%</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非税收入预算完成率</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绩效管理</w:t>
            </w: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事前绩效评估完成率</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绩效目标合理性</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绩效监控开展率</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绩效评价覆盖率</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评价结果应用率</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w:t>
            </w: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资产管理制度健全性</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健全</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健全</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健全</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资产管理规范性</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规范</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规范</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规范</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w:t>
            </w: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财务管理制度健全性</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健全</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健全</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健全</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会计核算规范性</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规范</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规范</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规范</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资金使用合规性</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完全合规</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完全合规</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完全合规</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预算支出标准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履职</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效能</w:t>
            </w:r>
          </w:p>
        </w:tc>
        <w:tc>
          <w:tcPr>
            <w:tcW w:w="1333"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数量指标</w:t>
            </w: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实缴职工增长率（%）</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3.60%</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30.43</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历史标准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实缴单位增长率（%）</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11.49%</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33.29%</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历史标准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缴存覆盖率（%）</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60%</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70.2%</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≥62%</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历史标准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异地贷款发放笔数占比（%）</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48.76%</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62.98%</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≥50%</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历史标准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lang w:eastAsia="zh-CN"/>
              </w:rPr>
            </w:pPr>
            <w:r>
              <w:rPr>
                <w:rFonts w:hint="eastAsia" w:ascii="仿宋_GB2312" w:hAnsi="仿宋_GB2312" w:eastAsia="仿宋_GB2312" w:cs="仿宋_GB2312"/>
                <w:color w:val="auto"/>
                <w:kern w:val="0"/>
                <w:sz w:val="21"/>
                <w:szCs w:val="21"/>
                <w:highlight w:val="none"/>
                <w:u w:val="none"/>
                <w:lang w:eastAsia="zh-CN"/>
              </w:rPr>
              <w:t>质量指标</w:t>
            </w: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个贷逾期率（‰）</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0.2</w:t>
            </w:r>
            <w:r>
              <w:rPr>
                <w:rFonts w:hint="eastAsia" w:ascii="仿宋_GB2312" w:hAnsi="仿宋_GB2312" w:eastAsia="仿宋_GB2312" w:cs="仿宋_GB2312"/>
                <w:color w:val="auto"/>
                <w:kern w:val="0"/>
                <w:sz w:val="21"/>
                <w:szCs w:val="21"/>
                <w:highlight w:val="none"/>
                <w:u w:val="none"/>
                <w:lang w:eastAsia="zh-CN"/>
              </w:rPr>
              <w:t>‰</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0.12</w:t>
            </w:r>
            <w:r>
              <w:rPr>
                <w:rFonts w:hint="eastAsia" w:ascii="仿宋_GB2312" w:hAnsi="仿宋_GB2312" w:eastAsia="仿宋_GB2312" w:cs="仿宋_GB2312"/>
                <w:color w:val="auto"/>
                <w:kern w:val="0"/>
                <w:sz w:val="21"/>
                <w:szCs w:val="21"/>
                <w:highlight w:val="none"/>
                <w:u w:val="none"/>
                <w:lang w:eastAsia="zh-CN"/>
              </w:rPr>
              <w:t>‰</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lang w:val="en-US" w:eastAsia="zh-CN"/>
              </w:rPr>
              <w:t>1</w:t>
            </w:r>
            <w:r>
              <w:rPr>
                <w:rFonts w:hint="eastAsia" w:ascii="仿宋_GB2312" w:hAnsi="仿宋_GB2312" w:eastAsia="仿宋_GB2312" w:cs="仿宋_GB2312"/>
                <w:color w:val="auto"/>
                <w:kern w:val="0"/>
                <w:sz w:val="21"/>
                <w:szCs w:val="21"/>
                <w:highlight w:val="none"/>
                <w:u w:val="none"/>
                <w:lang w:eastAsia="zh-CN"/>
              </w:rPr>
              <w:t>‰</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历史标准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存贷比（%）</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79.45%</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78.49%</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lang w:val="en-US" w:eastAsia="zh-CN"/>
              </w:rPr>
              <w:t>80%</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历史标准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效应</w:t>
            </w:r>
          </w:p>
        </w:tc>
        <w:tc>
          <w:tcPr>
            <w:tcW w:w="13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经济效益</w:t>
            </w: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个人住房贷款市场占有率（%）</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12.22%</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10.8%</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历史标准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社会效益</w:t>
            </w: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增值收益率</w:t>
            </w:r>
            <w:r>
              <w:rPr>
                <w:rFonts w:hint="eastAsia" w:ascii="仿宋_GB2312" w:hAnsi="仿宋_GB2312" w:eastAsia="仿宋_GB2312" w:cs="仿宋_GB2312"/>
                <w:color w:val="auto"/>
                <w:kern w:val="0"/>
                <w:sz w:val="21"/>
                <w:szCs w:val="21"/>
                <w:highlight w:val="none"/>
                <w:u w:val="none"/>
              </w:rPr>
              <w:t>（%）</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1.81%</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1.75%</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w:t>
            </w:r>
            <w:r>
              <w:rPr>
                <w:rFonts w:hint="eastAsia" w:ascii="仿宋_GB2312" w:hAnsi="仿宋_GB2312" w:eastAsia="仿宋_GB2312" w:cs="仿宋_GB2312"/>
                <w:color w:val="auto"/>
                <w:kern w:val="0"/>
                <w:sz w:val="21"/>
                <w:szCs w:val="21"/>
                <w:highlight w:val="none"/>
                <w:u w:val="none"/>
                <w:lang w:val="en-US" w:eastAsia="zh-CN"/>
              </w:rPr>
              <w:t>1%</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历史标准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生态效益</w:t>
            </w: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节约纸张情况</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提升</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提升</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提升</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其他标准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可持续发展能力</w:t>
            </w:r>
          </w:p>
        </w:tc>
        <w:tc>
          <w:tcPr>
            <w:tcW w:w="1333"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体制机制改革</w:t>
            </w: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服务体制改革成效</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完成</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完成</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完成</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行政管理体制改革成效</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明显</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明显</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明显</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人才支撑</w:t>
            </w: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业务学习与培训完成率</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90%</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92%</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干部队伍体系建设规划情况</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完成</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完成</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完成</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高学历、高层次人才储备率</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84%</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80%</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≥70%</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科技支撑</w:t>
            </w: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信息化建设情况</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完全合规</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完全合规</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完全合规</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共享数据使用率（%）</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30%</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≥20%</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计划标准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restart"/>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满意度</w:t>
            </w:r>
          </w:p>
        </w:tc>
        <w:tc>
          <w:tcPr>
            <w:tcW w:w="13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服务对象满意度</w:t>
            </w: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社会满意度（%）</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99%</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98%</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≥98%</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历史标准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41"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_GB2312" w:hAnsi="仿宋_GB2312" w:eastAsia="仿宋_GB2312" w:cs="仿宋_GB2312"/>
                <w:color w:val="auto"/>
                <w:kern w:val="0"/>
                <w:sz w:val="21"/>
                <w:szCs w:val="21"/>
                <w:highlight w:val="none"/>
                <w:u w:val="none"/>
              </w:rPr>
            </w:pPr>
          </w:p>
        </w:tc>
        <w:tc>
          <w:tcPr>
            <w:tcW w:w="867" w:type="dxa"/>
            <w:vMerge w:val="continue"/>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p>
        </w:tc>
        <w:tc>
          <w:tcPr>
            <w:tcW w:w="13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联系部门满意度</w:t>
            </w:r>
          </w:p>
        </w:tc>
        <w:tc>
          <w:tcPr>
            <w:tcW w:w="133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跨省通办业务及时办结率（%）</w:t>
            </w:r>
          </w:p>
        </w:tc>
        <w:tc>
          <w:tcPr>
            <w:tcW w:w="1033" w:type="dxa"/>
            <w:gridSpan w:val="2"/>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93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884"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val="en-US" w:eastAsia="zh-CN"/>
              </w:rPr>
              <w:t>≥100%</w:t>
            </w:r>
          </w:p>
        </w:tc>
        <w:tc>
          <w:tcPr>
            <w:tcW w:w="783" w:type="dxa"/>
            <w:gridSpan w:val="3"/>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lang w:eastAsia="zh-CN"/>
              </w:rPr>
              <w:t>历史标准</w:t>
            </w:r>
          </w:p>
        </w:tc>
        <w:tc>
          <w:tcPr>
            <w:tcW w:w="858" w:type="dxa"/>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仿宋_GB2312" w:hAnsi="仿宋_GB2312" w:eastAsia="仿宋_GB2312" w:cs="仿宋_GB2312"/>
                <w:color w:val="auto"/>
                <w:kern w:val="0"/>
                <w:sz w:val="21"/>
                <w:szCs w:val="21"/>
                <w:highlight w:val="none"/>
                <w:u w:val="none"/>
              </w:rPr>
            </w:pPr>
            <w:r>
              <w:rPr>
                <w:rFonts w:hint="eastAsia" w:ascii="仿宋_GB2312" w:hAnsi="仿宋_GB2312" w:eastAsia="仿宋_GB2312" w:cs="仿宋_GB2312"/>
                <w:color w:val="auto"/>
                <w:kern w:val="0"/>
                <w:sz w:val="21"/>
                <w:szCs w:val="21"/>
                <w:highlight w:val="none"/>
                <w:u w:val="none"/>
              </w:rPr>
              <w:t>绩效基本型</w:t>
            </w:r>
          </w:p>
        </w:tc>
      </w:tr>
    </w:tbl>
    <w:p>
      <w:pPr>
        <w:spacing w:line="600" w:lineRule="exact"/>
        <w:ind w:firstLine="640" w:firstLineChars="200"/>
        <w:rPr>
          <w:rFonts w:hint="eastAsia" w:ascii="黑体" w:hAnsi="黑体" w:eastAsia="黑体" w:cs="黑体"/>
          <w:color w:val="auto"/>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modern"/>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YTNjZDllMGE4MmM1OWYzZjgxMWYwNTA5NjM2MzAifQ=="/>
  </w:docVars>
  <w:rsids>
    <w:rsidRoot w:val="2C365954"/>
    <w:rsid w:val="09FB666F"/>
    <w:rsid w:val="1CA22253"/>
    <w:rsid w:val="212C2F24"/>
    <w:rsid w:val="24F649B4"/>
    <w:rsid w:val="2714520F"/>
    <w:rsid w:val="2C365954"/>
    <w:rsid w:val="2E8438E1"/>
    <w:rsid w:val="30240E53"/>
    <w:rsid w:val="359F58E1"/>
    <w:rsid w:val="368D2D65"/>
    <w:rsid w:val="38504F5E"/>
    <w:rsid w:val="388B350E"/>
    <w:rsid w:val="3AFB3506"/>
    <w:rsid w:val="3C3A2BDD"/>
    <w:rsid w:val="4FD36B61"/>
    <w:rsid w:val="5D925042"/>
    <w:rsid w:val="67202BDB"/>
    <w:rsid w:val="6A22716C"/>
    <w:rsid w:val="6B7D6B40"/>
    <w:rsid w:val="6DF139EF"/>
    <w:rsid w:val="72BF0049"/>
    <w:rsid w:val="7B724F73"/>
    <w:rsid w:val="7EA259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3235</Words>
  <Characters>3687</Characters>
  <Lines>0</Lines>
  <Paragraphs>0</Paragraphs>
  <TotalTime>8</TotalTime>
  <ScaleCrop>false</ScaleCrop>
  <LinksUpToDate>false</LinksUpToDate>
  <CharactersWithSpaces>3715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2024-01-24T07:26:00Z</dcterms:created>
  <dc:creator>倒亚指芭绦</dc:creator>
  <cp:lastModifiedBy>远烟</cp:lastModifiedBy>
  <cp:lastPrinted>2024-01-24T08:44:00Z</cp:lastPrinted>
  <dcterms:modified xsi:type="dcterms:W3CDTF">2024-05-24T11:34:59Z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7D35D4129FBE4D18B5AB7F59ED3C128F_11</vt:lpwstr>
  </property>
</Properties>
</file>