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1A9F6">
      <w:pPr>
        <w:snapToGrid w:val="0"/>
        <w:spacing w:before="100" w:beforeAutospacing="1" w:after="100" w:afterAutospacing="1"/>
        <w:ind w:firstLine="0" w:firstLineChars="0"/>
        <w:jc w:val="center"/>
        <w:rPr>
          <w:rFonts w:hint="eastAsia"/>
          <w:b/>
          <w:bCs/>
          <w:color w:val="000000"/>
          <w:kern w:val="0"/>
        </w:rPr>
      </w:pPr>
      <w:r>
        <w:rPr>
          <w:rFonts w:hint="eastAsia"/>
          <w:b/>
          <w:bCs/>
          <w:color w:val="000000"/>
          <w:kern w:val="0"/>
        </w:rPr>
        <w:t>湖北省鄂州市重点项目预算绩效评价报告</w:t>
      </w:r>
    </w:p>
    <w:p w14:paraId="240FD8CF">
      <w:pPr>
        <w:ind w:firstLine="632"/>
        <w:rPr>
          <w:rFonts w:hint="eastAsia"/>
          <w:color w:val="000000"/>
        </w:rPr>
      </w:pPr>
    </w:p>
    <w:p w14:paraId="3B522D0F">
      <w:pPr>
        <w:ind w:firstLine="632"/>
        <w:rPr>
          <w:rFonts w:hint="eastAsia"/>
          <w:color w:val="000000"/>
        </w:rPr>
      </w:pPr>
    </w:p>
    <w:p w14:paraId="3D198BB9">
      <w:pPr>
        <w:spacing w:line="360" w:lineRule="auto"/>
        <w:ind w:firstLine="632"/>
        <w:rPr>
          <w:rFonts w:hint="eastAsia"/>
          <w:color w:val="000000"/>
          <w:kern w:val="0"/>
        </w:rPr>
      </w:pPr>
    </w:p>
    <w:p w14:paraId="300799E5">
      <w:pPr>
        <w:snapToGrid w:val="0"/>
        <w:spacing w:before="100" w:beforeAutospacing="1" w:after="100" w:afterAutospacing="1"/>
        <w:ind w:left="2256" w:leftChars="214" w:hanging="1580" w:hangingChars="500"/>
        <w:rPr>
          <w:rFonts w:hint="eastAsia"/>
          <w:b/>
          <w:bCs/>
          <w:color w:val="000000"/>
          <w:kern w:val="0"/>
        </w:rPr>
      </w:pPr>
      <w:r>
        <w:rPr>
          <w:b/>
          <w:bCs/>
          <w:color w:val="000000"/>
          <w:kern w:val="0"/>
        </w:rPr>
        <w:t>项目名称：华科鄂州工研院运行专项经费</w:t>
      </w:r>
    </w:p>
    <w:p w14:paraId="652EF67C">
      <w:pPr>
        <w:snapToGrid w:val="0"/>
        <w:spacing w:before="100" w:beforeAutospacing="1" w:after="100" w:afterAutospacing="1"/>
        <w:ind w:left="2256" w:leftChars="214" w:hanging="1580" w:hangingChars="500"/>
        <w:rPr>
          <w:rFonts w:hint="eastAsia"/>
          <w:b/>
          <w:bCs/>
          <w:color w:val="000000"/>
          <w:kern w:val="0"/>
        </w:rPr>
      </w:pPr>
      <w:r>
        <w:rPr>
          <w:rFonts w:hint="eastAsia"/>
          <w:b/>
          <w:bCs/>
          <w:color w:val="000000"/>
          <w:kern w:val="0"/>
        </w:rPr>
        <w:t>预算</w:t>
      </w:r>
      <w:r>
        <w:rPr>
          <w:b/>
          <w:bCs/>
          <w:color w:val="000000"/>
          <w:kern w:val="0"/>
        </w:rPr>
        <w:t>单位：</w:t>
      </w:r>
      <w:r>
        <w:rPr>
          <w:rFonts w:hint="eastAsia"/>
          <w:b/>
          <w:bCs/>
          <w:color w:val="000000"/>
          <w:kern w:val="0"/>
        </w:rPr>
        <w:t>鄂州市科学技术局</w:t>
      </w:r>
    </w:p>
    <w:p w14:paraId="00B0D553">
      <w:pPr>
        <w:snapToGrid w:val="0"/>
        <w:spacing w:before="100" w:beforeAutospacing="1" w:after="100" w:afterAutospacing="1"/>
        <w:ind w:left="2256" w:leftChars="214" w:hanging="1580" w:hangingChars="500"/>
        <w:rPr>
          <w:rFonts w:hint="eastAsia"/>
          <w:b/>
          <w:bCs/>
          <w:color w:val="000000"/>
          <w:kern w:val="0"/>
        </w:rPr>
      </w:pPr>
      <w:r>
        <w:rPr>
          <w:rFonts w:hint="eastAsia"/>
          <w:b/>
          <w:bCs/>
          <w:color w:val="000000"/>
          <w:kern w:val="0"/>
        </w:rPr>
        <w:t>预算期间：2016.6-2020.10</w:t>
      </w:r>
    </w:p>
    <w:p w14:paraId="4EE15B6D">
      <w:pPr>
        <w:snapToGrid w:val="0"/>
        <w:spacing w:before="100" w:beforeAutospacing="1" w:after="100" w:afterAutospacing="1"/>
        <w:ind w:left="2256" w:leftChars="214" w:hanging="1580" w:hangingChars="500"/>
        <w:rPr>
          <w:b/>
          <w:bCs/>
          <w:color w:val="000000"/>
          <w:kern w:val="0"/>
        </w:rPr>
      </w:pPr>
      <w:r>
        <w:rPr>
          <w:rFonts w:hint="eastAsia"/>
          <w:b/>
          <w:bCs/>
          <w:color w:val="000000"/>
          <w:kern w:val="0"/>
        </w:rPr>
        <w:t>评价类型：项目</w:t>
      </w:r>
      <w:r>
        <w:rPr>
          <w:rFonts w:hint="eastAsia"/>
          <w:b/>
          <w:bCs/>
          <w:color w:val="000000"/>
          <w:kern w:val="0"/>
        </w:rPr>
        <w:sym w:font="Wingdings" w:char="00FE"/>
      </w:r>
      <w:r>
        <w:rPr>
          <w:rFonts w:hint="eastAsia"/>
          <w:b/>
          <w:bCs/>
          <w:color w:val="000000"/>
          <w:kern w:val="0"/>
        </w:rPr>
        <w:t xml:space="preserve"> 政策</w:t>
      </w:r>
      <w:r>
        <w:rPr>
          <w:rFonts w:hint="eastAsia"/>
          <w:b/>
          <w:bCs/>
          <w:color w:val="000000"/>
          <w:kern w:val="0"/>
        </w:rPr>
        <w:sym w:font="Wingdings" w:char="00A8"/>
      </w:r>
      <w:r>
        <w:rPr>
          <w:rFonts w:hint="eastAsia"/>
          <w:b/>
          <w:bCs/>
          <w:color w:val="000000"/>
          <w:kern w:val="0"/>
        </w:rPr>
        <w:t xml:space="preserve"> 部门</w:t>
      </w:r>
      <w:r>
        <w:rPr>
          <w:rFonts w:hint="eastAsia"/>
          <w:b/>
          <w:bCs/>
          <w:color w:val="000000"/>
          <w:kern w:val="0"/>
        </w:rPr>
        <w:sym w:font="Wingdings" w:char="00A8"/>
      </w:r>
    </w:p>
    <w:p w14:paraId="48A0F396">
      <w:pPr>
        <w:spacing w:line="360" w:lineRule="auto"/>
        <w:ind w:firstLine="0" w:firstLineChars="0"/>
        <w:rPr>
          <w:rFonts w:hint="eastAsia" w:ascii="黑体" w:eastAsia="黑体"/>
          <w:color w:val="000000"/>
        </w:rPr>
      </w:pPr>
    </w:p>
    <w:p w14:paraId="65E2677B">
      <w:pPr>
        <w:spacing w:line="360" w:lineRule="auto"/>
        <w:ind w:firstLine="0" w:firstLineChars="0"/>
        <w:rPr>
          <w:rFonts w:hint="eastAsia" w:ascii="黑体" w:eastAsia="黑体"/>
          <w:color w:val="000000"/>
        </w:rPr>
      </w:pPr>
    </w:p>
    <w:p w14:paraId="07FCCFD5">
      <w:pPr>
        <w:spacing w:line="360" w:lineRule="auto"/>
        <w:ind w:firstLine="0" w:firstLineChars="0"/>
        <w:rPr>
          <w:rFonts w:hint="eastAsia" w:ascii="黑体" w:eastAsia="黑体"/>
          <w:color w:val="000000"/>
        </w:rPr>
      </w:pPr>
    </w:p>
    <w:p w14:paraId="758F1F3C">
      <w:pPr>
        <w:spacing w:line="360" w:lineRule="auto"/>
        <w:ind w:firstLine="0" w:firstLineChars="0"/>
        <w:rPr>
          <w:rFonts w:hint="eastAsia" w:ascii="黑体" w:eastAsia="黑体"/>
          <w:color w:val="000000"/>
        </w:rPr>
      </w:pPr>
    </w:p>
    <w:p w14:paraId="4CEA5D44">
      <w:pPr>
        <w:spacing w:line="360" w:lineRule="auto"/>
        <w:ind w:firstLine="0" w:firstLineChars="0"/>
        <w:rPr>
          <w:rFonts w:hint="eastAsia" w:ascii="黑体" w:eastAsia="黑体"/>
          <w:color w:val="000000"/>
        </w:rPr>
      </w:pPr>
    </w:p>
    <w:p w14:paraId="66CEE2CE">
      <w:pPr>
        <w:spacing w:line="360" w:lineRule="auto"/>
        <w:ind w:firstLine="0" w:firstLineChars="0"/>
        <w:rPr>
          <w:rFonts w:hint="eastAsia" w:ascii="黑体" w:eastAsia="黑体"/>
          <w:color w:val="000000"/>
        </w:rPr>
      </w:pPr>
    </w:p>
    <w:p w14:paraId="05C4DC02">
      <w:pPr>
        <w:spacing w:line="360" w:lineRule="auto"/>
        <w:ind w:firstLine="0" w:firstLineChars="0"/>
        <w:rPr>
          <w:rFonts w:hint="eastAsia" w:ascii="黑体" w:eastAsia="黑体"/>
          <w:color w:val="000000"/>
        </w:rPr>
      </w:pPr>
    </w:p>
    <w:p w14:paraId="177EC346">
      <w:pPr>
        <w:ind w:firstLine="0" w:firstLineChars="0"/>
        <w:jc w:val="center"/>
        <w:rPr>
          <w:rFonts w:hint="eastAsia"/>
          <w:color w:val="000000"/>
        </w:rPr>
      </w:pPr>
      <w:r>
        <w:rPr>
          <w:rFonts w:hint="eastAsia"/>
          <w:color w:val="000000"/>
        </w:rPr>
        <w:t>目录</w:t>
      </w:r>
    </w:p>
    <w:p w14:paraId="446B68F3">
      <w:pPr>
        <w:pStyle w:val="8"/>
        <w:tabs>
          <w:tab w:val="right" w:leader="dot" w:pos="8835"/>
        </w:tabs>
        <w:ind w:firstLine="632"/>
        <w:rPr>
          <w:rFonts w:ascii="Calibri" w:hAnsi="Calibri" w:eastAsia="宋体" w:cs="Times New Roman"/>
          <w:color w:val="000000"/>
          <w:sz w:val="21"/>
          <w:szCs w:val="22"/>
        </w:rPr>
      </w:pPr>
      <w:r>
        <w:rPr>
          <w:rFonts w:hint="eastAsia"/>
          <w:color w:val="000000"/>
        </w:rPr>
        <w:fldChar w:fldCharType="begin"/>
      </w:r>
      <w:r>
        <w:rPr>
          <w:rFonts w:hint="eastAsia"/>
          <w:color w:val="000000"/>
        </w:rPr>
        <w:instrText xml:space="preserve">TOC \o "1-2" \h \u </w:instrText>
      </w:r>
      <w:r>
        <w:rPr>
          <w:rFonts w:hint="eastAsia"/>
          <w:color w:val="000000"/>
        </w:rPr>
        <w:fldChar w:fldCharType="separate"/>
      </w:r>
    </w:p>
    <w:p w14:paraId="56A89D7D">
      <w:pPr>
        <w:pStyle w:val="8"/>
        <w:tabs>
          <w:tab w:val="right" w:leader="dot" w:pos="8835"/>
        </w:tabs>
        <w:ind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"_Toc58481816"</w:instrText>
      </w:r>
      <w:r>
        <w:rPr>
          <w:rStyle w:val="14"/>
          <w:color w:val="000000"/>
          <w:u w:val="none"/>
        </w:rPr>
        <w:instrText xml:space="preserve"> </w:instrText>
      </w:r>
      <w:r>
        <w:rPr>
          <w:color w:val="000000"/>
        </w:rPr>
        <w:fldChar w:fldCharType="separate"/>
      </w:r>
      <w:r>
        <w:rPr>
          <w:rStyle w:val="14"/>
          <w:color w:val="000000"/>
          <w:u w:val="none"/>
        </w:rPr>
        <w:t>1.</w:t>
      </w:r>
      <w:r>
        <w:rPr>
          <w:rStyle w:val="14"/>
          <w:rFonts w:hint="eastAsia"/>
          <w:color w:val="000000"/>
          <w:u w:val="none"/>
        </w:rPr>
        <w:t>评价结论</w:t>
      </w:r>
      <w:r>
        <w:rPr>
          <w:color w:val="000000"/>
        </w:rPr>
        <w:tab/>
      </w:r>
      <w:r>
        <w:rPr>
          <w:color w:val="000000"/>
        </w:rPr>
        <w:fldChar w:fldCharType="begin"/>
      </w:r>
      <w:r>
        <w:rPr>
          <w:color w:val="000000"/>
        </w:rPr>
        <w:instrText xml:space="preserve"> PAGEREF _Toc58481816 \h </w:instrText>
      </w:r>
      <w:r>
        <w:rPr>
          <w:color w:val="000000"/>
        </w:rPr>
        <w:fldChar w:fldCharType="separate"/>
      </w:r>
      <w:r>
        <w:rPr>
          <w:color w:val="000000"/>
        </w:rPr>
        <w:t>- 3 -</w:t>
      </w:r>
      <w:r>
        <w:rPr>
          <w:color w:val="000000"/>
        </w:rPr>
        <w:fldChar w:fldCharType="end"/>
      </w:r>
      <w:r>
        <w:rPr>
          <w:color w:val="000000"/>
        </w:rPr>
        <w:fldChar w:fldCharType="end"/>
      </w:r>
    </w:p>
    <w:p w14:paraId="69F5A1FE">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"_Toc58481817"</w:instrText>
      </w:r>
      <w:r>
        <w:rPr>
          <w:rStyle w:val="14"/>
          <w:color w:val="000000"/>
          <w:u w:val="none"/>
        </w:rPr>
        <w:instrText xml:space="preserve"> </w:instrText>
      </w:r>
      <w:r>
        <w:rPr>
          <w:color w:val="000000"/>
        </w:rPr>
        <w:fldChar w:fldCharType="separate"/>
      </w:r>
      <w:r>
        <w:rPr>
          <w:rStyle w:val="14"/>
          <w:color w:val="000000"/>
          <w:u w:val="none"/>
        </w:rPr>
        <w:t>1.1</w:t>
      </w:r>
      <w:r>
        <w:rPr>
          <w:rStyle w:val="14"/>
          <w:rFonts w:hint="eastAsia"/>
          <w:color w:val="000000"/>
          <w:u w:val="none"/>
        </w:rPr>
        <w:t>评价分数和等级</w:t>
      </w:r>
      <w:r>
        <w:rPr>
          <w:color w:val="000000"/>
        </w:rPr>
        <w:tab/>
      </w:r>
      <w:r>
        <w:rPr>
          <w:color w:val="000000"/>
        </w:rPr>
        <w:fldChar w:fldCharType="begin"/>
      </w:r>
      <w:r>
        <w:rPr>
          <w:color w:val="000000"/>
        </w:rPr>
        <w:instrText xml:space="preserve"> PAGEREF _Toc58481817 \h </w:instrText>
      </w:r>
      <w:r>
        <w:rPr>
          <w:color w:val="000000"/>
        </w:rPr>
        <w:fldChar w:fldCharType="separate"/>
      </w:r>
      <w:r>
        <w:rPr>
          <w:color w:val="000000"/>
        </w:rPr>
        <w:t>- 4 -</w:t>
      </w:r>
      <w:r>
        <w:rPr>
          <w:color w:val="000000"/>
        </w:rPr>
        <w:fldChar w:fldCharType="end"/>
      </w:r>
      <w:r>
        <w:rPr>
          <w:color w:val="000000"/>
        </w:rPr>
        <w:fldChar w:fldCharType="end"/>
      </w:r>
    </w:p>
    <w:p w14:paraId="0B14B3DA">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"_Toc58481818"</w:instrText>
      </w:r>
      <w:r>
        <w:rPr>
          <w:rStyle w:val="14"/>
          <w:color w:val="000000"/>
          <w:u w:val="none"/>
        </w:rPr>
        <w:instrText xml:space="preserve"> </w:instrText>
      </w:r>
      <w:r>
        <w:rPr>
          <w:color w:val="000000"/>
        </w:rPr>
        <w:fldChar w:fldCharType="separate"/>
      </w:r>
      <w:r>
        <w:rPr>
          <w:rStyle w:val="14"/>
          <w:color w:val="000000"/>
          <w:u w:val="none"/>
        </w:rPr>
        <w:t>1.2</w:t>
      </w:r>
      <w:r>
        <w:rPr>
          <w:rStyle w:val="14"/>
          <w:rFonts w:hint="eastAsia"/>
          <w:color w:val="000000"/>
          <w:u w:val="none"/>
        </w:rPr>
        <w:t>绩效目标完成情况</w:t>
      </w:r>
      <w:r>
        <w:rPr>
          <w:color w:val="000000"/>
        </w:rPr>
        <w:tab/>
      </w:r>
      <w:r>
        <w:rPr>
          <w:color w:val="000000"/>
        </w:rPr>
        <w:fldChar w:fldCharType="begin"/>
      </w:r>
      <w:r>
        <w:rPr>
          <w:color w:val="000000"/>
        </w:rPr>
        <w:instrText xml:space="preserve"> PAGEREF _Toc58481818 \h </w:instrText>
      </w:r>
      <w:r>
        <w:rPr>
          <w:color w:val="000000"/>
        </w:rPr>
        <w:fldChar w:fldCharType="separate"/>
      </w:r>
      <w:r>
        <w:rPr>
          <w:color w:val="000000"/>
        </w:rPr>
        <w:t>- 4 -</w:t>
      </w:r>
      <w:r>
        <w:rPr>
          <w:color w:val="000000"/>
        </w:rPr>
        <w:fldChar w:fldCharType="end"/>
      </w:r>
      <w:r>
        <w:rPr>
          <w:color w:val="000000"/>
        </w:rPr>
        <w:fldChar w:fldCharType="end"/>
      </w:r>
    </w:p>
    <w:p w14:paraId="27744DA5">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"_Toc58481819"</w:instrText>
      </w:r>
      <w:r>
        <w:rPr>
          <w:rStyle w:val="14"/>
          <w:color w:val="000000"/>
          <w:u w:val="none"/>
        </w:rPr>
        <w:instrText xml:space="preserve"> </w:instrText>
      </w:r>
      <w:r>
        <w:rPr>
          <w:color w:val="000000"/>
        </w:rPr>
        <w:fldChar w:fldCharType="separate"/>
      </w:r>
      <w:r>
        <w:rPr>
          <w:rStyle w:val="14"/>
          <w:color w:val="000000"/>
          <w:u w:val="none"/>
        </w:rPr>
        <w:t>1.3</w:t>
      </w:r>
      <w:r>
        <w:rPr>
          <w:rStyle w:val="14"/>
          <w:rFonts w:hint="eastAsia"/>
          <w:color w:val="000000"/>
          <w:u w:val="none"/>
        </w:rPr>
        <w:t>存在的问题</w:t>
      </w:r>
      <w:r>
        <w:rPr>
          <w:color w:val="000000"/>
        </w:rPr>
        <w:tab/>
      </w:r>
      <w:r>
        <w:rPr>
          <w:color w:val="000000"/>
        </w:rPr>
        <w:fldChar w:fldCharType="begin"/>
      </w:r>
      <w:r>
        <w:rPr>
          <w:color w:val="000000"/>
        </w:rPr>
        <w:instrText xml:space="preserve"> PAGEREF _Toc58481819 \h </w:instrText>
      </w:r>
      <w:r>
        <w:rPr>
          <w:color w:val="000000"/>
        </w:rPr>
        <w:fldChar w:fldCharType="separate"/>
      </w:r>
      <w:r>
        <w:rPr>
          <w:color w:val="000000"/>
        </w:rPr>
        <w:t>- 5 -</w:t>
      </w:r>
      <w:r>
        <w:rPr>
          <w:color w:val="000000"/>
        </w:rPr>
        <w:fldChar w:fldCharType="end"/>
      </w:r>
      <w:r>
        <w:rPr>
          <w:color w:val="000000"/>
        </w:rPr>
        <w:fldChar w:fldCharType="end"/>
      </w:r>
    </w:p>
    <w:p w14:paraId="6C6F225D">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"_Toc58481820"</w:instrText>
      </w:r>
      <w:r>
        <w:rPr>
          <w:rStyle w:val="14"/>
          <w:color w:val="000000"/>
          <w:u w:val="none"/>
        </w:rPr>
        <w:instrText xml:space="preserve"> </w:instrText>
      </w:r>
      <w:r>
        <w:rPr>
          <w:color w:val="000000"/>
        </w:rPr>
        <w:fldChar w:fldCharType="separate"/>
      </w:r>
      <w:r>
        <w:rPr>
          <w:rStyle w:val="14"/>
          <w:color w:val="000000"/>
          <w:u w:val="none"/>
        </w:rPr>
        <w:t>1.4</w:t>
      </w:r>
      <w:r>
        <w:rPr>
          <w:rStyle w:val="14"/>
          <w:rFonts w:hint="eastAsia"/>
          <w:color w:val="000000"/>
          <w:u w:val="none"/>
        </w:rPr>
        <w:t>结果拟应用建议</w:t>
      </w:r>
      <w:r>
        <w:rPr>
          <w:color w:val="000000"/>
        </w:rPr>
        <w:tab/>
      </w:r>
      <w:r>
        <w:rPr>
          <w:color w:val="000000"/>
        </w:rPr>
        <w:fldChar w:fldCharType="begin"/>
      </w:r>
      <w:r>
        <w:rPr>
          <w:color w:val="000000"/>
        </w:rPr>
        <w:instrText xml:space="preserve"> PAGEREF _Toc58481820 \h </w:instrText>
      </w:r>
      <w:r>
        <w:rPr>
          <w:color w:val="000000"/>
        </w:rPr>
        <w:fldChar w:fldCharType="separate"/>
      </w:r>
      <w:r>
        <w:rPr>
          <w:color w:val="000000"/>
        </w:rPr>
        <w:t>- 6 -</w:t>
      </w:r>
      <w:r>
        <w:rPr>
          <w:color w:val="000000"/>
        </w:rPr>
        <w:fldChar w:fldCharType="end"/>
      </w:r>
      <w:r>
        <w:rPr>
          <w:color w:val="000000"/>
        </w:rPr>
        <w:fldChar w:fldCharType="end"/>
      </w:r>
    </w:p>
    <w:p w14:paraId="24528ED9">
      <w:pPr>
        <w:pStyle w:val="8"/>
        <w:tabs>
          <w:tab w:val="right" w:leader="dot" w:pos="8835"/>
        </w:tabs>
        <w:ind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"_Toc58481821"</w:instrText>
      </w:r>
      <w:r>
        <w:rPr>
          <w:rStyle w:val="14"/>
          <w:color w:val="000000"/>
          <w:u w:val="none"/>
        </w:rPr>
        <w:instrText xml:space="preserve"> </w:instrText>
      </w:r>
      <w:r>
        <w:rPr>
          <w:color w:val="000000"/>
        </w:rPr>
        <w:fldChar w:fldCharType="separate"/>
      </w:r>
      <w:r>
        <w:rPr>
          <w:rStyle w:val="14"/>
          <w:color w:val="000000"/>
          <w:u w:val="none"/>
        </w:rPr>
        <w:t>2.</w:t>
      </w:r>
      <w:r>
        <w:rPr>
          <w:rStyle w:val="14"/>
          <w:rFonts w:hint="eastAsia"/>
          <w:color w:val="000000"/>
          <w:u w:val="none"/>
        </w:rPr>
        <w:t>佐证材料</w:t>
      </w:r>
      <w:r>
        <w:rPr>
          <w:color w:val="000000"/>
        </w:rPr>
        <w:tab/>
      </w:r>
      <w:r>
        <w:rPr>
          <w:color w:val="000000"/>
        </w:rPr>
        <w:fldChar w:fldCharType="begin"/>
      </w:r>
      <w:r>
        <w:rPr>
          <w:color w:val="000000"/>
        </w:rPr>
        <w:instrText xml:space="preserve"> PAGEREF _Toc58481821 \h </w:instrText>
      </w:r>
      <w:r>
        <w:rPr>
          <w:color w:val="000000"/>
        </w:rPr>
        <w:fldChar w:fldCharType="separate"/>
      </w:r>
      <w:r>
        <w:rPr>
          <w:color w:val="000000"/>
        </w:rPr>
        <w:t>- 7 -</w:t>
      </w:r>
      <w:r>
        <w:rPr>
          <w:color w:val="000000"/>
        </w:rPr>
        <w:fldChar w:fldCharType="end"/>
      </w:r>
      <w:r>
        <w:rPr>
          <w:color w:val="000000"/>
        </w:rPr>
        <w:fldChar w:fldCharType="end"/>
      </w:r>
    </w:p>
    <w:p w14:paraId="1F9A1D3E">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"_Toc58481822"</w:instrText>
      </w:r>
      <w:r>
        <w:rPr>
          <w:rStyle w:val="14"/>
          <w:color w:val="000000"/>
          <w:u w:val="none"/>
        </w:rPr>
        <w:instrText xml:space="preserve"> </w:instrText>
      </w:r>
      <w:r>
        <w:rPr>
          <w:color w:val="000000"/>
        </w:rPr>
        <w:fldChar w:fldCharType="separate"/>
      </w:r>
      <w:r>
        <w:rPr>
          <w:rStyle w:val="14"/>
          <w:color w:val="000000"/>
          <w:u w:val="none"/>
        </w:rPr>
        <w:t>2.1</w:t>
      </w:r>
      <w:r>
        <w:rPr>
          <w:rStyle w:val="14"/>
          <w:rFonts w:hint="eastAsia"/>
          <w:color w:val="000000"/>
          <w:u w:val="none"/>
        </w:rPr>
        <w:t>基本情况</w:t>
      </w:r>
      <w:r>
        <w:rPr>
          <w:color w:val="000000"/>
        </w:rPr>
        <w:tab/>
      </w:r>
      <w:r>
        <w:rPr>
          <w:color w:val="000000"/>
        </w:rPr>
        <w:fldChar w:fldCharType="begin"/>
      </w:r>
      <w:r>
        <w:rPr>
          <w:color w:val="000000"/>
        </w:rPr>
        <w:instrText xml:space="preserve"> PAGEREF _Toc58481822 \h </w:instrText>
      </w:r>
      <w:r>
        <w:rPr>
          <w:color w:val="000000"/>
        </w:rPr>
        <w:fldChar w:fldCharType="separate"/>
      </w:r>
      <w:r>
        <w:rPr>
          <w:color w:val="000000"/>
        </w:rPr>
        <w:t>- 7 -</w:t>
      </w:r>
      <w:r>
        <w:rPr>
          <w:color w:val="000000"/>
        </w:rPr>
        <w:fldChar w:fldCharType="end"/>
      </w:r>
      <w:r>
        <w:rPr>
          <w:color w:val="000000"/>
        </w:rPr>
        <w:fldChar w:fldCharType="end"/>
      </w:r>
    </w:p>
    <w:p w14:paraId="614DDD07">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"_Toc58481823"</w:instrText>
      </w:r>
      <w:r>
        <w:rPr>
          <w:rStyle w:val="14"/>
          <w:color w:val="000000"/>
          <w:u w:val="none"/>
        </w:rPr>
        <w:instrText xml:space="preserve"> </w:instrText>
      </w:r>
      <w:r>
        <w:rPr>
          <w:color w:val="000000"/>
        </w:rPr>
        <w:fldChar w:fldCharType="separate"/>
      </w:r>
      <w:r>
        <w:rPr>
          <w:rStyle w:val="14"/>
          <w:color w:val="000000"/>
          <w:u w:val="none"/>
        </w:rPr>
        <w:t>2.2</w:t>
      </w:r>
      <w:r>
        <w:rPr>
          <w:rStyle w:val="14"/>
          <w:rFonts w:hint="eastAsia"/>
          <w:color w:val="000000"/>
          <w:u w:val="none"/>
        </w:rPr>
        <w:t>绩效评价工作开展情况</w:t>
      </w:r>
      <w:r>
        <w:rPr>
          <w:color w:val="000000"/>
        </w:rPr>
        <w:tab/>
      </w:r>
      <w:r>
        <w:rPr>
          <w:color w:val="000000"/>
        </w:rPr>
        <w:fldChar w:fldCharType="begin"/>
      </w:r>
      <w:r>
        <w:rPr>
          <w:color w:val="000000"/>
        </w:rPr>
        <w:instrText xml:space="preserve"> PAGEREF _Toc58481823 \h </w:instrText>
      </w:r>
      <w:r>
        <w:rPr>
          <w:color w:val="000000"/>
        </w:rPr>
        <w:fldChar w:fldCharType="separate"/>
      </w:r>
      <w:r>
        <w:rPr>
          <w:color w:val="000000"/>
        </w:rPr>
        <w:t>- 9 -</w:t>
      </w:r>
      <w:r>
        <w:rPr>
          <w:color w:val="000000"/>
        </w:rPr>
        <w:fldChar w:fldCharType="end"/>
      </w:r>
      <w:r>
        <w:rPr>
          <w:color w:val="000000"/>
        </w:rPr>
        <w:fldChar w:fldCharType="end"/>
      </w:r>
    </w:p>
    <w:p w14:paraId="30E934DB">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"_Toc58481824"</w:instrText>
      </w:r>
      <w:r>
        <w:rPr>
          <w:rStyle w:val="14"/>
          <w:color w:val="000000"/>
          <w:u w:val="none"/>
        </w:rPr>
        <w:instrText xml:space="preserve"> </w:instrText>
      </w:r>
      <w:r>
        <w:rPr>
          <w:color w:val="000000"/>
        </w:rPr>
        <w:fldChar w:fldCharType="separate"/>
      </w:r>
      <w:r>
        <w:rPr>
          <w:rStyle w:val="14"/>
          <w:color w:val="000000"/>
          <w:u w:val="none"/>
        </w:rPr>
        <w:t>2.3</w:t>
      </w:r>
      <w:r>
        <w:rPr>
          <w:rStyle w:val="14"/>
          <w:rFonts w:hint="eastAsia"/>
          <w:color w:val="000000"/>
          <w:u w:val="none"/>
        </w:rPr>
        <w:t>绩效指标完成情况分析</w:t>
      </w:r>
      <w:r>
        <w:rPr>
          <w:color w:val="000000"/>
        </w:rPr>
        <w:tab/>
      </w:r>
      <w:r>
        <w:rPr>
          <w:color w:val="000000"/>
        </w:rPr>
        <w:fldChar w:fldCharType="begin"/>
      </w:r>
      <w:r>
        <w:rPr>
          <w:color w:val="000000"/>
        </w:rPr>
        <w:instrText xml:space="preserve"> PAGEREF _Toc58481824 \h </w:instrText>
      </w:r>
      <w:r>
        <w:rPr>
          <w:color w:val="000000"/>
        </w:rPr>
        <w:fldChar w:fldCharType="separate"/>
      </w:r>
      <w:r>
        <w:rPr>
          <w:color w:val="000000"/>
        </w:rPr>
        <w:t>- 13 -</w:t>
      </w:r>
      <w:r>
        <w:rPr>
          <w:color w:val="000000"/>
        </w:rPr>
        <w:fldChar w:fldCharType="end"/>
      </w:r>
      <w:r>
        <w:rPr>
          <w:color w:val="000000"/>
        </w:rPr>
        <w:fldChar w:fldCharType="end"/>
      </w:r>
    </w:p>
    <w:p w14:paraId="66FDE34F">
      <w:pPr>
        <w:pStyle w:val="9"/>
        <w:tabs>
          <w:tab w:val="right" w:leader="dot" w:pos="8835"/>
        </w:tabs>
        <w:ind w:left="632" w:firstLine="632"/>
        <w:rPr>
          <w:rFonts w:ascii="Calibri" w:hAnsi="Calibri" w:eastAsia="宋体" w:cs="Times New Roman"/>
          <w:color w:val="000000"/>
          <w:sz w:val="21"/>
          <w:szCs w:val="22"/>
        </w:rPr>
      </w:pPr>
      <w:r>
        <w:rPr>
          <w:color w:val="000000"/>
        </w:rPr>
        <w:fldChar w:fldCharType="begin"/>
      </w:r>
      <w:r>
        <w:rPr>
          <w:rStyle w:val="14"/>
          <w:color w:val="000000"/>
          <w:u w:val="none"/>
        </w:rPr>
        <w:instrText xml:space="preserve"> </w:instrText>
      </w:r>
      <w:r>
        <w:rPr>
          <w:color w:val="000000"/>
        </w:rPr>
        <w:instrText xml:space="preserve">HYPERLINK \l "_Toc58481825"</w:instrText>
      </w:r>
      <w:r>
        <w:rPr>
          <w:rStyle w:val="14"/>
          <w:color w:val="000000"/>
          <w:u w:val="none"/>
        </w:rPr>
        <w:instrText xml:space="preserve"> </w:instrText>
      </w:r>
      <w:r>
        <w:rPr>
          <w:color w:val="000000"/>
        </w:rPr>
        <w:fldChar w:fldCharType="separate"/>
      </w:r>
      <w:r>
        <w:rPr>
          <w:rStyle w:val="14"/>
          <w:color w:val="000000"/>
          <w:u w:val="none"/>
        </w:rPr>
        <w:t>2.4</w:t>
      </w:r>
      <w:r>
        <w:rPr>
          <w:rStyle w:val="14"/>
          <w:rFonts w:hint="eastAsia"/>
          <w:color w:val="000000"/>
          <w:u w:val="none"/>
        </w:rPr>
        <w:t>其他佐证材料</w:t>
      </w:r>
      <w:r>
        <w:rPr>
          <w:color w:val="000000"/>
        </w:rPr>
        <w:tab/>
      </w:r>
      <w:r>
        <w:rPr>
          <w:color w:val="000000"/>
        </w:rPr>
        <w:fldChar w:fldCharType="begin"/>
      </w:r>
      <w:r>
        <w:rPr>
          <w:color w:val="000000"/>
        </w:rPr>
        <w:instrText xml:space="preserve"> PAGEREF _Toc58481825 \h </w:instrText>
      </w:r>
      <w:r>
        <w:rPr>
          <w:color w:val="000000"/>
        </w:rPr>
        <w:fldChar w:fldCharType="separate"/>
      </w:r>
      <w:r>
        <w:rPr>
          <w:color w:val="000000"/>
        </w:rPr>
        <w:t>- 21 -</w:t>
      </w:r>
      <w:r>
        <w:rPr>
          <w:color w:val="000000"/>
        </w:rPr>
        <w:fldChar w:fldCharType="end"/>
      </w:r>
      <w:r>
        <w:rPr>
          <w:color w:val="000000"/>
        </w:rPr>
        <w:fldChar w:fldCharType="end"/>
      </w:r>
    </w:p>
    <w:p w14:paraId="1DBA92EA">
      <w:pPr>
        <w:ind w:firstLine="632"/>
        <w:rPr>
          <w:color w:val="000000"/>
        </w:rPr>
      </w:pPr>
      <w:r>
        <w:rPr>
          <w:rFonts w:hint="eastAsia"/>
          <w:color w:val="000000"/>
        </w:rPr>
        <w:fldChar w:fldCharType="end"/>
      </w:r>
    </w:p>
    <w:p w14:paraId="0E27ED62">
      <w:pPr>
        <w:ind w:firstLine="632"/>
        <w:rPr>
          <w:color w:val="000000"/>
        </w:rPr>
      </w:pPr>
    </w:p>
    <w:p w14:paraId="08D62500">
      <w:pPr>
        <w:ind w:firstLine="632"/>
        <w:rPr>
          <w:color w:val="000000"/>
        </w:rPr>
      </w:pPr>
    </w:p>
    <w:p w14:paraId="3930A822">
      <w:pPr>
        <w:ind w:firstLine="632"/>
        <w:rPr>
          <w:color w:val="000000"/>
        </w:rPr>
      </w:pPr>
    </w:p>
    <w:p w14:paraId="1F840059">
      <w:pPr>
        <w:ind w:firstLine="632"/>
        <w:rPr>
          <w:color w:val="000000"/>
        </w:rPr>
      </w:pPr>
    </w:p>
    <w:p w14:paraId="59AEDF35">
      <w:pPr>
        <w:ind w:firstLine="632"/>
        <w:rPr>
          <w:color w:val="000000"/>
        </w:rPr>
      </w:pPr>
    </w:p>
    <w:p w14:paraId="372D0830">
      <w:pPr>
        <w:ind w:firstLine="632"/>
        <w:rPr>
          <w:color w:val="000000"/>
        </w:rPr>
      </w:pPr>
    </w:p>
    <w:p w14:paraId="15D6773D">
      <w:pPr>
        <w:ind w:firstLine="0" w:firstLineChars="0"/>
        <w:jc w:val="center"/>
        <w:outlineLvl w:val="0"/>
        <w:rPr>
          <w:rFonts w:hint="eastAsia" w:ascii="宋体" w:hAnsi="宋体" w:eastAsia="宋体" w:cs="宋体"/>
          <w:color w:val="000000"/>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720" w:num="1"/>
          <w:docGrid w:type="linesAndChars" w:linePitch="579" w:charSpace="-842"/>
        </w:sectPr>
      </w:pPr>
      <w:bookmarkStart w:id="0" w:name="_Toc10830"/>
    </w:p>
    <w:bookmarkEnd w:id="0"/>
    <w:p w14:paraId="673297F4">
      <w:pPr>
        <w:ind w:firstLine="0" w:firstLineChars="0"/>
        <w:jc w:val="center"/>
        <w:outlineLvl w:val="0"/>
        <w:rPr>
          <w:rFonts w:hint="eastAsia"/>
          <w:bCs/>
          <w:color w:val="000000"/>
          <w:kern w:val="0"/>
        </w:rPr>
      </w:pPr>
      <w:bookmarkStart w:id="1" w:name="_Toc58417155"/>
      <w:bookmarkStart w:id="2" w:name="_Toc58481813"/>
      <w:bookmarkStart w:id="3" w:name="_Toc57124742"/>
      <w:bookmarkStart w:id="4" w:name="_Toc57121846"/>
      <w:bookmarkStart w:id="5" w:name="_Toc57124456"/>
      <w:r>
        <w:rPr>
          <w:rFonts w:hint="eastAsia" w:ascii="宋体" w:hAnsi="宋体" w:eastAsia="宋体" w:cs="宋体"/>
          <w:color w:val="000000"/>
        </w:rPr>
        <w:t>鄂州市科学技术局“</w:t>
      </w:r>
      <w:r>
        <w:rPr>
          <w:color w:val="000000"/>
        </w:rPr>
        <w:t>华科鄂州工研院运行专项经费</w:t>
      </w:r>
      <w:r>
        <w:rPr>
          <w:rFonts w:hint="eastAsia"/>
          <w:bCs/>
          <w:color w:val="000000"/>
          <w:kern w:val="0"/>
        </w:rPr>
        <w:t>”</w:t>
      </w:r>
      <w:bookmarkEnd w:id="1"/>
      <w:bookmarkEnd w:id="2"/>
      <w:bookmarkEnd w:id="3"/>
      <w:bookmarkEnd w:id="4"/>
      <w:bookmarkEnd w:id="5"/>
    </w:p>
    <w:p w14:paraId="4C953010">
      <w:pPr>
        <w:ind w:firstLine="0" w:firstLineChars="0"/>
        <w:jc w:val="center"/>
        <w:outlineLvl w:val="0"/>
        <w:rPr>
          <w:rFonts w:hint="eastAsia" w:ascii="宋体" w:hAnsi="宋体" w:eastAsia="宋体" w:cs="宋体"/>
          <w:color w:val="000000"/>
        </w:rPr>
      </w:pPr>
      <w:r>
        <w:rPr>
          <w:rFonts w:hint="eastAsia" w:ascii="宋体" w:hAnsi="宋体" w:eastAsia="宋体" w:cs="宋体"/>
          <w:color w:val="000000"/>
        </w:rPr>
        <w:t>项目</w:t>
      </w:r>
      <w:bookmarkStart w:id="6" w:name="_Toc57124743"/>
      <w:bookmarkStart w:id="7" w:name="_Toc58481814"/>
      <w:bookmarkStart w:id="8" w:name="_Toc57121847"/>
      <w:bookmarkStart w:id="9" w:name="_Toc21810"/>
      <w:bookmarkStart w:id="10" w:name="_Toc58417156"/>
      <w:bookmarkStart w:id="11" w:name="_Toc57124457"/>
      <w:r>
        <w:rPr>
          <w:rFonts w:hint="eastAsia" w:ascii="宋体" w:hAnsi="宋体" w:eastAsia="宋体" w:cs="宋体"/>
          <w:color w:val="000000"/>
        </w:rPr>
        <w:t>支出绩效评价报告</w:t>
      </w:r>
      <w:bookmarkEnd w:id="6"/>
      <w:bookmarkEnd w:id="7"/>
      <w:bookmarkEnd w:id="8"/>
      <w:bookmarkEnd w:id="9"/>
      <w:bookmarkEnd w:id="10"/>
      <w:bookmarkEnd w:id="11"/>
    </w:p>
    <w:p w14:paraId="1D99BDAF">
      <w:pPr>
        <w:ind w:firstLine="0" w:firstLineChars="0"/>
        <w:jc w:val="center"/>
        <w:outlineLvl w:val="0"/>
        <w:rPr>
          <w:rFonts w:hint="eastAsia" w:ascii="楷体" w:hAnsi="楷体" w:eastAsia="楷体" w:cs="楷体"/>
          <w:bCs/>
          <w:color w:val="000000"/>
        </w:rPr>
      </w:pPr>
      <w:bookmarkStart w:id="12" w:name="_Toc57124744"/>
      <w:bookmarkStart w:id="13" w:name="_Toc57121848"/>
      <w:bookmarkStart w:id="14" w:name="_Toc57124458"/>
      <w:bookmarkStart w:id="15" w:name="_Toc58481815"/>
      <w:bookmarkStart w:id="16" w:name="_Toc2811"/>
      <w:bookmarkStart w:id="17" w:name="_Toc58417157"/>
      <w:r>
        <w:rPr>
          <w:rFonts w:hint="eastAsia" w:ascii="楷体" w:hAnsi="楷体" w:eastAsia="楷体" w:cs="楷体"/>
          <w:bCs/>
          <w:color w:val="000000"/>
        </w:rPr>
        <w:t>（缩略版）</w:t>
      </w:r>
      <w:bookmarkEnd w:id="12"/>
      <w:bookmarkEnd w:id="13"/>
      <w:bookmarkEnd w:id="14"/>
      <w:bookmarkEnd w:id="15"/>
      <w:bookmarkEnd w:id="16"/>
      <w:bookmarkEnd w:id="17"/>
    </w:p>
    <w:p w14:paraId="04DC12A2">
      <w:pPr>
        <w:ind w:firstLine="0" w:firstLineChars="0"/>
        <w:jc w:val="center"/>
        <w:outlineLvl w:val="0"/>
        <w:rPr>
          <w:rFonts w:hint="eastAsia" w:ascii="楷体" w:hAnsi="楷体" w:eastAsia="楷体" w:cs="楷体"/>
          <w:bCs/>
          <w:color w:val="000000"/>
        </w:rPr>
      </w:pPr>
    </w:p>
    <w:p w14:paraId="5CD81473">
      <w:pPr>
        <w:pStyle w:val="2"/>
        <w:rPr>
          <w:rFonts w:hint="eastAsia"/>
          <w:b w:val="0"/>
          <w:color w:val="000000"/>
        </w:rPr>
      </w:pPr>
      <w:bookmarkStart w:id="18" w:name="_Toc58481816"/>
      <w:bookmarkStart w:id="19" w:name="_Toc46983112"/>
      <w:r>
        <w:rPr>
          <w:rFonts w:hint="eastAsia"/>
          <w:b w:val="0"/>
          <w:color w:val="000000"/>
        </w:rPr>
        <w:t>1.评价结论</w:t>
      </w:r>
      <w:bookmarkEnd w:id="18"/>
      <w:bookmarkEnd w:id="19"/>
    </w:p>
    <w:p w14:paraId="5A418051">
      <w:pPr>
        <w:ind w:firstLine="712"/>
        <w:rPr>
          <w:rFonts w:hint="eastAsia"/>
          <w:color w:val="000000"/>
        </w:rPr>
      </w:pPr>
      <w:r>
        <w:rPr>
          <w:rFonts w:hint="eastAsia"/>
          <w:color w:val="000000"/>
        </w:rPr>
        <w:t>鄂州市政府与华中科技大学合作共建的“华中科技大学鄂州工业技术研究院”（以下简称“工研院”），是本次预算资金绩效评价的鄂州市科学技术局“</w:t>
      </w:r>
      <w:r>
        <w:rPr>
          <w:color w:val="000000"/>
        </w:rPr>
        <w:t>华科鄂州工研院运行专项经费</w:t>
      </w:r>
      <w:r>
        <w:rPr>
          <w:rFonts w:hint="eastAsia"/>
          <w:color w:val="000000"/>
        </w:rPr>
        <w:t>”项目的实施主体，工研院自2016年6月成立以来，各项内部管理制度逐步完善，研发平台搭建初具规模，打造的科研团队及其研发技术取得了一定成果，部分技术产品开始拓向市场，孵化的高新企业、引进和培养的高新技术人才开始为鄂州市新兴科技产业发展注入动能。</w:t>
      </w:r>
    </w:p>
    <w:p w14:paraId="31C5C2E9">
      <w:pPr>
        <w:ind w:firstLine="712"/>
        <w:rPr>
          <w:rFonts w:hint="eastAsia"/>
          <w:color w:val="000000"/>
        </w:rPr>
      </w:pPr>
      <w:r>
        <w:rPr>
          <w:rFonts w:hint="eastAsia"/>
          <w:color w:val="000000"/>
        </w:rPr>
        <w:t>经过绩效评价认为：因共建协议约定的期限即将到期，考虑到科技项目的研发、成果转化、技术产品市场拓展等过程需要相当长的时间，因此继续实施本项目有利于鄂州市过去近五年的投入得到回报，实现鄂州市科技产业群发展的长远目标。但在延续该项目的执行中应切合鄂州市本地社会和经济发展需要，明确相应的产出质量与经济、社会效益等绩效目标，并通过精准测算和分批次拨付年度预算资金，以取得更高的财政资金绩效。</w:t>
      </w:r>
    </w:p>
    <w:p w14:paraId="6884B9E9">
      <w:pPr>
        <w:pStyle w:val="3"/>
        <w:ind w:firstLine="712"/>
        <w:rPr>
          <w:rFonts w:hint="eastAsia"/>
          <w:b w:val="0"/>
          <w:color w:val="000000"/>
        </w:rPr>
      </w:pPr>
      <w:bookmarkStart w:id="20" w:name="_Toc58481817"/>
      <w:bookmarkStart w:id="21" w:name="_Toc46983113"/>
      <w:r>
        <w:rPr>
          <w:rFonts w:hint="eastAsia"/>
          <w:b w:val="0"/>
          <w:color w:val="000000"/>
        </w:rPr>
        <w:t>1.1评价分数和等级</w:t>
      </w:r>
      <w:bookmarkEnd w:id="20"/>
      <w:bookmarkEnd w:id="21"/>
    </w:p>
    <w:p w14:paraId="60B21342">
      <w:pPr>
        <w:ind w:firstLine="712"/>
        <w:rPr>
          <w:rFonts w:hint="eastAsia"/>
          <w:color w:val="000000"/>
        </w:rPr>
      </w:pPr>
      <w:r>
        <w:rPr>
          <w:rFonts w:hint="eastAsia"/>
          <w:color w:val="000000"/>
        </w:rPr>
        <w:t>项目综合绩效评价得分86.9分，评价等级为“中”。</w:t>
      </w:r>
    </w:p>
    <w:tbl>
      <w:tblPr>
        <w:tblStyle w:val="11"/>
        <w:tblW w:w="73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20"/>
        <w:gridCol w:w="1726"/>
        <w:gridCol w:w="1711"/>
      </w:tblGrid>
      <w:tr w14:paraId="335378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tcBorders>
              <w:top w:val="single" w:color="auto" w:sz="12" w:space="0"/>
              <w:bottom w:val="single" w:color="auto" w:sz="12" w:space="0"/>
            </w:tcBorders>
            <w:noWrap w:val="0"/>
            <w:vAlign w:val="center"/>
          </w:tcPr>
          <w:p w14:paraId="2F29FDCC">
            <w:pPr>
              <w:spacing w:line="400" w:lineRule="exact"/>
              <w:ind w:firstLine="0" w:firstLineChars="0"/>
              <w:jc w:val="center"/>
              <w:rPr>
                <w:color w:val="000000"/>
              </w:rPr>
            </w:pPr>
            <w:bookmarkStart w:id="22" w:name="_Toc58481818"/>
            <w:bookmarkStart w:id="23" w:name="_Toc46983114"/>
            <w:r>
              <w:rPr>
                <w:rFonts w:hint="eastAsia"/>
                <w:color w:val="000000"/>
              </w:rPr>
              <w:t>一级指标</w:t>
            </w:r>
          </w:p>
        </w:tc>
        <w:tc>
          <w:tcPr>
            <w:tcW w:w="1820" w:type="dxa"/>
            <w:tcBorders>
              <w:top w:val="single" w:color="auto" w:sz="12" w:space="0"/>
              <w:bottom w:val="single" w:color="auto" w:sz="12" w:space="0"/>
            </w:tcBorders>
            <w:noWrap w:val="0"/>
            <w:vAlign w:val="center"/>
          </w:tcPr>
          <w:p w14:paraId="4F530DCC">
            <w:pPr>
              <w:spacing w:line="400" w:lineRule="exact"/>
              <w:ind w:firstLine="0" w:firstLineChars="0"/>
              <w:jc w:val="center"/>
              <w:rPr>
                <w:color w:val="000000"/>
              </w:rPr>
            </w:pPr>
            <w:r>
              <w:rPr>
                <w:rFonts w:hint="eastAsia"/>
                <w:color w:val="000000"/>
              </w:rPr>
              <w:t>权重分值</w:t>
            </w:r>
          </w:p>
        </w:tc>
        <w:tc>
          <w:tcPr>
            <w:tcW w:w="1726" w:type="dxa"/>
            <w:tcBorders>
              <w:top w:val="single" w:color="auto" w:sz="12" w:space="0"/>
              <w:bottom w:val="single" w:color="auto" w:sz="12" w:space="0"/>
            </w:tcBorders>
            <w:noWrap w:val="0"/>
            <w:vAlign w:val="center"/>
          </w:tcPr>
          <w:p w14:paraId="0BF47476">
            <w:pPr>
              <w:spacing w:line="400" w:lineRule="exact"/>
              <w:ind w:firstLine="0" w:firstLineChars="0"/>
              <w:jc w:val="center"/>
              <w:rPr>
                <w:color w:val="000000"/>
              </w:rPr>
            </w:pPr>
            <w:r>
              <w:rPr>
                <w:rFonts w:hint="eastAsia"/>
                <w:color w:val="000000"/>
              </w:rPr>
              <w:t>评价得分</w:t>
            </w:r>
          </w:p>
        </w:tc>
        <w:tc>
          <w:tcPr>
            <w:tcW w:w="1711" w:type="dxa"/>
            <w:tcBorders>
              <w:top w:val="single" w:color="auto" w:sz="12" w:space="0"/>
              <w:bottom w:val="single" w:color="auto" w:sz="12" w:space="0"/>
            </w:tcBorders>
            <w:noWrap w:val="0"/>
            <w:vAlign w:val="center"/>
          </w:tcPr>
          <w:p w14:paraId="4903333B">
            <w:pPr>
              <w:spacing w:line="400" w:lineRule="exact"/>
              <w:ind w:firstLine="0" w:firstLineChars="0"/>
              <w:jc w:val="center"/>
              <w:rPr>
                <w:color w:val="000000"/>
              </w:rPr>
            </w:pPr>
            <w:r>
              <w:rPr>
                <w:rFonts w:hint="eastAsia"/>
                <w:color w:val="000000"/>
              </w:rPr>
              <w:t>评价等级</w:t>
            </w:r>
          </w:p>
        </w:tc>
      </w:tr>
      <w:tr w14:paraId="79F037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noWrap w:val="0"/>
            <w:vAlign w:val="center"/>
          </w:tcPr>
          <w:p w14:paraId="6E090A2B">
            <w:pPr>
              <w:spacing w:line="400" w:lineRule="exact"/>
              <w:ind w:firstLine="0" w:firstLineChars="0"/>
              <w:jc w:val="center"/>
              <w:rPr>
                <w:color w:val="000000"/>
              </w:rPr>
            </w:pPr>
            <w:r>
              <w:rPr>
                <w:rFonts w:hint="eastAsia"/>
                <w:color w:val="000000"/>
              </w:rPr>
              <w:t>项目管理</w:t>
            </w:r>
          </w:p>
        </w:tc>
        <w:tc>
          <w:tcPr>
            <w:tcW w:w="1820" w:type="dxa"/>
            <w:noWrap w:val="0"/>
            <w:vAlign w:val="center"/>
          </w:tcPr>
          <w:p w14:paraId="41F9C1B9">
            <w:pPr>
              <w:spacing w:line="400" w:lineRule="exact"/>
              <w:ind w:firstLine="0" w:firstLineChars="0"/>
              <w:jc w:val="center"/>
              <w:rPr>
                <w:color w:val="000000"/>
              </w:rPr>
            </w:pPr>
            <w:r>
              <w:rPr>
                <w:rFonts w:hint="eastAsia"/>
                <w:color w:val="000000"/>
              </w:rPr>
              <w:t>30</w:t>
            </w:r>
          </w:p>
        </w:tc>
        <w:tc>
          <w:tcPr>
            <w:tcW w:w="1726" w:type="dxa"/>
            <w:noWrap w:val="0"/>
            <w:vAlign w:val="center"/>
          </w:tcPr>
          <w:p w14:paraId="0A992400">
            <w:pPr>
              <w:spacing w:line="400" w:lineRule="exact"/>
              <w:ind w:firstLine="0" w:firstLineChars="0"/>
              <w:jc w:val="center"/>
              <w:rPr>
                <w:rFonts w:hint="eastAsia"/>
                <w:color w:val="000000"/>
              </w:rPr>
            </w:pPr>
            <w:r>
              <w:rPr>
                <w:rFonts w:hint="eastAsia"/>
                <w:color w:val="000000"/>
              </w:rPr>
              <w:t>25</w:t>
            </w:r>
          </w:p>
        </w:tc>
        <w:tc>
          <w:tcPr>
            <w:tcW w:w="1711" w:type="dxa"/>
            <w:noWrap w:val="0"/>
            <w:vAlign w:val="center"/>
          </w:tcPr>
          <w:p w14:paraId="57671E3D">
            <w:pPr>
              <w:spacing w:line="400" w:lineRule="exact"/>
              <w:ind w:firstLine="0" w:firstLineChars="0"/>
              <w:jc w:val="center"/>
              <w:rPr>
                <w:rFonts w:hint="eastAsia"/>
                <w:color w:val="000000"/>
              </w:rPr>
            </w:pPr>
          </w:p>
        </w:tc>
      </w:tr>
      <w:tr w14:paraId="399F97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noWrap w:val="0"/>
            <w:vAlign w:val="center"/>
          </w:tcPr>
          <w:p w14:paraId="3864BDA5">
            <w:pPr>
              <w:spacing w:line="400" w:lineRule="exact"/>
              <w:ind w:firstLine="0" w:firstLineChars="0"/>
              <w:jc w:val="center"/>
              <w:rPr>
                <w:color w:val="000000"/>
              </w:rPr>
            </w:pPr>
            <w:r>
              <w:rPr>
                <w:rFonts w:hint="eastAsia"/>
                <w:color w:val="000000"/>
              </w:rPr>
              <w:t>产出指标</w:t>
            </w:r>
          </w:p>
        </w:tc>
        <w:tc>
          <w:tcPr>
            <w:tcW w:w="1820" w:type="dxa"/>
            <w:noWrap w:val="0"/>
            <w:vAlign w:val="center"/>
          </w:tcPr>
          <w:p w14:paraId="10F9E1DF">
            <w:pPr>
              <w:spacing w:line="400" w:lineRule="exact"/>
              <w:ind w:firstLine="0" w:firstLineChars="0"/>
              <w:jc w:val="center"/>
              <w:rPr>
                <w:color w:val="000000"/>
              </w:rPr>
            </w:pPr>
            <w:r>
              <w:rPr>
                <w:rFonts w:hint="eastAsia"/>
                <w:color w:val="000000"/>
              </w:rPr>
              <w:t>36</w:t>
            </w:r>
          </w:p>
        </w:tc>
        <w:tc>
          <w:tcPr>
            <w:tcW w:w="1726" w:type="dxa"/>
            <w:noWrap w:val="0"/>
            <w:vAlign w:val="center"/>
          </w:tcPr>
          <w:p w14:paraId="61919B57">
            <w:pPr>
              <w:spacing w:line="400" w:lineRule="exact"/>
              <w:ind w:firstLine="0" w:firstLineChars="0"/>
              <w:jc w:val="center"/>
              <w:rPr>
                <w:rFonts w:hint="eastAsia"/>
                <w:color w:val="000000"/>
              </w:rPr>
            </w:pPr>
            <w:r>
              <w:rPr>
                <w:rFonts w:hint="eastAsia"/>
                <w:color w:val="000000"/>
              </w:rPr>
              <w:t>32.5</w:t>
            </w:r>
          </w:p>
        </w:tc>
        <w:tc>
          <w:tcPr>
            <w:tcW w:w="1711" w:type="dxa"/>
            <w:noWrap w:val="0"/>
            <w:vAlign w:val="center"/>
          </w:tcPr>
          <w:p w14:paraId="0EFAC705">
            <w:pPr>
              <w:spacing w:line="400" w:lineRule="exact"/>
              <w:ind w:firstLine="0" w:firstLineChars="0"/>
              <w:jc w:val="center"/>
              <w:rPr>
                <w:rFonts w:hint="eastAsia"/>
                <w:color w:val="000000"/>
              </w:rPr>
            </w:pPr>
          </w:p>
        </w:tc>
      </w:tr>
      <w:tr w14:paraId="66A1C7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noWrap w:val="0"/>
            <w:vAlign w:val="center"/>
          </w:tcPr>
          <w:p w14:paraId="30608448">
            <w:pPr>
              <w:spacing w:line="400" w:lineRule="exact"/>
              <w:ind w:firstLine="0" w:firstLineChars="0"/>
              <w:jc w:val="center"/>
              <w:rPr>
                <w:color w:val="000000"/>
              </w:rPr>
            </w:pPr>
            <w:r>
              <w:rPr>
                <w:rFonts w:hint="eastAsia"/>
                <w:color w:val="000000"/>
              </w:rPr>
              <w:t>效益指标</w:t>
            </w:r>
          </w:p>
        </w:tc>
        <w:tc>
          <w:tcPr>
            <w:tcW w:w="1820" w:type="dxa"/>
            <w:noWrap w:val="0"/>
            <w:vAlign w:val="center"/>
          </w:tcPr>
          <w:p w14:paraId="795FE4D2">
            <w:pPr>
              <w:spacing w:line="400" w:lineRule="exact"/>
              <w:ind w:firstLine="0" w:firstLineChars="0"/>
              <w:jc w:val="center"/>
              <w:rPr>
                <w:color w:val="000000"/>
              </w:rPr>
            </w:pPr>
            <w:r>
              <w:rPr>
                <w:rFonts w:hint="eastAsia"/>
                <w:color w:val="000000"/>
              </w:rPr>
              <w:t>24</w:t>
            </w:r>
          </w:p>
        </w:tc>
        <w:tc>
          <w:tcPr>
            <w:tcW w:w="1726" w:type="dxa"/>
            <w:noWrap w:val="0"/>
            <w:vAlign w:val="center"/>
          </w:tcPr>
          <w:p w14:paraId="3C76FE3E">
            <w:pPr>
              <w:spacing w:line="400" w:lineRule="exact"/>
              <w:ind w:firstLine="0" w:firstLineChars="0"/>
              <w:jc w:val="center"/>
              <w:rPr>
                <w:rFonts w:hint="eastAsia"/>
                <w:color w:val="000000"/>
              </w:rPr>
            </w:pPr>
            <w:r>
              <w:rPr>
                <w:rFonts w:hint="eastAsia"/>
                <w:color w:val="000000"/>
              </w:rPr>
              <w:t>19.4</w:t>
            </w:r>
          </w:p>
        </w:tc>
        <w:tc>
          <w:tcPr>
            <w:tcW w:w="1711" w:type="dxa"/>
            <w:noWrap w:val="0"/>
            <w:vAlign w:val="center"/>
          </w:tcPr>
          <w:p w14:paraId="164411F5">
            <w:pPr>
              <w:spacing w:line="400" w:lineRule="exact"/>
              <w:ind w:firstLine="0" w:firstLineChars="0"/>
              <w:jc w:val="center"/>
              <w:rPr>
                <w:rFonts w:hint="eastAsia"/>
                <w:color w:val="000000"/>
              </w:rPr>
            </w:pPr>
          </w:p>
        </w:tc>
      </w:tr>
      <w:tr w14:paraId="54F1CD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noWrap w:val="0"/>
            <w:vAlign w:val="center"/>
          </w:tcPr>
          <w:p w14:paraId="09041C59">
            <w:pPr>
              <w:spacing w:line="400" w:lineRule="exact"/>
              <w:ind w:firstLine="0" w:firstLineChars="0"/>
              <w:jc w:val="center"/>
              <w:rPr>
                <w:color w:val="000000"/>
              </w:rPr>
            </w:pPr>
            <w:r>
              <w:rPr>
                <w:rFonts w:hint="eastAsia"/>
                <w:color w:val="000000"/>
              </w:rPr>
              <w:t>满意度指标</w:t>
            </w:r>
          </w:p>
        </w:tc>
        <w:tc>
          <w:tcPr>
            <w:tcW w:w="1820" w:type="dxa"/>
            <w:noWrap w:val="0"/>
            <w:vAlign w:val="center"/>
          </w:tcPr>
          <w:p w14:paraId="5BF986E1">
            <w:pPr>
              <w:spacing w:line="400" w:lineRule="exact"/>
              <w:ind w:firstLine="0" w:firstLineChars="0"/>
              <w:jc w:val="center"/>
              <w:rPr>
                <w:color w:val="000000"/>
              </w:rPr>
            </w:pPr>
            <w:r>
              <w:rPr>
                <w:rFonts w:hint="eastAsia"/>
                <w:color w:val="000000"/>
              </w:rPr>
              <w:t>10</w:t>
            </w:r>
          </w:p>
        </w:tc>
        <w:tc>
          <w:tcPr>
            <w:tcW w:w="1726" w:type="dxa"/>
            <w:noWrap w:val="0"/>
            <w:vAlign w:val="center"/>
          </w:tcPr>
          <w:p w14:paraId="355E2D1C">
            <w:pPr>
              <w:spacing w:line="400" w:lineRule="exact"/>
              <w:ind w:firstLine="0" w:firstLineChars="0"/>
              <w:jc w:val="center"/>
              <w:rPr>
                <w:rFonts w:hint="eastAsia"/>
                <w:color w:val="000000"/>
              </w:rPr>
            </w:pPr>
            <w:r>
              <w:rPr>
                <w:rFonts w:hint="eastAsia"/>
                <w:color w:val="000000"/>
              </w:rPr>
              <w:t>10</w:t>
            </w:r>
          </w:p>
        </w:tc>
        <w:tc>
          <w:tcPr>
            <w:tcW w:w="1711" w:type="dxa"/>
            <w:noWrap w:val="0"/>
            <w:vAlign w:val="center"/>
          </w:tcPr>
          <w:p w14:paraId="40BB944D">
            <w:pPr>
              <w:spacing w:line="400" w:lineRule="exact"/>
              <w:ind w:firstLine="0" w:firstLineChars="0"/>
              <w:jc w:val="center"/>
              <w:rPr>
                <w:rFonts w:hint="eastAsia"/>
                <w:color w:val="000000"/>
              </w:rPr>
            </w:pPr>
          </w:p>
        </w:tc>
      </w:tr>
      <w:tr w14:paraId="5E9B41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noWrap w:val="0"/>
            <w:vAlign w:val="center"/>
          </w:tcPr>
          <w:p w14:paraId="6458EE81">
            <w:pPr>
              <w:spacing w:line="400" w:lineRule="exact"/>
              <w:ind w:firstLine="0" w:firstLineChars="0"/>
              <w:jc w:val="center"/>
              <w:rPr>
                <w:color w:val="000000"/>
              </w:rPr>
            </w:pPr>
            <w:r>
              <w:rPr>
                <w:rFonts w:hint="eastAsia"/>
                <w:color w:val="000000"/>
              </w:rPr>
              <w:t>综合绩效</w:t>
            </w:r>
          </w:p>
        </w:tc>
        <w:tc>
          <w:tcPr>
            <w:tcW w:w="1820" w:type="dxa"/>
            <w:noWrap w:val="0"/>
            <w:vAlign w:val="center"/>
          </w:tcPr>
          <w:p w14:paraId="177A5B5B">
            <w:pPr>
              <w:spacing w:line="400" w:lineRule="exact"/>
              <w:ind w:firstLine="0" w:firstLineChars="0"/>
              <w:jc w:val="center"/>
              <w:rPr>
                <w:color w:val="000000"/>
              </w:rPr>
            </w:pPr>
            <w:r>
              <w:rPr>
                <w:rFonts w:hint="eastAsia"/>
                <w:color w:val="000000"/>
              </w:rPr>
              <w:t>100</w:t>
            </w:r>
          </w:p>
        </w:tc>
        <w:tc>
          <w:tcPr>
            <w:tcW w:w="1726" w:type="dxa"/>
            <w:noWrap w:val="0"/>
            <w:vAlign w:val="center"/>
          </w:tcPr>
          <w:p w14:paraId="2AD0EB05">
            <w:pPr>
              <w:spacing w:line="400" w:lineRule="exact"/>
              <w:ind w:firstLine="0" w:firstLineChars="0"/>
              <w:jc w:val="center"/>
              <w:rPr>
                <w:rFonts w:hint="eastAsia"/>
                <w:color w:val="000000"/>
              </w:rPr>
            </w:pPr>
            <w:r>
              <w:rPr>
                <w:rFonts w:hint="eastAsia"/>
                <w:color w:val="000000"/>
              </w:rPr>
              <w:t>86.9</w:t>
            </w:r>
          </w:p>
        </w:tc>
        <w:tc>
          <w:tcPr>
            <w:tcW w:w="1711" w:type="dxa"/>
            <w:noWrap w:val="0"/>
            <w:vAlign w:val="center"/>
          </w:tcPr>
          <w:p w14:paraId="49B5EE4B">
            <w:pPr>
              <w:spacing w:line="400" w:lineRule="exact"/>
              <w:ind w:firstLine="0" w:firstLineChars="0"/>
              <w:jc w:val="center"/>
              <w:rPr>
                <w:rFonts w:hint="eastAsia"/>
                <w:color w:val="000000"/>
              </w:rPr>
            </w:pPr>
            <w:r>
              <w:rPr>
                <w:rFonts w:hint="eastAsia"/>
                <w:color w:val="000000"/>
              </w:rPr>
              <w:t>中</w:t>
            </w:r>
          </w:p>
        </w:tc>
      </w:tr>
    </w:tbl>
    <w:p w14:paraId="1CFCBF4E">
      <w:pPr>
        <w:pStyle w:val="3"/>
        <w:ind w:firstLine="702" w:firstLineChars="198"/>
        <w:rPr>
          <w:rFonts w:hint="eastAsia"/>
          <w:b w:val="0"/>
          <w:color w:val="000000"/>
        </w:rPr>
      </w:pPr>
      <w:r>
        <w:rPr>
          <w:rFonts w:hint="eastAsia"/>
          <w:b w:val="0"/>
          <w:color w:val="000000"/>
        </w:rPr>
        <w:t>1.2绩效目标完成情况</w:t>
      </w:r>
      <w:bookmarkEnd w:id="22"/>
      <w:bookmarkEnd w:id="23"/>
    </w:p>
    <w:p w14:paraId="326E5478">
      <w:pPr>
        <w:ind w:firstLine="712"/>
        <w:rPr>
          <w:rFonts w:hint="eastAsia"/>
          <w:color w:val="000000"/>
        </w:rPr>
      </w:pPr>
      <w:bookmarkStart w:id="24" w:name="_Toc46983115"/>
      <w:r>
        <w:rPr>
          <w:rFonts w:hint="eastAsia"/>
          <w:color w:val="000000"/>
        </w:rPr>
        <w:t>按照2016年4月29日鄂州市政府与华中科技大学签订的联合共建协议约定的共建目标，截至目前完成情况：</w:t>
      </w:r>
    </w:p>
    <w:p w14:paraId="6405B1A6">
      <w:pPr>
        <w:ind w:firstLine="712"/>
        <w:rPr>
          <w:rFonts w:hint="eastAsia"/>
          <w:color w:val="000000"/>
        </w:rPr>
      </w:pPr>
      <w:r>
        <w:rPr>
          <w:rFonts w:hint="eastAsia"/>
          <w:color w:val="000000"/>
        </w:rPr>
        <w:t>(1)协议约定5年内建成3-5个孵化器。已建成省级众创空间、科技企业孵化器（目前正申报</w:t>
      </w:r>
      <w:r>
        <w:rPr>
          <w:color w:val="000000"/>
        </w:rPr>
        <w:t>2020年国家级科技企业孵化器</w:t>
      </w:r>
      <w:r>
        <w:rPr>
          <w:rFonts w:hint="eastAsia"/>
          <w:color w:val="000000"/>
        </w:rPr>
        <w:t>）等</w:t>
      </w:r>
      <w:r>
        <w:rPr>
          <w:color w:val="000000"/>
        </w:rPr>
        <w:t>10余个</w:t>
      </w:r>
      <w:r>
        <w:rPr>
          <w:rFonts w:hint="eastAsia"/>
          <w:color w:val="000000"/>
        </w:rPr>
        <w:t>专业技术孵化类</w:t>
      </w:r>
      <w:r>
        <w:rPr>
          <w:color w:val="000000"/>
        </w:rPr>
        <w:t>平台</w:t>
      </w:r>
      <w:r>
        <w:rPr>
          <w:rFonts w:hint="eastAsia"/>
          <w:color w:val="000000"/>
        </w:rPr>
        <w:t>；</w:t>
      </w:r>
    </w:p>
    <w:p w14:paraId="3BD13E3A">
      <w:pPr>
        <w:ind w:firstLine="712"/>
        <w:rPr>
          <w:rFonts w:hint="eastAsia"/>
          <w:color w:val="000000"/>
        </w:rPr>
      </w:pPr>
      <w:r>
        <w:rPr>
          <w:rFonts w:hint="eastAsia"/>
          <w:color w:val="000000"/>
        </w:rPr>
        <w:t>（2）协议约定5年内建成4个以上专业生产基地。已完成第三代半导体深紫外光器件专业生产基地、微生物发酵专业生产基地、注塑成形智能技术专业生产基地、智能装备创新升级技术专业生产基地、钙钛矿太阳能电池专业生产基地等</w:t>
      </w:r>
      <w:r>
        <w:rPr>
          <w:color w:val="000000"/>
        </w:rPr>
        <w:t>5个专业生产基地；</w:t>
      </w:r>
    </w:p>
    <w:p w14:paraId="3A713223">
      <w:pPr>
        <w:ind w:firstLine="712"/>
        <w:rPr>
          <w:rFonts w:hint="eastAsia"/>
          <w:color w:val="000000"/>
        </w:rPr>
      </w:pPr>
      <w:r>
        <w:rPr>
          <w:rFonts w:hint="eastAsia"/>
          <w:color w:val="000000"/>
        </w:rPr>
        <w:t>（3）从</w:t>
      </w:r>
      <w:r>
        <w:rPr>
          <w:color w:val="000000"/>
        </w:rPr>
        <w:t>2016年10月</w:t>
      </w:r>
      <w:r>
        <w:rPr>
          <w:rFonts w:hint="eastAsia"/>
          <w:color w:val="000000"/>
        </w:rPr>
        <w:t>第一批</w:t>
      </w:r>
      <w:r>
        <w:rPr>
          <w:color w:val="000000"/>
        </w:rPr>
        <w:t>团队正式入驻，截止2020年10月</w:t>
      </w:r>
      <w:r>
        <w:rPr>
          <w:rFonts w:hint="eastAsia"/>
          <w:color w:val="000000"/>
        </w:rPr>
        <w:t>共累计</w:t>
      </w:r>
      <w:r>
        <w:rPr>
          <w:color w:val="000000"/>
        </w:rPr>
        <w:t>申请</w:t>
      </w:r>
      <w:r>
        <w:rPr>
          <w:rFonts w:hint="eastAsia"/>
          <w:color w:val="000000"/>
        </w:rPr>
        <w:t>职务发明专利583</w:t>
      </w:r>
      <w:r>
        <w:rPr>
          <w:color w:val="000000"/>
        </w:rPr>
        <w:t>件</w:t>
      </w:r>
      <w:r>
        <w:rPr>
          <w:rFonts w:hint="eastAsia"/>
          <w:color w:val="000000"/>
        </w:rPr>
        <w:t>；</w:t>
      </w:r>
    </w:p>
    <w:p w14:paraId="4D1163E7">
      <w:pPr>
        <w:ind w:firstLine="712"/>
        <w:rPr>
          <w:rFonts w:hint="eastAsia"/>
          <w:color w:val="000000"/>
        </w:rPr>
      </w:pPr>
      <w:r>
        <w:rPr>
          <w:rFonts w:hint="eastAsia"/>
          <w:color w:val="000000"/>
        </w:rPr>
        <w:t>（4）目前已引进院士</w:t>
      </w:r>
      <w:r>
        <w:rPr>
          <w:color w:val="000000"/>
        </w:rPr>
        <w:t>4名</w:t>
      </w:r>
      <w:r>
        <w:rPr>
          <w:rFonts w:hint="eastAsia"/>
          <w:color w:val="000000"/>
        </w:rPr>
        <w:t>；</w:t>
      </w:r>
    </w:p>
    <w:p w14:paraId="518A0C0C">
      <w:pPr>
        <w:ind w:firstLine="712"/>
        <w:rPr>
          <w:rFonts w:hint="eastAsia"/>
          <w:color w:val="000000"/>
        </w:rPr>
      </w:pPr>
      <w:r>
        <w:rPr>
          <w:rFonts w:hint="eastAsia"/>
          <w:color w:val="000000"/>
        </w:rPr>
        <w:t>（5）协议约定5年内培育100名以上研发人员。目前已</w:t>
      </w:r>
      <w:r>
        <w:rPr>
          <w:color w:val="000000"/>
        </w:rPr>
        <w:t>培养</w:t>
      </w:r>
      <w:r>
        <w:rPr>
          <w:rFonts w:hint="eastAsia"/>
          <w:color w:val="000000"/>
        </w:rPr>
        <w:t>多学科专业</w:t>
      </w:r>
      <w:r>
        <w:rPr>
          <w:color w:val="000000"/>
        </w:rPr>
        <w:t>科研人员681</w:t>
      </w:r>
      <w:r>
        <w:rPr>
          <w:rFonts w:hint="eastAsia"/>
          <w:color w:val="000000"/>
        </w:rPr>
        <w:t>名</w:t>
      </w:r>
      <w:r>
        <w:rPr>
          <w:color w:val="000000"/>
        </w:rPr>
        <w:t>，其中博士研究生208</w:t>
      </w:r>
      <w:r>
        <w:rPr>
          <w:rFonts w:hint="eastAsia"/>
          <w:color w:val="000000"/>
        </w:rPr>
        <w:t>名</w:t>
      </w:r>
      <w:r>
        <w:rPr>
          <w:color w:val="000000"/>
        </w:rPr>
        <w:t>，硕士研究生279</w:t>
      </w:r>
      <w:r>
        <w:rPr>
          <w:rFonts w:hint="eastAsia"/>
          <w:color w:val="000000"/>
        </w:rPr>
        <w:t>名</w:t>
      </w:r>
      <w:r>
        <w:rPr>
          <w:color w:val="000000"/>
        </w:rPr>
        <w:t>；</w:t>
      </w:r>
    </w:p>
    <w:p w14:paraId="7A9083BB">
      <w:pPr>
        <w:ind w:firstLine="705" w:firstLineChars="199"/>
        <w:rPr>
          <w:rFonts w:hint="eastAsia"/>
          <w:color w:val="000000"/>
        </w:rPr>
      </w:pPr>
      <w:r>
        <w:rPr>
          <w:rFonts w:hint="eastAsia"/>
          <w:color w:val="000000"/>
        </w:rPr>
        <w:t>（6）协议约定5年内打造10个以上技术创新团队。目前已</w:t>
      </w:r>
      <w:r>
        <w:rPr>
          <w:color w:val="000000"/>
        </w:rPr>
        <w:t>引进</w:t>
      </w:r>
      <w:r>
        <w:rPr>
          <w:rFonts w:hint="eastAsia"/>
          <w:color w:val="000000"/>
        </w:rPr>
        <w:t>光电健康、智能制造、新一代信息技术等多专业领域</w:t>
      </w:r>
      <w:r>
        <w:rPr>
          <w:color w:val="000000"/>
        </w:rPr>
        <w:t>技术创新团队64个</w:t>
      </w:r>
      <w:r>
        <w:rPr>
          <w:rFonts w:hint="eastAsia"/>
          <w:color w:val="000000"/>
        </w:rPr>
        <w:t>。</w:t>
      </w:r>
    </w:p>
    <w:p w14:paraId="745B8045">
      <w:pPr>
        <w:ind w:firstLine="705" w:firstLineChars="199"/>
        <w:rPr>
          <w:rFonts w:hint="eastAsia"/>
          <w:color w:val="000000"/>
        </w:rPr>
      </w:pPr>
      <w:r>
        <w:rPr>
          <w:rFonts w:hint="eastAsia"/>
          <w:color w:val="000000"/>
        </w:rPr>
        <w:t>除以上协议约定目标外，经与财政部门和预算单位的充分沟通，确定的绩效指标完成情况：</w:t>
      </w:r>
    </w:p>
    <w:p w14:paraId="21004F1A">
      <w:pPr>
        <w:ind w:firstLine="705" w:firstLineChars="199"/>
        <w:rPr>
          <w:color w:val="000000"/>
        </w:rPr>
      </w:pPr>
      <w:r>
        <w:rPr>
          <w:rFonts w:hint="eastAsia"/>
          <w:color w:val="000000"/>
        </w:rPr>
        <w:t>（1）孵化企业毕业率：在孵化的</w:t>
      </w:r>
      <w:r>
        <w:rPr>
          <w:color w:val="000000"/>
        </w:rPr>
        <w:t>57家企业中有18家企业已经毕业，</w:t>
      </w:r>
      <w:r>
        <w:rPr>
          <w:rFonts w:hint="eastAsia"/>
          <w:color w:val="000000"/>
        </w:rPr>
        <w:t>毕业</w:t>
      </w:r>
      <w:r>
        <w:rPr>
          <w:color w:val="000000"/>
        </w:rPr>
        <w:t>率31.6%。</w:t>
      </w:r>
    </w:p>
    <w:p w14:paraId="2525F95A">
      <w:pPr>
        <w:ind w:firstLine="705" w:firstLineChars="199"/>
        <w:rPr>
          <w:rFonts w:hint="eastAsia"/>
          <w:color w:val="000000"/>
        </w:rPr>
      </w:pPr>
      <w:r>
        <w:rPr>
          <w:rFonts w:hint="eastAsia"/>
          <w:color w:val="000000"/>
        </w:rPr>
        <w:t>（2）职务发明专利转化率：在已申请的</w:t>
      </w:r>
      <w:r>
        <w:rPr>
          <w:color w:val="000000"/>
        </w:rPr>
        <w:t>583项发明专利中，有91项专利已经授权用于生产应用，转化率为15.6%</w:t>
      </w:r>
      <w:r>
        <w:rPr>
          <w:rFonts w:hint="eastAsia"/>
          <w:color w:val="000000"/>
        </w:rPr>
        <w:t>。</w:t>
      </w:r>
    </w:p>
    <w:p w14:paraId="31C62987">
      <w:pPr>
        <w:ind w:firstLine="705" w:firstLineChars="199"/>
        <w:rPr>
          <w:color w:val="000000"/>
        </w:rPr>
      </w:pPr>
      <w:r>
        <w:rPr>
          <w:rFonts w:hint="eastAsia"/>
          <w:color w:val="000000"/>
        </w:rPr>
        <w:t>（3）毕业企业产品市场销售总额：</w:t>
      </w:r>
      <w:r>
        <w:rPr>
          <w:color w:val="000000"/>
        </w:rPr>
        <w:t>10家</w:t>
      </w:r>
      <w:r>
        <w:rPr>
          <w:rFonts w:hint="eastAsia"/>
          <w:color w:val="000000"/>
        </w:rPr>
        <w:t>典型的</w:t>
      </w:r>
      <w:r>
        <w:rPr>
          <w:color w:val="000000"/>
        </w:rPr>
        <w:t>毕业企业自2017年以来的销售额2.17亿元；</w:t>
      </w:r>
    </w:p>
    <w:p w14:paraId="3F8D0F47">
      <w:pPr>
        <w:ind w:firstLine="705" w:firstLineChars="199"/>
        <w:rPr>
          <w:rFonts w:hint="eastAsia"/>
          <w:color w:val="000000"/>
        </w:rPr>
      </w:pPr>
      <w:r>
        <w:rPr>
          <w:rFonts w:hint="eastAsia"/>
          <w:color w:val="000000"/>
        </w:rPr>
        <w:t>（4）毕业企业税收贡献总额：</w:t>
      </w:r>
      <w:r>
        <w:rPr>
          <w:color w:val="000000"/>
        </w:rPr>
        <w:t>10家</w:t>
      </w:r>
      <w:r>
        <w:rPr>
          <w:rFonts w:hint="eastAsia"/>
          <w:color w:val="000000"/>
        </w:rPr>
        <w:t>典型的</w:t>
      </w:r>
      <w:r>
        <w:rPr>
          <w:color w:val="000000"/>
        </w:rPr>
        <w:t>毕业企业自2017年以来</w:t>
      </w:r>
      <w:r>
        <w:rPr>
          <w:rFonts w:hint="eastAsia"/>
          <w:color w:val="000000"/>
        </w:rPr>
        <w:t>共计</w:t>
      </w:r>
      <w:r>
        <w:rPr>
          <w:color w:val="000000"/>
        </w:rPr>
        <w:t>已上缴税费119.2万元</w:t>
      </w:r>
      <w:r>
        <w:rPr>
          <w:rFonts w:hint="eastAsia"/>
          <w:color w:val="000000"/>
        </w:rPr>
        <w:t>。</w:t>
      </w:r>
    </w:p>
    <w:p w14:paraId="6F7F1892">
      <w:pPr>
        <w:pStyle w:val="3"/>
        <w:ind w:firstLine="712"/>
        <w:rPr>
          <w:b w:val="0"/>
          <w:color w:val="000000"/>
        </w:rPr>
      </w:pPr>
      <w:bookmarkStart w:id="25" w:name="_Toc58481819"/>
      <w:r>
        <w:rPr>
          <w:rFonts w:hint="eastAsia"/>
          <w:b w:val="0"/>
          <w:color w:val="000000"/>
        </w:rPr>
        <w:t>1.3存在的问题</w:t>
      </w:r>
      <w:bookmarkEnd w:id="24"/>
      <w:bookmarkEnd w:id="25"/>
    </w:p>
    <w:p w14:paraId="250708D1">
      <w:pPr>
        <w:ind w:firstLine="712"/>
        <w:rPr>
          <w:rFonts w:hint="eastAsia"/>
          <w:color w:val="000000"/>
        </w:rPr>
      </w:pPr>
      <w:bookmarkStart w:id="26" w:name="_Toc46983116"/>
      <w:r>
        <w:rPr>
          <w:rFonts w:hint="eastAsia"/>
          <w:color w:val="000000"/>
        </w:rPr>
        <w:t>虽然绩效目标完成情况较好，但通过在评价工作中深入调查了解的情况，我们认为主要存在以下问题：</w:t>
      </w:r>
    </w:p>
    <w:p w14:paraId="4E9B46E6">
      <w:pPr>
        <w:ind w:firstLine="712"/>
        <w:rPr>
          <w:rFonts w:hint="eastAsia"/>
          <w:color w:val="000000"/>
        </w:rPr>
      </w:pPr>
      <w:r>
        <w:rPr>
          <w:rFonts w:hint="eastAsia"/>
          <w:color w:val="000000"/>
        </w:rPr>
        <w:t>（1）共建任务具体目标按5年设立，未按年度分解进度目标，且协议约定目标主要偏向学术性，所研发的技术、培育的科技人才面向全社会，不能更好的反映公共财政资金的职能效应。</w:t>
      </w:r>
    </w:p>
    <w:p w14:paraId="59065F91">
      <w:pPr>
        <w:ind w:firstLine="712"/>
        <w:rPr>
          <w:rFonts w:hint="eastAsia"/>
          <w:color w:val="000000"/>
        </w:rPr>
      </w:pPr>
      <w:r>
        <w:rPr>
          <w:rFonts w:hint="eastAsia"/>
          <w:color w:val="000000"/>
        </w:rPr>
        <w:t>（2）共建机构从建立到取得科研成果、再到科研成果转化为市场生产力需要相当长的时间，所需的资金投入也应当是惭进增多的过程，而财政资金按每年6000万元等额拨付，未能与科技成果的研发和转化进度相匹配，也因此造成了一定程度上财政资金资源的闲置。</w:t>
      </w:r>
    </w:p>
    <w:p w14:paraId="061079DD">
      <w:pPr>
        <w:pStyle w:val="3"/>
        <w:ind w:firstLine="712"/>
        <w:rPr>
          <w:rFonts w:hint="eastAsia"/>
          <w:b w:val="0"/>
          <w:color w:val="000000"/>
        </w:rPr>
      </w:pPr>
      <w:bookmarkStart w:id="27" w:name="_Toc58481820"/>
      <w:r>
        <w:rPr>
          <w:rFonts w:hint="eastAsia"/>
          <w:b w:val="0"/>
          <w:color w:val="000000"/>
        </w:rPr>
        <w:t>1.4结果拟应用建议</w:t>
      </w:r>
      <w:bookmarkEnd w:id="26"/>
      <w:bookmarkEnd w:id="27"/>
    </w:p>
    <w:p w14:paraId="25F7E371">
      <w:pPr>
        <w:ind w:firstLine="712"/>
        <w:rPr>
          <w:rFonts w:hint="eastAsia"/>
          <w:color w:val="000000"/>
        </w:rPr>
      </w:pPr>
      <w:r>
        <w:rPr>
          <w:rFonts w:hint="eastAsia"/>
          <w:color w:val="000000"/>
        </w:rPr>
        <w:t>根据存在的问题，如果协议期限到期后延续实施本项目，我们建议从以下方面改进预算资金的绩效管理：</w:t>
      </w:r>
    </w:p>
    <w:p w14:paraId="068B2979">
      <w:pPr>
        <w:ind w:firstLine="712"/>
        <w:rPr>
          <w:rFonts w:hint="eastAsia"/>
          <w:color w:val="000000"/>
        </w:rPr>
      </w:pPr>
      <w:r>
        <w:rPr>
          <w:rFonts w:hint="eastAsia"/>
          <w:color w:val="000000"/>
        </w:rPr>
        <w:t>（1）做好年度科研项目及成果转化实施计划，按年确定绩效目标。相应的预算资金应结合年度科研计划和科研成果转化计划的需求进行编制，以更合理的利用好宝贵的财力资源；</w:t>
      </w:r>
    </w:p>
    <w:p w14:paraId="51DC1258">
      <w:pPr>
        <w:ind w:firstLine="712"/>
        <w:rPr>
          <w:rFonts w:hint="eastAsia"/>
          <w:color w:val="000000"/>
        </w:rPr>
      </w:pPr>
      <w:r>
        <w:rPr>
          <w:rFonts w:hint="eastAsia"/>
          <w:color w:val="000000"/>
        </w:rPr>
        <w:t>（2）设置更符合地方财政资金绩效方向的目标。</w:t>
      </w:r>
    </w:p>
    <w:p w14:paraId="5C6E5F5A">
      <w:pPr>
        <w:ind w:firstLine="712"/>
        <w:rPr>
          <w:rFonts w:hint="eastAsia"/>
          <w:color w:val="000000"/>
        </w:rPr>
      </w:pPr>
      <w:r>
        <w:rPr>
          <w:rFonts w:hint="eastAsia"/>
          <w:color w:val="000000"/>
        </w:rPr>
        <w:t>①增加科研平台服务能力和服务质量方面的绩效目标，如在研发投资、公共技术、创业导师等方面的服务能力与质量指标，以促进研究院提高服务能力，引导研究院建立更适合鄂州市本地需求的专业化服务体系；</w:t>
      </w:r>
    </w:p>
    <w:p w14:paraId="2451B8FB">
      <w:pPr>
        <w:ind w:firstLine="712"/>
        <w:rPr>
          <w:rFonts w:hint="eastAsia"/>
          <w:color w:val="000000"/>
        </w:rPr>
      </w:pPr>
      <w:r>
        <w:rPr>
          <w:rFonts w:hint="eastAsia"/>
          <w:color w:val="000000"/>
        </w:rPr>
        <w:t>②增加孵化能力和效果方面的绩效目标，如通过在孵企业的成长性、融资情况等方面的指标，以反映孵化效果情况。</w:t>
      </w:r>
    </w:p>
    <w:p w14:paraId="504C134D">
      <w:pPr>
        <w:ind w:firstLine="712"/>
        <w:rPr>
          <w:rFonts w:hint="eastAsia"/>
          <w:color w:val="000000"/>
        </w:rPr>
      </w:pPr>
      <w:r>
        <w:rPr>
          <w:rFonts w:hint="eastAsia"/>
          <w:color w:val="000000"/>
        </w:rPr>
        <w:t>③增加科技转化质量的目标。如科技成果转化率、孵化企业科技产品销售额占比等；</w:t>
      </w:r>
    </w:p>
    <w:p w14:paraId="0F933A94">
      <w:pPr>
        <w:ind w:firstLine="712"/>
        <w:rPr>
          <w:rFonts w:hint="eastAsia"/>
          <w:color w:val="000000"/>
        </w:rPr>
      </w:pPr>
      <w:r>
        <w:rPr>
          <w:rFonts w:hint="eastAsia"/>
          <w:color w:val="000000"/>
        </w:rPr>
        <w:t>④增加培养人才服务鄂州的目标，如博士生、硕士生落户鄂州的数量等；</w:t>
      </w:r>
    </w:p>
    <w:p w14:paraId="104C9FF4">
      <w:pPr>
        <w:ind w:firstLine="712"/>
        <w:rPr>
          <w:rFonts w:hint="eastAsia"/>
          <w:color w:val="000000"/>
        </w:rPr>
      </w:pPr>
      <w:r>
        <w:rPr>
          <w:rFonts w:hint="eastAsia"/>
          <w:color w:val="000000"/>
        </w:rPr>
        <w:t>⑤增加反映财政资金经济效益与社会效益方面的目标。如：培育科技企业年税收贡献额、带动就业人数等；</w:t>
      </w:r>
    </w:p>
    <w:p w14:paraId="4BD3F91D">
      <w:pPr>
        <w:pStyle w:val="2"/>
        <w:rPr>
          <w:rFonts w:hint="eastAsia"/>
          <w:b w:val="0"/>
          <w:color w:val="000000"/>
        </w:rPr>
      </w:pPr>
      <w:bookmarkStart w:id="28" w:name="_Toc46983117"/>
      <w:bookmarkStart w:id="29" w:name="_Toc58481821"/>
      <w:r>
        <w:rPr>
          <w:rFonts w:hint="eastAsia"/>
          <w:b w:val="0"/>
          <w:color w:val="000000"/>
        </w:rPr>
        <w:t>2.佐证材料</w:t>
      </w:r>
      <w:bookmarkEnd w:id="28"/>
      <w:bookmarkEnd w:id="29"/>
    </w:p>
    <w:p w14:paraId="3FFCCF9F">
      <w:pPr>
        <w:pStyle w:val="3"/>
        <w:ind w:firstLine="712"/>
        <w:rPr>
          <w:rFonts w:hint="eastAsia"/>
          <w:b w:val="0"/>
          <w:color w:val="000000"/>
        </w:rPr>
      </w:pPr>
      <w:bookmarkStart w:id="30" w:name="_Toc58481822"/>
      <w:bookmarkStart w:id="31" w:name="_Toc46983118"/>
      <w:r>
        <w:rPr>
          <w:rFonts w:hint="eastAsia"/>
          <w:b w:val="0"/>
          <w:color w:val="000000"/>
        </w:rPr>
        <w:t>2.1基本情况</w:t>
      </w:r>
      <w:bookmarkEnd w:id="30"/>
      <w:bookmarkEnd w:id="31"/>
    </w:p>
    <w:p w14:paraId="1D7FC1A4">
      <w:pPr>
        <w:ind w:firstLine="712"/>
        <w:rPr>
          <w:rFonts w:hint="eastAsia"/>
          <w:color w:val="000000"/>
        </w:rPr>
      </w:pPr>
      <w:r>
        <w:rPr>
          <w:rFonts w:hint="eastAsia"/>
          <w:color w:val="000000"/>
        </w:rPr>
        <w:t>本项目是2016年4月29日经鄂州市政府与华中科技大学协商，通过联合共建方式，组建“华中科技大学鄂州工业技术研究院”，由鄂州市政府以财政拨款形式提供资金，并提供位于梁子湖区梧桐湖新区的办公用房和厂房用地，总体目标主要以“生态、健康、绿色”为理念，以新能源、生物信息、生物技术、光电信息、医疗器械等领域为重点，依托华中科技大学的科研力量，建立科学技术发展平台，促进科研成果转化，打造鄂州市高科技产业群。具体建设目标是5年内，建成3-5个孵化器、并办争建设成为国家级孵化器；建成4个以上专业生产基地；从第1年起，职务发明专利申请量不少于100件，以后每年按30%速度递增；培育100名以上研发人员；帮助打造10个技术创新团队。</w:t>
      </w:r>
    </w:p>
    <w:p w14:paraId="0109CB8B">
      <w:pPr>
        <w:ind w:firstLine="712"/>
        <w:rPr>
          <w:rFonts w:hint="eastAsia"/>
          <w:color w:val="000000"/>
        </w:rPr>
      </w:pPr>
      <w:r>
        <w:rPr>
          <w:rFonts w:hint="eastAsia"/>
          <w:color w:val="000000"/>
        </w:rPr>
        <w:t>项目协议期限5年，自2016年4月29日至2021年4月29日，鄂州市政府每年拨款6000万元。截至目前（2020年10月31日），已累计拨付到位2.7亿元，资金到位率90%。累计支付工研院基本运维资金2510.70万元；华中科技大学科研经费2400万元；工研院科技项目研发、科技成果转化、创业投资等共计7314.10万元，合计支付12224.80万元；</w:t>
      </w:r>
    </w:p>
    <w:p w14:paraId="4626B627">
      <w:pPr>
        <w:ind w:firstLine="712"/>
        <w:rPr>
          <w:rFonts w:hint="eastAsia"/>
          <w:color w:val="000000"/>
        </w:rPr>
      </w:pPr>
      <w:r>
        <w:rPr>
          <w:rFonts w:hint="eastAsia"/>
          <w:color w:val="000000"/>
        </w:rPr>
        <w:t>现有结余资金14775.2万元。主要原因：一是科研项目执行期一般为2-3年，项目经费开支根据立项协议逐步投入，目前尚有很多科研项目正在研发过程中，约有6319.7万元的项目经费在后续的研发过程中陆续需要支付；二是工研院公共平台是逐年投入、分期建设，部分科研平台建设相关的采购合同已签订，尚有暂未支付的进度款约498万元；三是工研院为争取得到华中科技大学除科技人才外的资金支持，应按年财政拨款总额的20%支付的市校合作经费，目前只支付了两个年度的数额2400万元（按进度还应支付3000万元），余下部分暂未支付以留院作为校方资金后期投入；四是预留了部分产业孵化器建设资金（约5500万元），产业孵化器建设暂未实施。</w:t>
      </w:r>
    </w:p>
    <w:p w14:paraId="5425583E">
      <w:pPr>
        <w:pStyle w:val="3"/>
        <w:ind w:firstLine="712"/>
        <w:rPr>
          <w:b w:val="0"/>
          <w:color w:val="000000"/>
        </w:rPr>
      </w:pPr>
      <w:bookmarkStart w:id="32" w:name="_Toc58481823"/>
      <w:bookmarkStart w:id="33" w:name="_Toc46983119"/>
      <w:r>
        <w:rPr>
          <w:rFonts w:hint="eastAsia"/>
          <w:b w:val="0"/>
          <w:color w:val="000000"/>
        </w:rPr>
        <w:t>2.2绩效评价工作开展情况</w:t>
      </w:r>
      <w:bookmarkEnd w:id="32"/>
      <w:bookmarkEnd w:id="33"/>
    </w:p>
    <w:p w14:paraId="49046CA2">
      <w:pPr>
        <w:ind w:firstLine="712"/>
        <w:rPr>
          <w:rFonts w:hint="eastAsia"/>
          <w:color w:val="000000"/>
        </w:rPr>
      </w:pPr>
      <w:r>
        <w:rPr>
          <w:color w:val="000000"/>
        </w:rPr>
        <w:t>2.2.1</w:t>
      </w:r>
      <w:r>
        <w:rPr>
          <w:rFonts w:hint="eastAsia"/>
          <w:color w:val="000000"/>
        </w:rPr>
        <w:t>评价目的、对象和范围</w:t>
      </w:r>
    </w:p>
    <w:p w14:paraId="347A6A05">
      <w:pPr>
        <w:ind w:firstLine="712"/>
        <w:rPr>
          <w:rFonts w:hint="eastAsia"/>
          <w:color w:val="000000"/>
        </w:rPr>
      </w:pPr>
      <w:r>
        <w:rPr>
          <w:rFonts w:hint="eastAsia"/>
          <w:color w:val="000000"/>
        </w:rPr>
        <w:t>本次绩效评价工作是对市科学技术局“</w:t>
      </w:r>
      <w:r>
        <w:rPr>
          <w:color w:val="000000"/>
        </w:rPr>
        <w:t>华科鄂州工研院运行专项经费</w:t>
      </w:r>
      <w:r>
        <w:rPr>
          <w:rFonts w:hint="eastAsia"/>
          <w:color w:val="000000"/>
        </w:rPr>
        <w:t>”财政资金项目实施情况进行核查、验证、评价分析及反映项目实施的“绩”与“效”。</w:t>
      </w:r>
    </w:p>
    <w:p w14:paraId="129B4E64">
      <w:pPr>
        <w:ind w:firstLine="712"/>
        <w:rPr>
          <w:rFonts w:hint="eastAsia"/>
          <w:color w:val="000000"/>
        </w:rPr>
      </w:pPr>
      <w:r>
        <w:rPr>
          <w:rFonts w:hint="eastAsia"/>
          <w:color w:val="000000"/>
        </w:rPr>
        <w:t>范围包括自2016年以来至2020年10月历年分次拨付的总计2.7亿元专项资金。</w:t>
      </w:r>
    </w:p>
    <w:p w14:paraId="6A50E775">
      <w:pPr>
        <w:ind w:firstLine="712"/>
        <w:rPr>
          <w:rFonts w:hint="eastAsia"/>
          <w:color w:val="000000"/>
        </w:rPr>
      </w:pPr>
      <w:r>
        <w:rPr>
          <w:rFonts w:hint="eastAsia"/>
          <w:color w:val="000000"/>
        </w:rPr>
        <w:t>2.2.2评价抽样原则：对样本较多的佐证材料采取随机抽样方式进行抽查，抽样比例不小于20%。</w:t>
      </w:r>
    </w:p>
    <w:p w14:paraId="661C09A8">
      <w:pPr>
        <w:ind w:firstLine="712"/>
        <w:rPr>
          <w:rFonts w:hint="eastAsia"/>
          <w:color w:val="000000"/>
        </w:rPr>
      </w:pPr>
      <w:r>
        <w:rPr>
          <w:rFonts w:hint="eastAsia"/>
          <w:color w:val="000000"/>
        </w:rPr>
        <w:t>2.2.3评价方法：比较法、公众评判法、实地察看；</w:t>
      </w:r>
    </w:p>
    <w:p w14:paraId="177616A4">
      <w:pPr>
        <w:ind w:firstLine="712"/>
        <w:rPr>
          <w:rFonts w:hint="eastAsia"/>
          <w:color w:val="000000"/>
        </w:rPr>
      </w:pPr>
      <w:r>
        <w:rPr>
          <w:rFonts w:hint="eastAsia"/>
          <w:color w:val="000000"/>
        </w:rPr>
        <w:t>2.2.4实施时间安排：2020.11.16-11.30</w:t>
      </w:r>
    </w:p>
    <w:p w14:paraId="0C1027E7">
      <w:pPr>
        <w:ind w:firstLine="712"/>
        <w:rPr>
          <w:rFonts w:hint="eastAsia"/>
          <w:color w:val="000000"/>
        </w:rPr>
      </w:pPr>
      <w:r>
        <w:rPr>
          <w:rFonts w:hint="eastAsia"/>
          <w:color w:val="000000"/>
        </w:rPr>
        <w:t>2.2.5评价工作实施过程：</w:t>
      </w:r>
    </w:p>
    <w:p w14:paraId="4FA5663B">
      <w:pPr>
        <w:ind w:firstLine="712"/>
        <w:rPr>
          <w:color w:val="000000"/>
        </w:rPr>
      </w:pPr>
      <w:r>
        <w:rPr>
          <w:rFonts w:hint="eastAsia"/>
          <w:color w:val="000000"/>
        </w:rPr>
        <w:t>2.2.5.1</w:t>
      </w:r>
      <w:r>
        <w:rPr>
          <w:color w:val="000000"/>
        </w:rPr>
        <w:t>前期准备阶段</w:t>
      </w:r>
    </w:p>
    <w:p w14:paraId="22BC7C73">
      <w:pPr>
        <w:ind w:firstLine="712"/>
        <w:rPr>
          <w:rFonts w:hint="eastAsia"/>
          <w:color w:val="000000"/>
        </w:rPr>
      </w:pPr>
      <w:r>
        <w:rPr>
          <w:rFonts w:hint="eastAsia"/>
          <w:color w:val="000000"/>
        </w:rPr>
        <w:t>组建项目绩效评价工作组，与项目主管部门及实施单位相关负责人员进行沟通，获取项目相关的基本资料，了解基本情况，确定绩效评价工作开展的方向和重点；参照湖北省财政项目资金绩效评价指标体系框架，与项目主管部门和项目实施单位沟通和确定本次绩效评价指标。</w:t>
      </w:r>
    </w:p>
    <w:p w14:paraId="2C138706">
      <w:pPr>
        <w:ind w:firstLine="705" w:firstLineChars="199"/>
        <w:rPr>
          <w:rFonts w:hint="eastAsia"/>
          <w:color w:val="000000"/>
        </w:rPr>
      </w:pPr>
      <w:r>
        <w:rPr>
          <w:rFonts w:hint="eastAsia"/>
          <w:color w:val="000000"/>
        </w:rPr>
        <w:t>评价指标的确定原则：主要以共建协议约定的具体目标任务为基础，同时按照省财政厅绩效评价有关要求，仅以共建协议约定目标进行评价，存在绩效目标缺失情况，如产出指标类缺少质量指标、效益指标类缺少经济效益指标等。经与鄂州市财政局、工研院商定，增加可获取佐证材料的质量指标与经济效益指标各两项，对增加的质量与效益评价指标的目标值，参考同类行业情况确定。</w:t>
      </w:r>
    </w:p>
    <w:p w14:paraId="52B82BAE">
      <w:pPr>
        <w:ind w:firstLine="712"/>
        <w:rPr>
          <w:rFonts w:hint="eastAsia"/>
          <w:color w:val="000000"/>
        </w:rPr>
      </w:pPr>
      <w:r>
        <w:rPr>
          <w:rFonts w:hint="eastAsia"/>
          <w:color w:val="000000"/>
        </w:rPr>
        <w:t>各项指标评分权重的分配遵循省财政厅有关绩效评价工作的要求和基于我们的职业判断。针对该项目支出的具体绩效指标情况，对项目的决策与过程设定权重为30分、产出指标权重设为36分、效益类指标权重为24分、满意度指标权重为10分。</w:t>
      </w:r>
    </w:p>
    <w:p w14:paraId="226D56AF">
      <w:pPr>
        <w:ind w:firstLine="712"/>
        <w:rPr>
          <w:rFonts w:hint="eastAsia"/>
          <w:color w:val="000000"/>
        </w:rPr>
      </w:pPr>
      <w:r>
        <w:rPr>
          <w:rFonts w:hint="eastAsia"/>
          <w:color w:val="000000"/>
        </w:rPr>
        <w:t>确定的具体评分方法见如下表格：</w:t>
      </w:r>
    </w:p>
    <w:p w14:paraId="30811BB7">
      <w:pPr>
        <w:ind w:firstLine="712"/>
        <w:rPr>
          <w:color w:val="000000"/>
        </w:rPr>
        <w:sectPr>
          <w:footerReference r:id="rId11" w:type="default"/>
          <w:pgSz w:w="11906" w:h="16838"/>
          <w:pgMar w:top="2098" w:right="1474" w:bottom="1984" w:left="1587" w:header="851" w:footer="992" w:gutter="0"/>
          <w:pgNumType w:fmt="numberInDash"/>
          <w:cols w:space="720" w:num="1"/>
          <w:docGrid w:type="linesAndChars" w:linePitch="579" w:charSpace="7350"/>
        </w:sectPr>
      </w:pPr>
    </w:p>
    <w:p w14:paraId="0A306171">
      <w:pPr>
        <w:ind w:firstLine="640"/>
        <w:rPr>
          <w:rFonts w:hint="eastAsia"/>
          <w:color w:val="000000"/>
        </w:rPr>
      </w:pPr>
      <w:r>
        <w:rPr>
          <w:rFonts w:hint="eastAsia"/>
          <w:color w:val="000000"/>
        </w:rPr>
        <w:t>2.2.5.1.1项目决策与过程（权重分值30分）</w:t>
      </w:r>
    </w:p>
    <w:tbl>
      <w:tblPr>
        <w:tblStyle w:val="11"/>
        <w:tblW w:w="13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825"/>
        <w:gridCol w:w="1217"/>
        <w:gridCol w:w="709"/>
        <w:gridCol w:w="3685"/>
        <w:gridCol w:w="2693"/>
        <w:gridCol w:w="3342"/>
      </w:tblGrid>
      <w:tr w14:paraId="0D95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6" w:type="dxa"/>
            <w:noWrap w:val="0"/>
            <w:vAlign w:val="center"/>
          </w:tcPr>
          <w:p w14:paraId="77EBE290">
            <w:pPr>
              <w:widowControl/>
              <w:spacing w:line="360" w:lineRule="exact"/>
              <w:ind w:firstLine="0" w:firstLineChars="0"/>
              <w:jc w:val="center"/>
              <w:rPr>
                <w:rFonts w:hint="eastAsia" w:hAnsi="宋体" w:cs="宋体"/>
                <w:color w:val="000000"/>
                <w:kern w:val="0"/>
                <w:sz w:val="24"/>
              </w:rPr>
            </w:pPr>
            <w:r>
              <w:rPr>
                <w:rFonts w:hint="eastAsia" w:hAnsi="宋体" w:cs="宋体"/>
                <w:color w:val="000000"/>
                <w:kern w:val="0"/>
                <w:sz w:val="24"/>
              </w:rPr>
              <w:t>一级</w:t>
            </w:r>
          </w:p>
          <w:p w14:paraId="397CEE0D">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指标</w:t>
            </w:r>
          </w:p>
        </w:tc>
        <w:tc>
          <w:tcPr>
            <w:tcW w:w="825" w:type="dxa"/>
            <w:noWrap w:val="0"/>
            <w:vAlign w:val="center"/>
          </w:tcPr>
          <w:p w14:paraId="760EE6C0">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二级指标</w:t>
            </w:r>
          </w:p>
        </w:tc>
        <w:tc>
          <w:tcPr>
            <w:tcW w:w="1217" w:type="dxa"/>
            <w:noWrap w:val="0"/>
            <w:vAlign w:val="center"/>
          </w:tcPr>
          <w:p w14:paraId="5139A436">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三级指标</w:t>
            </w:r>
          </w:p>
        </w:tc>
        <w:tc>
          <w:tcPr>
            <w:tcW w:w="709" w:type="dxa"/>
            <w:noWrap w:val="0"/>
            <w:vAlign w:val="center"/>
          </w:tcPr>
          <w:p w14:paraId="75B49104">
            <w:pPr>
              <w:widowControl/>
              <w:spacing w:line="360" w:lineRule="exact"/>
              <w:ind w:firstLine="0" w:firstLineChars="0"/>
              <w:jc w:val="center"/>
              <w:rPr>
                <w:rFonts w:hint="eastAsia" w:hAnsi="宋体" w:cs="宋体"/>
                <w:color w:val="000000"/>
                <w:kern w:val="0"/>
                <w:sz w:val="24"/>
              </w:rPr>
            </w:pPr>
            <w:r>
              <w:rPr>
                <w:rFonts w:hint="eastAsia" w:hAnsi="宋体" w:cs="宋体"/>
                <w:color w:val="000000"/>
                <w:kern w:val="0"/>
                <w:sz w:val="24"/>
              </w:rPr>
              <w:t>分</w:t>
            </w:r>
          </w:p>
          <w:p w14:paraId="03080CCC">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值</w:t>
            </w:r>
          </w:p>
        </w:tc>
        <w:tc>
          <w:tcPr>
            <w:tcW w:w="3685" w:type="dxa"/>
            <w:noWrap w:val="0"/>
            <w:vAlign w:val="center"/>
          </w:tcPr>
          <w:p w14:paraId="090E6975">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指标解释</w:t>
            </w:r>
          </w:p>
        </w:tc>
        <w:tc>
          <w:tcPr>
            <w:tcW w:w="2693" w:type="dxa"/>
            <w:noWrap w:val="0"/>
            <w:vAlign w:val="center"/>
          </w:tcPr>
          <w:p w14:paraId="1227BDE2">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绩效评价标准</w:t>
            </w:r>
          </w:p>
        </w:tc>
        <w:tc>
          <w:tcPr>
            <w:tcW w:w="3342" w:type="dxa"/>
            <w:noWrap w:val="0"/>
            <w:vAlign w:val="center"/>
          </w:tcPr>
          <w:p w14:paraId="42C3AD76">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评分细则</w:t>
            </w:r>
          </w:p>
        </w:tc>
      </w:tr>
      <w:tr w14:paraId="7A4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6" w:type="dxa"/>
            <w:vMerge w:val="restart"/>
            <w:noWrap w:val="0"/>
            <w:vAlign w:val="center"/>
          </w:tcPr>
          <w:p w14:paraId="2136EAB5">
            <w:pPr>
              <w:spacing w:line="360" w:lineRule="exact"/>
              <w:ind w:firstLine="0" w:firstLineChars="0"/>
              <w:rPr>
                <w:rFonts w:hint="eastAsia" w:hAnsi="宋体" w:cs="宋体"/>
                <w:color w:val="000000"/>
                <w:kern w:val="0"/>
                <w:sz w:val="24"/>
              </w:rPr>
            </w:pPr>
            <w:r>
              <w:rPr>
                <w:rFonts w:hint="eastAsia" w:hAnsi="宋体" w:cs="宋体"/>
                <w:color w:val="000000"/>
                <w:kern w:val="0"/>
                <w:sz w:val="24"/>
              </w:rPr>
              <w:t>项目决策</w:t>
            </w:r>
          </w:p>
        </w:tc>
        <w:tc>
          <w:tcPr>
            <w:tcW w:w="825" w:type="dxa"/>
            <w:noWrap w:val="0"/>
            <w:vAlign w:val="center"/>
          </w:tcPr>
          <w:p w14:paraId="473BC5D7">
            <w:pPr>
              <w:widowControl/>
              <w:spacing w:line="360" w:lineRule="exact"/>
              <w:ind w:firstLine="0" w:firstLineChars="0"/>
              <w:jc w:val="center"/>
              <w:rPr>
                <w:rFonts w:hint="eastAsia" w:hAnsi="宋体" w:cs="宋体"/>
                <w:bCs/>
                <w:color w:val="000000"/>
                <w:kern w:val="0"/>
                <w:sz w:val="24"/>
              </w:rPr>
            </w:pPr>
            <w:r>
              <w:rPr>
                <w:rFonts w:hint="eastAsia" w:hAnsi="宋体" w:cs="宋体"/>
                <w:bCs/>
                <w:color w:val="000000"/>
                <w:kern w:val="0"/>
                <w:sz w:val="24"/>
              </w:rPr>
              <w:t>项目立项</w:t>
            </w:r>
          </w:p>
        </w:tc>
        <w:tc>
          <w:tcPr>
            <w:tcW w:w="1217" w:type="dxa"/>
            <w:noWrap w:val="0"/>
            <w:vAlign w:val="center"/>
          </w:tcPr>
          <w:p w14:paraId="1A976CCE">
            <w:pPr>
              <w:widowControl/>
              <w:spacing w:line="360" w:lineRule="exact"/>
              <w:ind w:firstLine="0" w:firstLineChars="0"/>
              <w:rPr>
                <w:rFonts w:hint="eastAsia" w:hAnsi="宋体" w:cs="宋体"/>
                <w:bCs/>
                <w:color w:val="000000"/>
                <w:kern w:val="0"/>
                <w:sz w:val="24"/>
              </w:rPr>
            </w:pPr>
            <w:r>
              <w:rPr>
                <w:rFonts w:hint="eastAsia" w:hAnsi="宋体" w:cs="宋体"/>
                <w:bCs/>
                <w:color w:val="000000"/>
                <w:kern w:val="0"/>
                <w:sz w:val="24"/>
              </w:rPr>
              <w:t>必要性</w:t>
            </w:r>
          </w:p>
        </w:tc>
        <w:tc>
          <w:tcPr>
            <w:tcW w:w="709" w:type="dxa"/>
            <w:noWrap w:val="0"/>
            <w:vAlign w:val="center"/>
          </w:tcPr>
          <w:p w14:paraId="75A0B98B">
            <w:pPr>
              <w:widowControl/>
              <w:spacing w:line="360" w:lineRule="exact"/>
              <w:ind w:firstLine="0" w:firstLineChars="0"/>
              <w:jc w:val="center"/>
              <w:rPr>
                <w:rFonts w:hint="eastAsia" w:hAnsi="宋体" w:cs="宋体"/>
                <w:bCs/>
                <w:color w:val="000000"/>
                <w:kern w:val="0"/>
                <w:sz w:val="24"/>
              </w:rPr>
            </w:pPr>
            <w:r>
              <w:rPr>
                <w:rFonts w:hint="eastAsia" w:hAnsi="宋体" w:cs="宋体"/>
                <w:bCs/>
                <w:color w:val="000000"/>
                <w:kern w:val="0"/>
                <w:sz w:val="24"/>
              </w:rPr>
              <w:t>5</w:t>
            </w:r>
          </w:p>
        </w:tc>
        <w:tc>
          <w:tcPr>
            <w:tcW w:w="3685" w:type="dxa"/>
            <w:noWrap w:val="0"/>
            <w:vAlign w:val="center"/>
          </w:tcPr>
          <w:p w14:paraId="3E55A916">
            <w:pPr>
              <w:widowControl/>
              <w:spacing w:line="360" w:lineRule="exact"/>
              <w:ind w:firstLine="0" w:firstLineChars="0"/>
              <w:jc w:val="center"/>
              <w:rPr>
                <w:rFonts w:hint="eastAsia" w:hAnsi="宋体" w:cs="宋体"/>
                <w:bCs/>
                <w:color w:val="000000"/>
                <w:kern w:val="0"/>
                <w:sz w:val="24"/>
              </w:rPr>
            </w:pPr>
            <w:r>
              <w:rPr>
                <w:rFonts w:hint="eastAsia" w:hAnsi="宋体" w:cs="宋体"/>
                <w:bCs/>
                <w:color w:val="000000"/>
                <w:kern w:val="0"/>
                <w:sz w:val="24"/>
              </w:rPr>
              <w:t>反映和考核项目立项的依据情况</w:t>
            </w:r>
          </w:p>
        </w:tc>
        <w:tc>
          <w:tcPr>
            <w:tcW w:w="2693" w:type="dxa"/>
            <w:noWrap w:val="0"/>
            <w:vAlign w:val="center"/>
          </w:tcPr>
          <w:p w14:paraId="3975CCAE">
            <w:pPr>
              <w:widowControl/>
              <w:spacing w:line="360" w:lineRule="exact"/>
              <w:ind w:firstLine="0" w:firstLineChars="0"/>
              <w:jc w:val="center"/>
              <w:rPr>
                <w:rFonts w:hint="eastAsia" w:hAnsi="宋体" w:cs="宋体"/>
                <w:bCs/>
                <w:color w:val="000000"/>
                <w:kern w:val="0"/>
                <w:sz w:val="24"/>
              </w:rPr>
            </w:pPr>
            <w:r>
              <w:rPr>
                <w:rFonts w:hint="eastAsia" w:hAnsi="宋体" w:cs="宋体"/>
                <w:bCs/>
                <w:color w:val="000000"/>
                <w:kern w:val="0"/>
                <w:sz w:val="24"/>
              </w:rPr>
              <w:t>《湖北省省级预算绩效目标管理暂行办法》、</w:t>
            </w:r>
          </w:p>
          <w:p w14:paraId="272319CC">
            <w:pPr>
              <w:spacing w:line="360" w:lineRule="exact"/>
              <w:ind w:firstLine="480"/>
              <w:jc w:val="center"/>
              <w:rPr>
                <w:rFonts w:hint="eastAsia" w:hAnsi="宋体" w:cs="宋体"/>
                <w:bCs/>
                <w:color w:val="000000"/>
                <w:kern w:val="0"/>
                <w:sz w:val="24"/>
              </w:rPr>
            </w:pPr>
            <w:r>
              <w:rPr>
                <w:rFonts w:hint="eastAsia" w:hAnsi="宋体" w:cs="宋体"/>
                <w:bCs/>
                <w:color w:val="000000"/>
                <w:kern w:val="0"/>
                <w:sz w:val="24"/>
              </w:rPr>
              <w:t>同行业参考</w:t>
            </w:r>
          </w:p>
        </w:tc>
        <w:tc>
          <w:tcPr>
            <w:tcW w:w="3342" w:type="dxa"/>
            <w:noWrap w:val="0"/>
            <w:vAlign w:val="center"/>
          </w:tcPr>
          <w:p w14:paraId="46F8171D">
            <w:pPr>
              <w:widowControl/>
              <w:spacing w:line="360" w:lineRule="exact"/>
              <w:ind w:firstLine="0" w:firstLineChars="0"/>
              <w:jc w:val="left"/>
              <w:rPr>
                <w:rFonts w:hint="eastAsia" w:hAnsi="宋体" w:cs="宋体"/>
                <w:bCs/>
                <w:color w:val="000000"/>
                <w:kern w:val="0"/>
                <w:sz w:val="24"/>
              </w:rPr>
            </w:pPr>
            <w:r>
              <w:rPr>
                <w:rFonts w:hint="eastAsia" w:hAnsi="宋体" w:cs="宋体"/>
                <w:bCs/>
                <w:color w:val="000000"/>
                <w:kern w:val="0"/>
                <w:sz w:val="24"/>
              </w:rPr>
              <w:t xml:space="preserve">项目立项是否属于地方财政资金事权范围，支出是否必要、条件充分，满分5分； </w:t>
            </w:r>
          </w:p>
        </w:tc>
      </w:tr>
      <w:tr w14:paraId="0360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36" w:type="dxa"/>
            <w:vMerge w:val="continue"/>
            <w:noWrap w:val="0"/>
            <w:vAlign w:val="center"/>
          </w:tcPr>
          <w:p w14:paraId="3282B075">
            <w:pPr>
              <w:widowControl/>
              <w:spacing w:line="360" w:lineRule="exact"/>
              <w:ind w:firstLine="0" w:firstLineChars="0"/>
              <w:jc w:val="center"/>
              <w:rPr>
                <w:rFonts w:hAnsi="宋体" w:cs="宋体"/>
                <w:color w:val="000000"/>
                <w:kern w:val="0"/>
                <w:sz w:val="24"/>
              </w:rPr>
            </w:pPr>
          </w:p>
        </w:tc>
        <w:tc>
          <w:tcPr>
            <w:tcW w:w="825" w:type="dxa"/>
            <w:noWrap w:val="0"/>
            <w:vAlign w:val="center"/>
          </w:tcPr>
          <w:p w14:paraId="211C8E83">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绩效目标</w:t>
            </w:r>
          </w:p>
        </w:tc>
        <w:tc>
          <w:tcPr>
            <w:tcW w:w="1217" w:type="dxa"/>
            <w:noWrap w:val="0"/>
            <w:vAlign w:val="center"/>
          </w:tcPr>
          <w:p w14:paraId="73A27D5E">
            <w:pPr>
              <w:widowControl/>
              <w:spacing w:line="360" w:lineRule="exact"/>
              <w:ind w:firstLine="0" w:firstLineChars="0"/>
              <w:jc w:val="center"/>
              <w:rPr>
                <w:rFonts w:hint="eastAsia" w:hAnsi="宋体" w:cs="宋体"/>
                <w:color w:val="000000"/>
                <w:kern w:val="0"/>
                <w:sz w:val="24"/>
              </w:rPr>
            </w:pPr>
            <w:r>
              <w:rPr>
                <w:rFonts w:hint="eastAsia" w:hAnsi="宋体" w:cs="宋体"/>
                <w:color w:val="000000"/>
                <w:kern w:val="0"/>
                <w:sz w:val="24"/>
              </w:rPr>
              <w:t>目标</w:t>
            </w:r>
          </w:p>
          <w:p w14:paraId="1650AA43">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合理性</w:t>
            </w:r>
          </w:p>
        </w:tc>
        <w:tc>
          <w:tcPr>
            <w:tcW w:w="709" w:type="dxa"/>
            <w:noWrap w:val="0"/>
            <w:vAlign w:val="center"/>
          </w:tcPr>
          <w:p w14:paraId="7B69CC66">
            <w:pPr>
              <w:widowControl/>
              <w:spacing w:line="360" w:lineRule="exact"/>
              <w:ind w:firstLine="0" w:firstLineChars="0"/>
              <w:jc w:val="center"/>
              <w:rPr>
                <w:rFonts w:hAnsi="宋体" w:cs="宋体"/>
                <w:color w:val="000000"/>
                <w:kern w:val="0"/>
                <w:sz w:val="24"/>
              </w:rPr>
            </w:pPr>
            <w:r>
              <w:rPr>
                <w:rFonts w:hint="eastAsia" w:hAnsi="宋体" w:cs="宋体"/>
                <w:bCs/>
                <w:color w:val="000000"/>
                <w:kern w:val="0"/>
                <w:sz w:val="24"/>
              </w:rPr>
              <w:t>5</w:t>
            </w:r>
          </w:p>
        </w:tc>
        <w:tc>
          <w:tcPr>
            <w:tcW w:w="3685" w:type="dxa"/>
            <w:noWrap w:val="0"/>
            <w:vAlign w:val="center"/>
          </w:tcPr>
          <w:p w14:paraId="236D4F48">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考察项目是否设立了绩效目标，以及绩效目标是否具体、可度量、可达成、具有相关性和时限性</w:t>
            </w:r>
          </w:p>
        </w:tc>
        <w:tc>
          <w:tcPr>
            <w:tcW w:w="2693" w:type="dxa"/>
            <w:noWrap w:val="0"/>
            <w:vAlign w:val="center"/>
          </w:tcPr>
          <w:p w14:paraId="48EB7929">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《湖北省省级预算绩效目标管理暂行办法》</w:t>
            </w:r>
          </w:p>
        </w:tc>
        <w:tc>
          <w:tcPr>
            <w:tcW w:w="3342" w:type="dxa"/>
            <w:noWrap w:val="0"/>
            <w:vAlign w:val="center"/>
          </w:tcPr>
          <w:p w14:paraId="7DA77655">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绩效目标和指标的设置符合具体原则2分、具有相关性2分；合理性1分。</w:t>
            </w:r>
          </w:p>
        </w:tc>
      </w:tr>
      <w:tr w14:paraId="6BBF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36" w:type="dxa"/>
            <w:vMerge w:val="restart"/>
            <w:noWrap w:val="0"/>
            <w:vAlign w:val="center"/>
          </w:tcPr>
          <w:p w14:paraId="44301E54">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项目过程</w:t>
            </w:r>
          </w:p>
        </w:tc>
        <w:tc>
          <w:tcPr>
            <w:tcW w:w="825" w:type="dxa"/>
            <w:vMerge w:val="restart"/>
            <w:noWrap w:val="0"/>
            <w:vAlign w:val="center"/>
          </w:tcPr>
          <w:p w14:paraId="4932FB3C">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项目管理</w:t>
            </w:r>
          </w:p>
        </w:tc>
        <w:tc>
          <w:tcPr>
            <w:tcW w:w="1217" w:type="dxa"/>
            <w:noWrap w:val="0"/>
            <w:vAlign w:val="center"/>
          </w:tcPr>
          <w:p w14:paraId="2A0E2F0F">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管理制度健全性</w:t>
            </w:r>
          </w:p>
        </w:tc>
        <w:tc>
          <w:tcPr>
            <w:tcW w:w="709" w:type="dxa"/>
            <w:noWrap w:val="0"/>
            <w:vAlign w:val="center"/>
          </w:tcPr>
          <w:p w14:paraId="450C1CCA">
            <w:pPr>
              <w:widowControl/>
              <w:spacing w:line="360" w:lineRule="exact"/>
              <w:ind w:firstLine="0" w:firstLineChars="0"/>
              <w:jc w:val="center"/>
              <w:rPr>
                <w:rFonts w:hAnsi="宋体" w:cs="宋体"/>
                <w:color w:val="000000"/>
                <w:kern w:val="0"/>
                <w:sz w:val="24"/>
              </w:rPr>
            </w:pPr>
            <w:r>
              <w:rPr>
                <w:rFonts w:hint="eastAsia" w:hAnsi="宋体" w:cs="宋体"/>
                <w:bCs/>
                <w:color w:val="000000"/>
                <w:kern w:val="0"/>
                <w:sz w:val="24"/>
              </w:rPr>
              <w:t>5</w:t>
            </w:r>
          </w:p>
        </w:tc>
        <w:tc>
          <w:tcPr>
            <w:tcW w:w="3685" w:type="dxa"/>
            <w:noWrap w:val="0"/>
            <w:vAlign w:val="center"/>
          </w:tcPr>
          <w:p w14:paraId="6C5FA7C1">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是否制定保障项目顺利实施的项目管理制度且是否符合规范要求</w:t>
            </w:r>
          </w:p>
        </w:tc>
        <w:tc>
          <w:tcPr>
            <w:tcW w:w="2693" w:type="dxa"/>
            <w:vMerge w:val="restart"/>
            <w:noWrap w:val="0"/>
            <w:vAlign w:val="center"/>
          </w:tcPr>
          <w:p w14:paraId="0C532E4E">
            <w:pPr>
              <w:widowControl/>
              <w:spacing w:line="360" w:lineRule="exact"/>
              <w:ind w:firstLine="0" w:firstLineChars="0"/>
              <w:jc w:val="left"/>
              <w:rPr>
                <w:rFonts w:hint="eastAsia" w:hAnsi="宋体" w:cs="宋体"/>
                <w:color w:val="000000"/>
                <w:kern w:val="0"/>
                <w:sz w:val="24"/>
              </w:rPr>
            </w:pPr>
            <w:r>
              <w:rPr>
                <w:rFonts w:hint="eastAsia" w:hAnsi="宋体" w:cs="宋体"/>
                <w:color w:val="000000"/>
                <w:kern w:val="0"/>
                <w:sz w:val="24"/>
              </w:rPr>
              <w:t>《中华人民共和国预算法》（2014年修正）</w:t>
            </w:r>
          </w:p>
          <w:p w14:paraId="4F40A415">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《财政预算资金拨付管理暂行办法》</w:t>
            </w:r>
          </w:p>
          <w:p w14:paraId="513C66C1">
            <w:pPr>
              <w:widowControl/>
              <w:spacing w:line="360" w:lineRule="exact"/>
              <w:ind w:firstLine="0" w:firstLineChars="0"/>
              <w:jc w:val="left"/>
              <w:rPr>
                <w:rFonts w:hint="eastAsia" w:hAnsi="宋体" w:cs="宋体"/>
                <w:color w:val="000000"/>
                <w:kern w:val="0"/>
                <w:sz w:val="24"/>
              </w:rPr>
            </w:pPr>
            <w:r>
              <w:rPr>
                <w:rFonts w:hint="eastAsia" w:hAnsi="宋体" w:cs="宋体"/>
                <w:color w:val="000000"/>
                <w:kern w:val="0"/>
                <w:sz w:val="24"/>
              </w:rPr>
              <w:t>《政府会计制度》</w:t>
            </w:r>
          </w:p>
          <w:p w14:paraId="290A1BED">
            <w:pPr>
              <w:widowControl/>
              <w:spacing w:line="360" w:lineRule="exact"/>
              <w:ind w:firstLine="0" w:firstLineChars="0"/>
              <w:jc w:val="left"/>
              <w:rPr>
                <w:rFonts w:hint="eastAsia" w:hAnsi="宋体" w:cs="宋体"/>
                <w:color w:val="000000"/>
                <w:kern w:val="0"/>
                <w:sz w:val="24"/>
              </w:rPr>
            </w:pPr>
            <w:r>
              <w:rPr>
                <w:rFonts w:hint="eastAsia" w:hAnsi="宋体" w:cs="宋体"/>
                <w:color w:val="000000"/>
                <w:kern w:val="0"/>
                <w:sz w:val="24"/>
              </w:rPr>
              <w:t>《行政事业单位会计制度》</w:t>
            </w:r>
          </w:p>
          <w:p w14:paraId="1D416C64">
            <w:pPr>
              <w:widowControl/>
              <w:spacing w:line="360" w:lineRule="exact"/>
              <w:ind w:firstLine="0" w:firstLineChars="0"/>
              <w:jc w:val="left"/>
              <w:rPr>
                <w:rFonts w:hint="eastAsia" w:hAnsi="宋体" w:cs="宋体"/>
                <w:color w:val="000000"/>
                <w:kern w:val="0"/>
                <w:sz w:val="24"/>
              </w:rPr>
            </w:pPr>
            <w:r>
              <w:rPr>
                <w:rFonts w:hint="eastAsia" w:hAnsi="宋体" w:cs="宋体"/>
                <w:color w:val="000000"/>
                <w:kern w:val="0"/>
                <w:sz w:val="24"/>
              </w:rPr>
              <w:t>《行政事业单位内部控制规范（试行）》</w:t>
            </w:r>
          </w:p>
        </w:tc>
        <w:tc>
          <w:tcPr>
            <w:tcW w:w="3342" w:type="dxa"/>
            <w:noWrap w:val="0"/>
            <w:vAlign w:val="center"/>
          </w:tcPr>
          <w:p w14:paraId="6FAA1F4B">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评价为规范得5分、基本健全得3分，不健全不得分。</w:t>
            </w:r>
          </w:p>
        </w:tc>
      </w:tr>
      <w:tr w14:paraId="49B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36" w:type="dxa"/>
            <w:vMerge w:val="continue"/>
            <w:noWrap w:val="0"/>
            <w:vAlign w:val="center"/>
          </w:tcPr>
          <w:p w14:paraId="48075086">
            <w:pPr>
              <w:widowControl/>
              <w:spacing w:line="360" w:lineRule="exact"/>
              <w:ind w:firstLine="0" w:firstLineChars="0"/>
              <w:jc w:val="center"/>
              <w:rPr>
                <w:rFonts w:hint="eastAsia" w:hAnsi="宋体" w:cs="宋体"/>
                <w:color w:val="000000"/>
                <w:kern w:val="0"/>
                <w:sz w:val="24"/>
              </w:rPr>
            </w:pPr>
          </w:p>
        </w:tc>
        <w:tc>
          <w:tcPr>
            <w:tcW w:w="825" w:type="dxa"/>
            <w:vMerge w:val="continue"/>
            <w:noWrap w:val="0"/>
            <w:vAlign w:val="center"/>
          </w:tcPr>
          <w:p w14:paraId="1BE53828">
            <w:pPr>
              <w:widowControl/>
              <w:spacing w:line="360" w:lineRule="exact"/>
              <w:ind w:firstLine="0" w:firstLineChars="0"/>
              <w:jc w:val="center"/>
              <w:rPr>
                <w:rFonts w:hAnsi="宋体" w:cs="宋体"/>
                <w:color w:val="000000"/>
                <w:kern w:val="0"/>
                <w:sz w:val="24"/>
              </w:rPr>
            </w:pPr>
          </w:p>
        </w:tc>
        <w:tc>
          <w:tcPr>
            <w:tcW w:w="1217" w:type="dxa"/>
            <w:noWrap w:val="0"/>
            <w:vAlign w:val="center"/>
          </w:tcPr>
          <w:p w14:paraId="6756A880">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制度执行有效性</w:t>
            </w:r>
          </w:p>
        </w:tc>
        <w:tc>
          <w:tcPr>
            <w:tcW w:w="709" w:type="dxa"/>
            <w:noWrap w:val="0"/>
            <w:vAlign w:val="center"/>
          </w:tcPr>
          <w:p w14:paraId="5B40C95A">
            <w:pPr>
              <w:widowControl/>
              <w:spacing w:line="360" w:lineRule="exact"/>
              <w:ind w:firstLine="0" w:firstLineChars="0"/>
              <w:jc w:val="center"/>
              <w:rPr>
                <w:rFonts w:hAnsi="宋体" w:cs="宋体"/>
                <w:color w:val="000000"/>
                <w:kern w:val="0"/>
                <w:sz w:val="24"/>
              </w:rPr>
            </w:pPr>
            <w:r>
              <w:rPr>
                <w:rFonts w:hint="eastAsia" w:hAnsi="宋体" w:cs="宋体"/>
                <w:bCs/>
                <w:color w:val="000000"/>
                <w:kern w:val="0"/>
                <w:sz w:val="24"/>
              </w:rPr>
              <w:t>5</w:t>
            </w:r>
          </w:p>
        </w:tc>
        <w:tc>
          <w:tcPr>
            <w:tcW w:w="3685" w:type="dxa"/>
            <w:noWrap w:val="0"/>
            <w:vAlign w:val="center"/>
          </w:tcPr>
          <w:p w14:paraId="08B24449">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项目实施过程是否按相关项目管理制度规定执行</w:t>
            </w:r>
          </w:p>
        </w:tc>
        <w:tc>
          <w:tcPr>
            <w:tcW w:w="2693" w:type="dxa"/>
            <w:vMerge w:val="continue"/>
            <w:noWrap w:val="0"/>
            <w:vAlign w:val="center"/>
          </w:tcPr>
          <w:p w14:paraId="03F7CEF0">
            <w:pPr>
              <w:widowControl/>
              <w:spacing w:line="360" w:lineRule="exact"/>
              <w:ind w:firstLine="0" w:firstLineChars="0"/>
              <w:jc w:val="left"/>
              <w:rPr>
                <w:rFonts w:hint="eastAsia" w:hAnsi="宋体" w:cs="宋体"/>
                <w:color w:val="000000"/>
                <w:kern w:val="0"/>
                <w:sz w:val="24"/>
              </w:rPr>
            </w:pPr>
          </w:p>
        </w:tc>
        <w:tc>
          <w:tcPr>
            <w:tcW w:w="3342" w:type="dxa"/>
            <w:noWrap w:val="0"/>
            <w:vAlign w:val="center"/>
          </w:tcPr>
          <w:p w14:paraId="6AED29EB">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严格执行项目管理制度与流程满分；未按制度规定执行不得分。</w:t>
            </w:r>
          </w:p>
        </w:tc>
      </w:tr>
      <w:tr w14:paraId="6276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36" w:type="dxa"/>
            <w:vMerge w:val="continue"/>
            <w:noWrap w:val="0"/>
            <w:vAlign w:val="center"/>
          </w:tcPr>
          <w:p w14:paraId="2332783C">
            <w:pPr>
              <w:widowControl/>
              <w:spacing w:line="360" w:lineRule="exact"/>
              <w:ind w:firstLine="0" w:firstLineChars="0"/>
              <w:jc w:val="center"/>
              <w:rPr>
                <w:rFonts w:hint="eastAsia" w:hAnsi="宋体" w:cs="宋体"/>
                <w:color w:val="000000"/>
                <w:kern w:val="0"/>
                <w:sz w:val="24"/>
              </w:rPr>
            </w:pPr>
          </w:p>
        </w:tc>
        <w:tc>
          <w:tcPr>
            <w:tcW w:w="825" w:type="dxa"/>
            <w:vMerge w:val="restart"/>
            <w:noWrap w:val="0"/>
            <w:vAlign w:val="center"/>
          </w:tcPr>
          <w:p w14:paraId="06918769">
            <w:pPr>
              <w:spacing w:line="360" w:lineRule="exact"/>
              <w:ind w:firstLine="0" w:firstLineChars="0"/>
              <w:rPr>
                <w:rFonts w:hint="eastAsia" w:hAnsi="宋体" w:cs="宋体"/>
                <w:color w:val="000000"/>
                <w:kern w:val="0"/>
                <w:sz w:val="24"/>
              </w:rPr>
            </w:pPr>
            <w:r>
              <w:rPr>
                <w:rFonts w:hint="eastAsia" w:hAnsi="宋体" w:cs="宋体"/>
                <w:color w:val="000000"/>
                <w:kern w:val="0"/>
                <w:sz w:val="24"/>
              </w:rPr>
              <w:t>资金管理</w:t>
            </w:r>
          </w:p>
        </w:tc>
        <w:tc>
          <w:tcPr>
            <w:tcW w:w="1217" w:type="dxa"/>
            <w:noWrap w:val="0"/>
            <w:vAlign w:val="center"/>
          </w:tcPr>
          <w:p w14:paraId="00DF5A46">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资金到位率</w:t>
            </w:r>
          </w:p>
        </w:tc>
        <w:tc>
          <w:tcPr>
            <w:tcW w:w="709" w:type="dxa"/>
            <w:noWrap w:val="0"/>
            <w:vAlign w:val="center"/>
          </w:tcPr>
          <w:p w14:paraId="152DFDEF">
            <w:pPr>
              <w:widowControl/>
              <w:spacing w:line="360" w:lineRule="exact"/>
              <w:ind w:firstLine="0" w:firstLineChars="0"/>
              <w:jc w:val="center"/>
              <w:rPr>
                <w:rFonts w:hAnsi="宋体" w:cs="宋体"/>
                <w:color w:val="000000"/>
                <w:kern w:val="0"/>
                <w:sz w:val="24"/>
              </w:rPr>
            </w:pPr>
            <w:r>
              <w:rPr>
                <w:rFonts w:hint="eastAsia" w:hAnsi="宋体" w:cs="宋体"/>
                <w:bCs/>
                <w:color w:val="000000"/>
                <w:kern w:val="0"/>
                <w:sz w:val="24"/>
              </w:rPr>
              <w:t>5</w:t>
            </w:r>
          </w:p>
        </w:tc>
        <w:tc>
          <w:tcPr>
            <w:tcW w:w="3685" w:type="dxa"/>
            <w:noWrap w:val="0"/>
            <w:vAlign w:val="center"/>
          </w:tcPr>
          <w:p w14:paraId="7F7A57A6">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实际到位资金与计划投入资金的比率，反映资金落实情况对项目实施的总体保障程度</w:t>
            </w:r>
          </w:p>
        </w:tc>
        <w:tc>
          <w:tcPr>
            <w:tcW w:w="2693" w:type="dxa"/>
            <w:vMerge w:val="continue"/>
            <w:noWrap w:val="0"/>
            <w:vAlign w:val="center"/>
          </w:tcPr>
          <w:p w14:paraId="5BE625C5">
            <w:pPr>
              <w:widowControl/>
              <w:spacing w:line="360" w:lineRule="exact"/>
              <w:ind w:firstLine="0" w:firstLineChars="0"/>
              <w:jc w:val="left"/>
              <w:rPr>
                <w:rFonts w:hint="eastAsia" w:hAnsi="宋体" w:cs="宋体"/>
                <w:color w:val="000000"/>
                <w:kern w:val="0"/>
                <w:sz w:val="24"/>
              </w:rPr>
            </w:pPr>
          </w:p>
        </w:tc>
        <w:tc>
          <w:tcPr>
            <w:tcW w:w="3342" w:type="dxa"/>
            <w:noWrap w:val="0"/>
            <w:vAlign w:val="center"/>
          </w:tcPr>
          <w:p w14:paraId="7C9D0401">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到位率≥95%得5分；≥90%得3分；小于90%不得分</w:t>
            </w:r>
          </w:p>
        </w:tc>
      </w:tr>
      <w:tr w14:paraId="4E7C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36" w:type="dxa"/>
            <w:vMerge w:val="continue"/>
            <w:noWrap w:val="0"/>
            <w:vAlign w:val="center"/>
          </w:tcPr>
          <w:p w14:paraId="44B38613">
            <w:pPr>
              <w:widowControl/>
              <w:spacing w:line="360" w:lineRule="exact"/>
              <w:ind w:firstLine="0" w:firstLineChars="0"/>
              <w:jc w:val="center"/>
              <w:rPr>
                <w:rFonts w:hAnsi="宋体" w:cs="宋体"/>
                <w:color w:val="000000"/>
                <w:kern w:val="0"/>
                <w:sz w:val="24"/>
              </w:rPr>
            </w:pPr>
          </w:p>
        </w:tc>
        <w:tc>
          <w:tcPr>
            <w:tcW w:w="825" w:type="dxa"/>
            <w:vMerge w:val="continue"/>
            <w:noWrap w:val="0"/>
            <w:vAlign w:val="center"/>
          </w:tcPr>
          <w:p w14:paraId="61715BE1">
            <w:pPr>
              <w:widowControl/>
              <w:spacing w:line="360" w:lineRule="exact"/>
              <w:ind w:firstLine="0" w:firstLineChars="0"/>
              <w:jc w:val="center"/>
              <w:rPr>
                <w:rFonts w:hAnsi="宋体" w:cs="宋体"/>
                <w:color w:val="000000"/>
                <w:kern w:val="0"/>
                <w:sz w:val="24"/>
              </w:rPr>
            </w:pPr>
          </w:p>
        </w:tc>
        <w:tc>
          <w:tcPr>
            <w:tcW w:w="1217" w:type="dxa"/>
            <w:noWrap w:val="0"/>
            <w:vAlign w:val="center"/>
          </w:tcPr>
          <w:p w14:paraId="5F8270C4">
            <w:pPr>
              <w:widowControl/>
              <w:spacing w:line="360" w:lineRule="exact"/>
              <w:ind w:firstLine="0" w:firstLineChars="0"/>
              <w:jc w:val="center"/>
              <w:rPr>
                <w:rFonts w:hAnsi="宋体" w:cs="宋体"/>
                <w:color w:val="000000"/>
                <w:kern w:val="0"/>
                <w:sz w:val="24"/>
              </w:rPr>
            </w:pPr>
            <w:r>
              <w:rPr>
                <w:rFonts w:hint="eastAsia" w:hAnsi="宋体" w:cs="宋体"/>
                <w:color w:val="000000"/>
                <w:kern w:val="0"/>
                <w:sz w:val="24"/>
              </w:rPr>
              <w:t>资金使用合理合规性</w:t>
            </w:r>
          </w:p>
        </w:tc>
        <w:tc>
          <w:tcPr>
            <w:tcW w:w="709" w:type="dxa"/>
            <w:noWrap w:val="0"/>
            <w:vAlign w:val="center"/>
          </w:tcPr>
          <w:p w14:paraId="79E78CB4">
            <w:pPr>
              <w:widowControl/>
              <w:spacing w:line="360" w:lineRule="exact"/>
              <w:ind w:firstLine="0" w:firstLineChars="0"/>
              <w:jc w:val="center"/>
              <w:rPr>
                <w:rFonts w:hAnsi="宋体" w:cs="宋体"/>
                <w:color w:val="000000"/>
                <w:kern w:val="0"/>
                <w:sz w:val="24"/>
              </w:rPr>
            </w:pPr>
            <w:r>
              <w:rPr>
                <w:rFonts w:hint="eastAsia" w:hAnsi="宋体" w:cs="宋体"/>
                <w:bCs/>
                <w:color w:val="000000"/>
                <w:kern w:val="0"/>
                <w:sz w:val="24"/>
              </w:rPr>
              <w:t>5</w:t>
            </w:r>
          </w:p>
        </w:tc>
        <w:tc>
          <w:tcPr>
            <w:tcW w:w="3685" w:type="dxa"/>
            <w:noWrap w:val="0"/>
            <w:vAlign w:val="center"/>
          </w:tcPr>
          <w:p w14:paraId="3AED57AD">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项目资金使用是否符合相关的财务管理制度规定，反映项目资金的规范运行情况</w:t>
            </w:r>
          </w:p>
        </w:tc>
        <w:tc>
          <w:tcPr>
            <w:tcW w:w="2693" w:type="dxa"/>
            <w:vMerge w:val="continue"/>
            <w:noWrap w:val="0"/>
            <w:vAlign w:val="center"/>
          </w:tcPr>
          <w:p w14:paraId="045C4B9C">
            <w:pPr>
              <w:widowControl/>
              <w:spacing w:line="360" w:lineRule="exact"/>
              <w:ind w:firstLine="0" w:firstLineChars="0"/>
              <w:jc w:val="left"/>
              <w:rPr>
                <w:rFonts w:hAnsi="宋体" w:cs="宋体"/>
                <w:color w:val="000000"/>
                <w:kern w:val="0"/>
                <w:sz w:val="24"/>
              </w:rPr>
            </w:pPr>
          </w:p>
        </w:tc>
        <w:tc>
          <w:tcPr>
            <w:tcW w:w="3342" w:type="dxa"/>
            <w:noWrap w:val="0"/>
            <w:vAlign w:val="center"/>
          </w:tcPr>
          <w:p w14:paraId="5EE6D41F">
            <w:pPr>
              <w:widowControl/>
              <w:spacing w:line="360" w:lineRule="exact"/>
              <w:ind w:firstLine="0" w:firstLineChars="0"/>
              <w:jc w:val="left"/>
              <w:rPr>
                <w:rFonts w:hAnsi="宋体" w:cs="宋体"/>
                <w:color w:val="000000"/>
                <w:kern w:val="0"/>
                <w:sz w:val="24"/>
              </w:rPr>
            </w:pPr>
            <w:r>
              <w:rPr>
                <w:rFonts w:hint="eastAsia" w:hAnsi="宋体" w:cs="宋体"/>
                <w:color w:val="000000"/>
                <w:kern w:val="0"/>
                <w:sz w:val="24"/>
              </w:rPr>
              <w:t>项目资金使用合理3分；资金使用合规2分</w:t>
            </w:r>
          </w:p>
        </w:tc>
      </w:tr>
    </w:tbl>
    <w:p w14:paraId="158282D7">
      <w:pPr>
        <w:ind w:firstLine="640"/>
        <w:rPr>
          <w:rFonts w:hint="eastAsia" w:hAnsi="宋体" w:cs="宋体"/>
          <w:color w:val="000000"/>
          <w:kern w:val="0"/>
          <w:szCs w:val="21"/>
        </w:rPr>
      </w:pPr>
      <w:r>
        <w:rPr>
          <w:rFonts w:hint="eastAsia"/>
          <w:color w:val="000000"/>
        </w:rPr>
        <w:t>2.2.5.1.2产出指标和效益指标（权重分值60分）</w:t>
      </w:r>
    </w:p>
    <w:tbl>
      <w:tblPr>
        <w:tblStyle w:val="11"/>
        <w:tblW w:w="12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736"/>
        <w:gridCol w:w="3827"/>
        <w:gridCol w:w="709"/>
        <w:gridCol w:w="5491"/>
        <w:gridCol w:w="709"/>
        <w:gridCol w:w="709"/>
      </w:tblGrid>
      <w:tr w14:paraId="5E34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0" w:type="dxa"/>
            <w:noWrap w:val="0"/>
            <w:vAlign w:val="center"/>
          </w:tcPr>
          <w:p w14:paraId="1EDC8A84">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一级指标</w:t>
            </w:r>
          </w:p>
        </w:tc>
        <w:tc>
          <w:tcPr>
            <w:tcW w:w="736" w:type="dxa"/>
            <w:noWrap w:val="0"/>
            <w:vAlign w:val="center"/>
          </w:tcPr>
          <w:p w14:paraId="69DBAD03">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二级指标</w:t>
            </w:r>
          </w:p>
        </w:tc>
        <w:tc>
          <w:tcPr>
            <w:tcW w:w="3827" w:type="dxa"/>
            <w:noWrap w:val="0"/>
            <w:vAlign w:val="center"/>
          </w:tcPr>
          <w:p w14:paraId="18B61B8E">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三级指标</w:t>
            </w:r>
          </w:p>
        </w:tc>
        <w:tc>
          <w:tcPr>
            <w:tcW w:w="709" w:type="dxa"/>
            <w:noWrap w:val="0"/>
            <w:vAlign w:val="center"/>
          </w:tcPr>
          <w:p w14:paraId="24BDD1E1">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分</w:t>
            </w:r>
          </w:p>
          <w:p w14:paraId="5622A744">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值</w:t>
            </w:r>
          </w:p>
        </w:tc>
        <w:tc>
          <w:tcPr>
            <w:tcW w:w="5491" w:type="dxa"/>
            <w:noWrap w:val="0"/>
            <w:vAlign w:val="center"/>
          </w:tcPr>
          <w:p w14:paraId="43E4D51D">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指标解释</w:t>
            </w:r>
          </w:p>
        </w:tc>
        <w:tc>
          <w:tcPr>
            <w:tcW w:w="709" w:type="dxa"/>
            <w:noWrap w:val="0"/>
            <w:vAlign w:val="top"/>
          </w:tcPr>
          <w:p w14:paraId="6E33067D">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评价标准</w:t>
            </w:r>
          </w:p>
        </w:tc>
        <w:tc>
          <w:tcPr>
            <w:tcW w:w="709" w:type="dxa"/>
            <w:noWrap w:val="0"/>
            <w:vAlign w:val="center"/>
          </w:tcPr>
          <w:p w14:paraId="01A7E11B">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评分细则</w:t>
            </w:r>
          </w:p>
        </w:tc>
      </w:tr>
      <w:tr w14:paraId="5A1B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0" w:type="dxa"/>
            <w:vMerge w:val="restart"/>
            <w:noWrap w:val="0"/>
            <w:vAlign w:val="center"/>
          </w:tcPr>
          <w:p w14:paraId="6EC9A897">
            <w:pPr>
              <w:widowControl/>
              <w:spacing w:line="380" w:lineRule="exact"/>
              <w:ind w:firstLine="0" w:firstLineChars="0"/>
              <w:jc w:val="center"/>
              <w:rPr>
                <w:rFonts w:hint="eastAsia" w:ascii="宋体" w:hAnsi="宋体" w:cs="宋体"/>
                <w:color w:val="000000"/>
                <w:kern w:val="0"/>
                <w:sz w:val="24"/>
              </w:rPr>
            </w:pPr>
            <w:r>
              <w:rPr>
                <w:rFonts w:hint="eastAsia"/>
                <w:color w:val="000000"/>
                <w:sz w:val="24"/>
              </w:rPr>
              <w:t>产出指标</w:t>
            </w:r>
          </w:p>
        </w:tc>
        <w:tc>
          <w:tcPr>
            <w:tcW w:w="736" w:type="dxa"/>
            <w:vMerge w:val="restart"/>
            <w:noWrap w:val="0"/>
            <w:vAlign w:val="center"/>
          </w:tcPr>
          <w:p w14:paraId="197F87D6">
            <w:pPr>
              <w:widowControl/>
              <w:spacing w:line="380" w:lineRule="exact"/>
              <w:ind w:firstLine="0" w:firstLineChars="0"/>
              <w:jc w:val="center"/>
              <w:rPr>
                <w:rFonts w:ascii="宋体" w:hAnsi="宋体" w:cs="宋体"/>
                <w:color w:val="000000"/>
                <w:kern w:val="0"/>
                <w:sz w:val="24"/>
              </w:rPr>
            </w:pPr>
            <w:r>
              <w:rPr>
                <w:rFonts w:hint="eastAsia" w:ascii="宋体" w:hAnsi="宋体" w:cs="宋体"/>
                <w:color w:val="000000"/>
                <w:kern w:val="0"/>
                <w:sz w:val="24"/>
              </w:rPr>
              <w:t>数量指标</w:t>
            </w:r>
          </w:p>
        </w:tc>
        <w:tc>
          <w:tcPr>
            <w:tcW w:w="3827" w:type="dxa"/>
            <w:noWrap w:val="0"/>
            <w:vAlign w:val="top"/>
          </w:tcPr>
          <w:p w14:paraId="0F0FA006">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建成孵化器</w:t>
            </w:r>
          </w:p>
        </w:tc>
        <w:tc>
          <w:tcPr>
            <w:tcW w:w="709" w:type="dxa"/>
            <w:noWrap w:val="0"/>
            <w:vAlign w:val="center"/>
          </w:tcPr>
          <w:p w14:paraId="2FC5FF7B">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6</w:t>
            </w:r>
          </w:p>
        </w:tc>
        <w:tc>
          <w:tcPr>
            <w:tcW w:w="5491" w:type="dxa"/>
            <w:noWrap w:val="0"/>
            <w:vAlign w:val="center"/>
          </w:tcPr>
          <w:p w14:paraId="5162A0D7">
            <w:pPr>
              <w:widowControl/>
              <w:spacing w:line="380" w:lineRule="exact"/>
              <w:ind w:firstLine="0" w:firstLineChars="0"/>
              <w:rPr>
                <w:rFonts w:hAnsi="宋体" w:cs="宋体"/>
                <w:color w:val="000000"/>
                <w:kern w:val="0"/>
                <w:sz w:val="24"/>
              </w:rPr>
            </w:pPr>
            <w:r>
              <w:rPr>
                <w:rFonts w:hint="eastAsia" w:hAnsi="宋体" w:cs="宋体"/>
                <w:color w:val="000000"/>
                <w:kern w:val="0"/>
                <w:sz w:val="24"/>
              </w:rPr>
              <w:t>建成的不同专业技术的孵化器或平台数量</w:t>
            </w:r>
          </w:p>
        </w:tc>
        <w:tc>
          <w:tcPr>
            <w:tcW w:w="709" w:type="dxa"/>
            <w:vMerge w:val="restart"/>
            <w:noWrap w:val="0"/>
            <w:vAlign w:val="center"/>
          </w:tcPr>
          <w:p w14:paraId="67D0B53A">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协议约定</w:t>
            </w:r>
          </w:p>
        </w:tc>
        <w:tc>
          <w:tcPr>
            <w:tcW w:w="709" w:type="dxa"/>
            <w:vMerge w:val="restart"/>
            <w:noWrap w:val="0"/>
            <w:vAlign w:val="center"/>
          </w:tcPr>
          <w:p w14:paraId="06B04850">
            <w:pPr>
              <w:spacing w:line="380" w:lineRule="exact"/>
              <w:ind w:firstLine="0" w:firstLineChars="0"/>
              <w:rPr>
                <w:rFonts w:hAnsi="宋体" w:cs="宋体"/>
                <w:color w:val="000000"/>
                <w:kern w:val="0"/>
                <w:sz w:val="24"/>
              </w:rPr>
            </w:pPr>
            <w:r>
              <w:rPr>
                <w:rFonts w:hint="eastAsia" w:hAnsi="宋体" w:cs="宋体"/>
                <w:color w:val="000000"/>
                <w:kern w:val="0"/>
                <w:sz w:val="24"/>
              </w:rPr>
              <w:t>按完成率计分</w:t>
            </w:r>
          </w:p>
        </w:tc>
      </w:tr>
      <w:tr w14:paraId="7B48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0" w:type="dxa"/>
            <w:vMerge w:val="continue"/>
            <w:noWrap w:val="0"/>
            <w:vAlign w:val="center"/>
          </w:tcPr>
          <w:p w14:paraId="4F40A662">
            <w:pPr>
              <w:widowControl/>
              <w:spacing w:line="380" w:lineRule="exact"/>
              <w:ind w:firstLine="0" w:firstLineChars="0"/>
              <w:jc w:val="center"/>
              <w:rPr>
                <w:rFonts w:ascii="宋体" w:hAnsi="宋体" w:cs="宋体"/>
                <w:color w:val="000000"/>
                <w:kern w:val="0"/>
                <w:sz w:val="24"/>
              </w:rPr>
            </w:pPr>
          </w:p>
        </w:tc>
        <w:tc>
          <w:tcPr>
            <w:tcW w:w="736" w:type="dxa"/>
            <w:vMerge w:val="continue"/>
            <w:noWrap w:val="0"/>
            <w:vAlign w:val="center"/>
          </w:tcPr>
          <w:p w14:paraId="3E961B1F">
            <w:pPr>
              <w:widowControl/>
              <w:spacing w:line="380" w:lineRule="exact"/>
              <w:ind w:firstLine="0" w:firstLineChars="0"/>
              <w:jc w:val="center"/>
              <w:rPr>
                <w:rFonts w:ascii="宋体" w:hAnsi="宋体" w:cs="宋体"/>
                <w:color w:val="000000"/>
                <w:kern w:val="0"/>
                <w:sz w:val="24"/>
              </w:rPr>
            </w:pPr>
          </w:p>
        </w:tc>
        <w:tc>
          <w:tcPr>
            <w:tcW w:w="3827" w:type="dxa"/>
            <w:noWrap w:val="0"/>
            <w:vAlign w:val="top"/>
          </w:tcPr>
          <w:p w14:paraId="72704F06">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建成专业生产基地</w:t>
            </w:r>
          </w:p>
        </w:tc>
        <w:tc>
          <w:tcPr>
            <w:tcW w:w="709" w:type="dxa"/>
            <w:noWrap w:val="0"/>
            <w:vAlign w:val="center"/>
          </w:tcPr>
          <w:p w14:paraId="687E2971">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6</w:t>
            </w:r>
          </w:p>
        </w:tc>
        <w:tc>
          <w:tcPr>
            <w:tcW w:w="5491" w:type="dxa"/>
            <w:noWrap w:val="0"/>
            <w:vAlign w:val="center"/>
          </w:tcPr>
          <w:p w14:paraId="68934D03">
            <w:pPr>
              <w:widowControl/>
              <w:spacing w:line="380" w:lineRule="exact"/>
              <w:ind w:firstLine="0" w:firstLineChars="0"/>
              <w:jc w:val="left"/>
              <w:rPr>
                <w:rFonts w:hAnsi="宋体" w:cs="宋体"/>
                <w:color w:val="000000"/>
                <w:kern w:val="0"/>
                <w:sz w:val="24"/>
              </w:rPr>
            </w:pPr>
            <w:r>
              <w:rPr>
                <w:rFonts w:hint="eastAsia" w:hAnsi="宋体" w:cs="宋体"/>
                <w:color w:val="000000"/>
                <w:kern w:val="0"/>
                <w:sz w:val="24"/>
              </w:rPr>
              <w:t>建成的各类专业生产基地数量</w:t>
            </w:r>
          </w:p>
        </w:tc>
        <w:tc>
          <w:tcPr>
            <w:tcW w:w="709" w:type="dxa"/>
            <w:vMerge w:val="continue"/>
            <w:noWrap w:val="0"/>
            <w:vAlign w:val="top"/>
          </w:tcPr>
          <w:p w14:paraId="666FE14F">
            <w:pPr>
              <w:widowControl/>
              <w:spacing w:line="380" w:lineRule="exact"/>
              <w:ind w:firstLine="0" w:firstLineChars="0"/>
              <w:rPr>
                <w:rFonts w:hint="eastAsia" w:hAnsi="宋体" w:cs="宋体"/>
                <w:color w:val="000000"/>
                <w:kern w:val="0"/>
                <w:sz w:val="24"/>
              </w:rPr>
            </w:pPr>
          </w:p>
        </w:tc>
        <w:tc>
          <w:tcPr>
            <w:tcW w:w="709" w:type="dxa"/>
            <w:vMerge w:val="continue"/>
            <w:noWrap w:val="0"/>
            <w:vAlign w:val="center"/>
          </w:tcPr>
          <w:p w14:paraId="25D8CEF3">
            <w:pPr>
              <w:spacing w:line="380" w:lineRule="exact"/>
              <w:ind w:firstLine="480"/>
              <w:rPr>
                <w:rFonts w:hAnsi="宋体" w:cs="宋体"/>
                <w:color w:val="000000"/>
                <w:kern w:val="0"/>
                <w:sz w:val="24"/>
              </w:rPr>
            </w:pPr>
          </w:p>
        </w:tc>
      </w:tr>
      <w:tr w14:paraId="32F2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0" w:type="dxa"/>
            <w:vMerge w:val="continue"/>
            <w:noWrap w:val="0"/>
            <w:vAlign w:val="center"/>
          </w:tcPr>
          <w:p w14:paraId="78C4ACA0">
            <w:pPr>
              <w:widowControl/>
              <w:spacing w:line="380" w:lineRule="exact"/>
              <w:ind w:firstLine="0" w:firstLineChars="0"/>
              <w:jc w:val="center"/>
              <w:rPr>
                <w:rFonts w:ascii="宋体" w:hAnsi="宋体" w:cs="宋体"/>
                <w:color w:val="000000"/>
                <w:kern w:val="0"/>
                <w:sz w:val="24"/>
              </w:rPr>
            </w:pPr>
          </w:p>
        </w:tc>
        <w:tc>
          <w:tcPr>
            <w:tcW w:w="736" w:type="dxa"/>
            <w:vMerge w:val="continue"/>
            <w:noWrap w:val="0"/>
            <w:vAlign w:val="center"/>
          </w:tcPr>
          <w:p w14:paraId="072417B1">
            <w:pPr>
              <w:widowControl/>
              <w:spacing w:line="380" w:lineRule="exact"/>
              <w:ind w:firstLine="0" w:firstLineChars="0"/>
              <w:jc w:val="center"/>
              <w:rPr>
                <w:rFonts w:ascii="宋体" w:hAnsi="宋体" w:cs="宋体"/>
                <w:color w:val="000000"/>
                <w:kern w:val="0"/>
                <w:sz w:val="24"/>
              </w:rPr>
            </w:pPr>
          </w:p>
        </w:tc>
        <w:tc>
          <w:tcPr>
            <w:tcW w:w="3827" w:type="dxa"/>
            <w:noWrap w:val="0"/>
            <w:vAlign w:val="top"/>
          </w:tcPr>
          <w:p w14:paraId="42CA4724">
            <w:pPr>
              <w:widowControl/>
              <w:spacing w:line="380" w:lineRule="exact"/>
              <w:ind w:firstLine="0" w:firstLineChars="0"/>
              <w:jc w:val="left"/>
              <w:rPr>
                <w:rFonts w:ascii="宋体" w:hAnsi="宋体" w:cs="宋体"/>
                <w:color w:val="000000"/>
                <w:kern w:val="0"/>
                <w:sz w:val="24"/>
              </w:rPr>
            </w:pPr>
            <w:r>
              <w:rPr>
                <w:rFonts w:hint="eastAsia" w:ascii="宋体" w:hAnsi="宋体" w:cs="宋体"/>
                <w:color w:val="000000"/>
                <w:kern w:val="0"/>
                <w:sz w:val="24"/>
              </w:rPr>
              <w:t>职务发明专利</w:t>
            </w:r>
          </w:p>
        </w:tc>
        <w:tc>
          <w:tcPr>
            <w:tcW w:w="709" w:type="dxa"/>
            <w:noWrap w:val="0"/>
            <w:vAlign w:val="center"/>
          </w:tcPr>
          <w:p w14:paraId="0608805E">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6</w:t>
            </w:r>
          </w:p>
        </w:tc>
        <w:tc>
          <w:tcPr>
            <w:tcW w:w="5491" w:type="dxa"/>
            <w:noWrap w:val="0"/>
            <w:vAlign w:val="center"/>
          </w:tcPr>
          <w:p w14:paraId="272764BD">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申请的各类专利数量</w:t>
            </w:r>
          </w:p>
        </w:tc>
        <w:tc>
          <w:tcPr>
            <w:tcW w:w="709" w:type="dxa"/>
            <w:vMerge w:val="continue"/>
            <w:noWrap w:val="0"/>
            <w:vAlign w:val="top"/>
          </w:tcPr>
          <w:p w14:paraId="6893FFF8">
            <w:pPr>
              <w:widowControl/>
              <w:spacing w:line="380" w:lineRule="exact"/>
              <w:ind w:firstLine="0" w:firstLineChars="0"/>
              <w:rPr>
                <w:rFonts w:hint="eastAsia" w:ascii="宋体" w:hAnsi="宋体" w:cs="宋体"/>
                <w:color w:val="000000"/>
                <w:kern w:val="0"/>
                <w:sz w:val="24"/>
              </w:rPr>
            </w:pPr>
          </w:p>
        </w:tc>
        <w:tc>
          <w:tcPr>
            <w:tcW w:w="709" w:type="dxa"/>
            <w:vMerge w:val="continue"/>
            <w:noWrap w:val="0"/>
            <w:vAlign w:val="center"/>
          </w:tcPr>
          <w:p w14:paraId="2CB582A8">
            <w:pPr>
              <w:spacing w:line="380" w:lineRule="exact"/>
              <w:ind w:firstLine="480"/>
              <w:rPr>
                <w:rFonts w:hint="eastAsia" w:hAnsi="宋体" w:cs="宋体"/>
                <w:color w:val="000000"/>
                <w:kern w:val="0"/>
                <w:sz w:val="24"/>
              </w:rPr>
            </w:pPr>
          </w:p>
        </w:tc>
      </w:tr>
      <w:tr w14:paraId="04A9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0" w:type="dxa"/>
            <w:vMerge w:val="continue"/>
            <w:noWrap w:val="0"/>
            <w:vAlign w:val="center"/>
          </w:tcPr>
          <w:p w14:paraId="3A7737AC">
            <w:pPr>
              <w:widowControl/>
              <w:spacing w:line="380" w:lineRule="exact"/>
              <w:ind w:firstLine="0" w:firstLineChars="0"/>
              <w:jc w:val="center"/>
              <w:rPr>
                <w:rFonts w:ascii="宋体" w:hAnsi="宋体" w:cs="宋体"/>
                <w:color w:val="000000"/>
                <w:kern w:val="0"/>
                <w:sz w:val="24"/>
              </w:rPr>
            </w:pPr>
          </w:p>
        </w:tc>
        <w:tc>
          <w:tcPr>
            <w:tcW w:w="736" w:type="dxa"/>
            <w:vMerge w:val="continue"/>
            <w:noWrap w:val="0"/>
            <w:vAlign w:val="center"/>
          </w:tcPr>
          <w:p w14:paraId="49949C6D">
            <w:pPr>
              <w:widowControl/>
              <w:spacing w:line="380" w:lineRule="exact"/>
              <w:ind w:firstLine="0" w:firstLineChars="0"/>
              <w:jc w:val="center"/>
              <w:rPr>
                <w:rFonts w:ascii="宋体" w:hAnsi="宋体" w:cs="宋体"/>
                <w:color w:val="000000"/>
                <w:kern w:val="0"/>
                <w:sz w:val="24"/>
              </w:rPr>
            </w:pPr>
          </w:p>
        </w:tc>
        <w:tc>
          <w:tcPr>
            <w:tcW w:w="3827" w:type="dxa"/>
            <w:noWrap w:val="0"/>
            <w:vAlign w:val="top"/>
          </w:tcPr>
          <w:p w14:paraId="563E2A69">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打造技术创新团队</w:t>
            </w:r>
          </w:p>
        </w:tc>
        <w:tc>
          <w:tcPr>
            <w:tcW w:w="709" w:type="dxa"/>
            <w:noWrap w:val="0"/>
            <w:vAlign w:val="center"/>
          </w:tcPr>
          <w:p w14:paraId="62105814">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6</w:t>
            </w:r>
          </w:p>
        </w:tc>
        <w:tc>
          <w:tcPr>
            <w:tcW w:w="5491" w:type="dxa"/>
            <w:noWrap w:val="0"/>
            <w:vAlign w:val="center"/>
          </w:tcPr>
          <w:p w14:paraId="4AFEF1E7">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打造的各专业类别技术团队数量</w:t>
            </w:r>
          </w:p>
        </w:tc>
        <w:tc>
          <w:tcPr>
            <w:tcW w:w="709" w:type="dxa"/>
            <w:vMerge w:val="continue"/>
            <w:noWrap w:val="0"/>
            <w:vAlign w:val="top"/>
          </w:tcPr>
          <w:p w14:paraId="529D52E3">
            <w:pPr>
              <w:widowControl/>
              <w:spacing w:line="380" w:lineRule="exact"/>
              <w:ind w:firstLine="0" w:firstLineChars="0"/>
              <w:rPr>
                <w:rFonts w:hint="eastAsia" w:ascii="宋体" w:hAnsi="宋体" w:cs="宋体"/>
                <w:color w:val="000000"/>
                <w:kern w:val="0"/>
                <w:sz w:val="24"/>
              </w:rPr>
            </w:pPr>
          </w:p>
        </w:tc>
        <w:tc>
          <w:tcPr>
            <w:tcW w:w="709" w:type="dxa"/>
            <w:vMerge w:val="continue"/>
            <w:noWrap w:val="0"/>
            <w:vAlign w:val="center"/>
          </w:tcPr>
          <w:p w14:paraId="57563078">
            <w:pPr>
              <w:spacing w:line="380" w:lineRule="exact"/>
              <w:ind w:firstLine="480"/>
              <w:rPr>
                <w:rFonts w:hint="eastAsia" w:hAnsi="宋体" w:cs="宋体"/>
                <w:color w:val="000000"/>
                <w:kern w:val="0"/>
                <w:sz w:val="24"/>
              </w:rPr>
            </w:pPr>
          </w:p>
        </w:tc>
      </w:tr>
      <w:tr w14:paraId="69E0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0" w:type="dxa"/>
            <w:vMerge w:val="continue"/>
            <w:noWrap w:val="0"/>
            <w:vAlign w:val="center"/>
          </w:tcPr>
          <w:p w14:paraId="4D354B5B">
            <w:pPr>
              <w:widowControl/>
              <w:spacing w:line="380" w:lineRule="exact"/>
              <w:ind w:firstLine="0" w:firstLineChars="0"/>
              <w:jc w:val="center"/>
              <w:rPr>
                <w:rFonts w:ascii="宋体" w:hAnsi="宋体" w:cs="宋体"/>
                <w:color w:val="000000"/>
                <w:kern w:val="0"/>
                <w:sz w:val="24"/>
              </w:rPr>
            </w:pPr>
          </w:p>
        </w:tc>
        <w:tc>
          <w:tcPr>
            <w:tcW w:w="736" w:type="dxa"/>
            <w:vMerge w:val="restart"/>
            <w:noWrap w:val="0"/>
            <w:vAlign w:val="center"/>
          </w:tcPr>
          <w:p w14:paraId="17275ADE">
            <w:pPr>
              <w:widowControl/>
              <w:spacing w:line="380" w:lineRule="exact"/>
              <w:ind w:firstLine="0" w:firstLineChars="0"/>
              <w:jc w:val="center"/>
              <w:rPr>
                <w:rFonts w:ascii="宋体" w:hAnsi="宋体" w:cs="宋体"/>
                <w:color w:val="000000"/>
                <w:kern w:val="0"/>
                <w:sz w:val="24"/>
              </w:rPr>
            </w:pPr>
            <w:r>
              <w:rPr>
                <w:rFonts w:ascii="宋体" w:hAnsi="宋体" w:cs="宋体"/>
                <w:color w:val="000000"/>
                <w:kern w:val="0"/>
                <w:sz w:val="24"/>
              </w:rPr>
              <w:t>质量指标</w:t>
            </w:r>
          </w:p>
        </w:tc>
        <w:tc>
          <w:tcPr>
            <w:tcW w:w="3827" w:type="dxa"/>
            <w:noWrap w:val="0"/>
            <w:vAlign w:val="top"/>
          </w:tcPr>
          <w:p w14:paraId="1FDA12B2">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孵化企业毕业率</w:t>
            </w:r>
          </w:p>
        </w:tc>
        <w:tc>
          <w:tcPr>
            <w:tcW w:w="709" w:type="dxa"/>
            <w:noWrap w:val="0"/>
            <w:vAlign w:val="center"/>
          </w:tcPr>
          <w:p w14:paraId="28517EDD">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6</w:t>
            </w:r>
          </w:p>
        </w:tc>
        <w:tc>
          <w:tcPr>
            <w:tcW w:w="5491" w:type="dxa"/>
            <w:noWrap w:val="0"/>
            <w:vAlign w:val="center"/>
          </w:tcPr>
          <w:p w14:paraId="2F0E9AB7">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自成立至目前孵化企业毕业数量</w:t>
            </w:r>
          </w:p>
        </w:tc>
        <w:tc>
          <w:tcPr>
            <w:tcW w:w="709" w:type="dxa"/>
            <w:vMerge w:val="restart"/>
            <w:noWrap w:val="0"/>
            <w:vAlign w:val="center"/>
          </w:tcPr>
          <w:p w14:paraId="4B513C22">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同业标准</w:t>
            </w:r>
          </w:p>
        </w:tc>
        <w:tc>
          <w:tcPr>
            <w:tcW w:w="709" w:type="dxa"/>
            <w:vMerge w:val="continue"/>
            <w:noWrap w:val="0"/>
            <w:vAlign w:val="center"/>
          </w:tcPr>
          <w:p w14:paraId="2A046E10">
            <w:pPr>
              <w:widowControl/>
              <w:spacing w:line="380" w:lineRule="exact"/>
              <w:ind w:firstLine="0" w:firstLineChars="0"/>
              <w:rPr>
                <w:rFonts w:hint="eastAsia" w:hAnsi="宋体" w:cs="宋体"/>
                <w:color w:val="000000"/>
                <w:kern w:val="0"/>
                <w:sz w:val="24"/>
              </w:rPr>
            </w:pPr>
          </w:p>
        </w:tc>
      </w:tr>
      <w:tr w14:paraId="5994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0" w:type="dxa"/>
            <w:vMerge w:val="continue"/>
            <w:noWrap w:val="0"/>
            <w:vAlign w:val="center"/>
          </w:tcPr>
          <w:p w14:paraId="0E655589">
            <w:pPr>
              <w:widowControl/>
              <w:spacing w:line="380" w:lineRule="exact"/>
              <w:ind w:firstLine="0" w:firstLineChars="0"/>
              <w:jc w:val="center"/>
              <w:rPr>
                <w:rFonts w:ascii="宋体" w:hAnsi="宋体" w:cs="宋体"/>
                <w:color w:val="000000"/>
                <w:kern w:val="0"/>
                <w:sz w:val="24"/>
              </w:rPr>
            </w:pPr>
          </w:p>
        </w:tc>
        <w:tc>
          <w:tcPr>
            <w:tcW w:w="736" w:type="dxa"/>
            <w:vMerge w:val="continue"/>
            <w:noWrap w:val="0"/>
            <w:vAlign w:val="center"/>
          </w:tcPr>
          <w:p w14:paraId="2DD975FD">
            <w:pPr>
              <w:widowControl/>
              <w:spacing w:line="380" w:lineRule="exact"/>
              <w:ind w:firstLine="0" w:firstLineChars="0"/>
              <w:jc w:val="center"/>
              <w:rPr>
                <w:rFonts w:ascii="宋体" w:hAnsi="宋体" w:cs="宋体"/>
                <w:color w:val="000000"/>
                <w:kern w:val="0"/>
                <w:sz w:val="24"/>
              </w:rPr>
            </w:pPr>
          </w:p>
        </w:tc>
        <w:tc>
          <w:tcPr>
            <w:tcW w:w="3827" w:type="dxa"/>
            <w:noWrap w:val="0"/>
            <w:vAlign w:val="top"/>
          </w:tcPr>
          <w:p w14:paraId="6AAE0188">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职务发明专利转化率</w:t>
            </w:r>
          </w:p>
        </w:tc>
        <w:tc>
          <w:tcPr>
            <w:tcW w:w="709" w:type="dxa"/>
            <w:noWrap w:val="0"/>
            <w:vAlign w:val="center"/>
          </w:tcPr>
          <w:p w14:paraId="308B32B8">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6</w:t>
            </w:r>
          </w:p>
        </w:tc>
        <w:tc>
          <w:tcPr>
            <w:tcW w:w="5491" w:type="dxa"/>
            <w:noWrap w:val="0"/>
            <w:vAlign w:val="center"/>
          </w:tcPr>
          <w:p w14:paraId="41C1F968">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专利已转化为市场应用的比率</w:t>
            </w:r>
          </w:p>
        </w:tc>
        <w:tc>
          <w:tcPr>
            <w:tcW w:w="709" w:type="dxa"/>
            <w:vMerge w:val="continue"/>
            <w:noWrap w:val="0"/>
            <w:vAlign w:val="top"/>
          </w:tcPr>
          <w:p w14:paraId="1DA27969">
            <w:pPr>
              <w:spacing w:line="380" w:lineRule="exact"/>
              <w:ind w:firstLine="480"/>
              <w:jc w:val="center"/>
              <w:rPr>
                <w:rFonts w:hint="eastAsia" w:ascii="宋体" w:hAnsi="宋体" w:cs="宋体"/>
                <w:color w:val="000000"/>
                <w:kern w:val="0"/>
                <w:sz w:val="24"/>
              </w:rPr>
            </w:pPr>
          </w:p>
        </w:tc>
        <w:tc>
          <w:tcPr>
            <w:tcW w:w="709" w:type="dxa"/>
            <w:vMerge w:val="continue"/>
            <w:noWrap w:val="0"/>
            <w:vAlign w:val="center"/>
          </w:tcPr>
          <w:p w14:paraId="0E28ADF6">
            <w:pPr>
              <w:widowControl/>
              <w:spacing w:line="380" w:lineRule="exact"/>
              <w:ind w:firstLine="0" w:firstLineChars="0"/>
              <w:rPr>
                <w:rFonts w:hint="eastAsia" w:hAnsi="宋体" w:cs="宋体"/>
                <w:color w:val="000000"/>
                <w:kern w:val="0"/>
                <w:sz w:val="24"/>
              </w:rPr>
            </w:pPr>
          </w:p>
        </w:tc>
      </w:tr>
      <w:tr w14:paraId="294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0" w:type="dxa"/>
            <w:vMerge w:val="restart"/>
            <w:noWrap w:val="0"/>
            <w:vAlign w:val="center"/>
          </w:tcPr>
          <w:p w14:paraId="1461F46F">
            <w:pPr>
              <w:spacing w:line="380" w:lineRule="exact"/>
              <w:ind w:firstLine="0" w:firstLineChars="0"/>
              <w:jc w:val="center"/>
              <w:rPr>
                <w:rFonts w:hint="eastAsia" w:hAnsi="宋体" w:cs="宋体"/>
                <w:color w:val="000000"/>
                <w:kern w:val="0"/>
                <w:sz w:val="24"/>
              </w:rPr>
            </w:pPr>
            <w:r>
              <w:rPr>
                <w:rFonts w:hint="eastAsia" w:ascii="宋体" w:hAnsi="宋体" w:cs="宋体"/>
                <w:color w:val="000000"/>
                <w:kern w:val="0"/>
                <w:sz w:val="24"/>
              </w:rPr>
              <w:t>效益指标</w:t>
            </w:r>
          </w:p>
        </w:tc>
        <w:tc>
          <w:tcPr>
            <w:tcW w:w="736" w:type="dxa"/>
            <w:vMerge w:val="restart"/>
            <w:noWrap w:val="0"/>
            <w:vAlign w:val="center"/>
          </w:tcPr>
          <w:p w14:paraId="4ADFE46E">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经济效益</w:t>
            </w:r>
          </w:p>
        </w:tc>
        <w:tc>
          <w:tcPr>
            <w:tcW w:w="3827" w:type="dxa"/>
            <w:noWrap w:val="0"/>
            <w:vAlign w:val="center"/>
          </w:tcPr>
          <w:p w14:paraId="46ED9D17">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毕业企业产品市场销售总额</w:t>
            </w:r>
          </w:p>
        </w:tc>
        <w:tc>
          <w:tcPr>
            <w:tcW w:w="709" w:type="dxa"/>
            <w:noWrap w:val="0"/>
            <w:vAlign w:val="center"/>
          </w:tcPr>
          <w:p w14:paraId="1DD75BB9">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6</w:t>
            </w:r>
          </w:p>
        </w:tc>
        <w:tc>
          <w:tcPr>
            <w:tcW w:w="5491" w:type="dxa"/>
            <w:noWrap w:val="0"/>
            <w:vAlign w:val="center"/>
          </w:tcPr>
          <w:p w14:paraId="66485DD6">
            <w:pPr>
              <w:widowControl/>
              <w:spacing w:line="380" w:lineRule="exact"/>
              <w:ind w:firstLine="0" w:firstLineChars="0"/>
              <w:rPr>
                <w:rFonts w:hint="eastAsia" w:ascii="宋体" w:hAnsi="宋体" w:cs="宋体"/>
                <w:color w:val="000000"/>
                <w:kern w:val="0"/>
                <w:sz w:val="24"/>
              </w:rPr>
            </w:pPr>
            <w:r>
              <w:rPr>
                <w:rFonts w:hint="eastAsia" w:ascii="宋体" w:hAnsi="宋体" w:cs="宋体"/>
                <w:color w:val="000000"/>
                <w:kern w:val="0"/>
                <w:sz w:val="24"/>
              </w:rPr>
              <w:t xml:space="preserve">10家典型毕业企业销售产品收入 </w:t>
            </w:r>
          </w:p>
        </w:tc>
        <w:tc>
          <w:tcPr>
            <w:tcW w:w="709" w:type="dxa"/>
            <w:vMerge w:val="continue"/>
            <w:noWrap w:val="0"/>
            <w:vAlign w:val="center"/>
          </w:tcPr>
          <w:p w14:paraId="7FE8A588">
            <w:pPr>
              <w:widowControl/>
              <w:spacing w:line="380" w:lineRule="exact"/>
              <w:ind w:firstLine="0" w:firstLineChars="0"/>
              <w:jc w:val="center"/>
              <w:rPr>
                <w:rFonts w:hint="eastAsia" w:ascii="宋体" w:hAnsi="宋体" w:cs="宋体"/>
                <w:color w:val="000000"/>
                <w:kern w:val="0"/>
                <w:sz w:val="24"/>
              </w:rPr>
            </w:pPr>
          </w:p>
        </w:tc>
        <w:tc>
          <w:tcPr>
            <w:tcW w:w="709" w:type="dxa"/>
            <w:vMerge w:val="continue"/>
            <w:noWrap w:val="0"/>
            <w:vAlign w:val="center"/>
          </w:tcPr>
          <w:p w14:paraId="5E96C8A1">
            <w:pPr>
              <w:widowControl/>
              <w:spacing w:line="380" w:lineRule="exact"/>
              <w:ind w:firstLine="0" w:firstLineChars="0"/>
              <w:rPr>
                <w:rFonts w:hint="eastAsia" w:hAnsi="宋体" w:cs="宋体"/>
                <w:color w:val="000000"/>
                <w:kern w:val="0"/>
                <w:sz w:val="24"/>
              </w:rPr>
            </w:pPr>
          </w:p>
        </w:tc>
      </w:tr>
      <w:tr w14:paraId="7834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0" w:type="dxa"/>
            <w:vMerge w:val="continue"/>
            <w:noWrap w:val="0"/>
            <w:vAlign w:val="center"/>
          </w:tcPr>
          <w:p w14:paraId="3AAAF61E">
            <w:pPr>
              <w:spacing w:line="380" w:lineRule="exact"/>
              <w:ind w:firstLine="480"/>
              <w:jc w:val="center"/>
              <w:rPr>
                <w:rFonts w:hint="eastAsia" w:hAnsi="宋体" w:cs="宋体"/>
                <w:color w:val="000000"/>
                <w:kern w:val="0"/>
                <w:sz w:val="24"/>
              </w:rPr>
            </w:pPr>
          </w:p>
        </w:tc>
        <w:tc>
          <w:tcPr>
            <w:tcW w:w="736" w:type="dxa"/>
            <w:vMerge w:val="continue"/>
            <w:noWrap w:val="0"/>
            <w:vAlign w:val="center"/>
          </w:tcPr>
          <w:p w14:paraId="1ED16C46">
            <w:pPr>
              <w:widowControl/>
              <w:spacing w:line="380" w:lineRule="exact"/>
              <w:ind w:firstLine="0" w:firstLineChars="0"/>
              <w:jc w:val="center"/>
              <w:rPr>
                <w:rFonts w:hint="eastAsia" w:hAnsi="宋体" w:cs="宋体"/>
                <w:color w:val="000000"/>
                <w:kern w:val="0"/>
                <w:sz w:val="24"/>
              </w:rPr>
            </w:pPr>
          </w:p>
        </w:tc>
        <w:tc>
          <w:tcPr>
            <w:tcW w:w="3827" w:type="dxa"/>
            <w:noWrap w:val="0"/>
            <w:vAlign w:val="center"/>
          </w:tcPr>
          <w:p w14:paraId="2D9DFF19">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毕业企业税收贡献总额</w:t>
            </w:r>
          </w:p>
        </w:tc>
        <w:tc>
          <w:tcPr>
            <w:tcW w:w="709" w:type="dxa"/>
            <w:noWrap w:val="0"/>
            <w:vAlign w:val="center"/>
          </w:tcPr>
          <w:p w14:paraId="09BB5EB3">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6</w:t>
            </w:r>
          </w:p>
        </w:tc>
        <w:tc>
          <w:tcPr>
            <w:tcW w:w="5491" w:type="dxa"/>
            <w:noWrap w:val="0"/>
            <w:vAlign w:val="center"/>
          </w:tcPr>
          <w:p w14:paraId="138570B1">
            <w:pPr>
              <w:widowControl/>
              <w:spacing w:line="380" w:lineRule="exact"/>
              <w:ind w:firstLine="0" w:firstLineChars="0"/>
              <w:rPr>
                <w:rFonts w:hint="eastAsia" w:ascii="宋体" w:hAnsi="宋体" w:cs="宋体"/>
                <w:color w:val="000000"/>
                <w:kern w:val="0"/>
                <w:sz w:val="24"/>
              </w:rPr>
            </w:pPr>
            <w:r>
              <w:rPr>
                <w:rFonts w:hint="eastAsia" w:ascii="宋体" w:hAnsi="宋体" w:cs="宋体"/>
                <w:color w:val="000000"/>
                <w:kern w:val="0"/>
                <w:sz w:val="24"/>
              </w:rPr>
              <w:t>10家典型毕业企业各种税收贡献总额</w:t>
            </w:r>
          </w:p>
        </w:tc>
        <w:tc>
          <w:tcPr>
            <w:tcW w:w="709" w:type="dxa"/>
            <w:vMerge w:val="continue"/>
            <w:noWrap w:val="0"/>
            <w:vAlign w:val="top"/>
          </w:tcPr>
          <w:p w14:paraId="61FECFCD">
            <w:pPr>
              <w:widowControl/>
              <w:spacing w:line="380" w:lineRule="exact"/>
              <w:ind w:firstLine="0" w:firstLineChars="0"/>
              <w:rPr>
                <w:rFonts w:hint="eastAsia" w:ascii="宋体" w:hAnsi="宋体" w:cs="宋体"/>
                <w:color w:val="000000"/>
                <w:kern w:val="0"/>
                <w:sz w:val="24"/>
              </w:rPr>
            </w:pPr>
          </w:p>
        </w:tc>
        <w:tc>
          <w:tcPr>
            <w:tcW w:w="709" w:type="dxa"/>
            <w:vMerge w:val="continue"/>
            <w:noWrap w:val="0"/>
            <w:vAlign w:val="center"/>
          </w:tcPr>
          <w:p w14:paraId="5B1ADA84">
            <w:pPr>
              <w:spacing w:line="380" w:lineRule="exact"/>
              <w:ind w:firstLine="480"/>
              <w:rPr>
                <w:rFonts w:hint="eastAsia" w:hAnsi="宋体" w:cs="宋体"/>
                <w:color w:val="000000"/>
                <w:kern w:val="0"/>
                <w:sz w:val="24"/>
              </w:rPr>
            </w:pPr>
          </w:p>
        </w:tc>
      </w:tr>
      <w:tr w14:paraId="1D8F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0" w:type="dxa"/>
            <w:vMerge w:val="continue"/>
            <w:noWrap w:val="0"/>
            <w:vAlign w:val="center"/>
          </w:tcPr>
          <w:p w14:paraId="6B0F349C">
            <w:pPr>
              <w:widowControl/>
              <w:spacing w:line="380" w:lineRule="exact"/>
              <w:ind w:firstLine="0" w:firstLineChars="0"/>
              <w:jc w:val="center"/>
              <w:rPr>
                <w:rFonts w:ascii="宋体" w:hAnsi="宋体" w:cs="宋体"/>
                <w:color w:val="000000"/>
                <w:kern w:val="0"/>
                <w:sz w:val="24"/>
              </w:rPr>
            </w:pPr>
          </w:p>
        </w:tc>
        <w:tc>
          <w:tcPr>
            <w:tcW w:w="736" w:type="dxa"/>
            <w:vMerge w:val="restart"/>
            <w:noWrap w:val="0"/>
            <w:vAlign w:val="center"/>
          </w:tcPr>
          <w:p w14:paraId="40E50977">
            <w:pPr>
              <w:widowControl/>
              <w:spacing w:line="380" w:lineRule="exact"/>
              <w:ind w:firstLine="0" w:firstLineChars="0"/>
              <w:jc w:val="center"/>
              <w:rPr>
                <w:rFonts w:ascii="宋体" w:hAnsi="宋体" w:cs="宋体"/>
                <w:color w:val="000000"/>
                <w:kern w:val="0"/>
                <w:sz w:val="24"/>
              </w:rPr>
            </w:pPr>
            <w:r>
              <w:rPr>
                <w:rFonts w:hint="eastAsia" w:ascii="宋体" w:hAnsi="宋体" w:cs="宋体"/>
                <w:color w:val="000000"/>
                <w:kern w:val="0"/>
                <w:sz w:val="24"/>
              </w:rPr>
              <w:t>社会效益</w:t>
            </w:r>
          </w:p>
        </w:tc>
        <w:tc>
          <w:tcPr>
            <w:tcW w:w="3827" w:type="dxa"/>
            <w:noWrap w:val="0"/>
            <w:vAlign w:val="center"/>
          </w:tcPr>
          <w:p w14:paraId="63602ADF">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引进专家</w:t>
            </w:r>
          </w:p>
        </w:tc>
        <w:tc>
          <w:tcPr>
            <w:tcW w:w="709" w:type="dxa"/>
            <w:noWrap w:val="0"/>
            <w:vAlign w:val="center"/>
          </w:tcPr>
          <w:p w14:paraId="5DFFE525">
            <w:pPr>
              <w:widowControl/>
              <w:spacing w:line="380" w:lineRule="exact"/>
              <w:ind w:firstLine="0" w:firstLineChars="0"/>
              <w:jc w:val="center"/>
              <w:rPr>
                <w:rFonts w:hint="eastAsia" w:ascii="宋体" w:hAnsi="宋体" w:cs="宋体"/>
                <w:color w:val="000000"/>
                <w:kern w:val="0"/>
                <w:sz w:val="24"/>
              </w:rPr>
            </w:pPr>
            <w:r>
              <w:rPr>
                <w:rFonts w:hint="eastAsia" w:ascii="宋体" w:hAnsi="宋体" w:cs="宋体"/>
                <w:color w:val="000000"/>
                <w:kern w:val="0"/>
                <w:sz w:val="24"/>
              </w:rPr>
              <w:t>6</w:t>
            </w:r>
          </w:p>
        </w:tc>
        <w:tc>
          <w:tcPr>
            <w:tcW w:w="5491" w:type="dxa"/>
            <w:noWrap w:val="0"/>
            <w:vAlign w:val="center"/>
          </w:tcPr>
          <w:p w14:paraId="42055C30">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引进的专家人数以反映所建设项目的社会影响力</w:t>
            </w:r>
          </w:p>
        </w:tc>
        <w:tc>
          <w:tcPr>
            <w:tcW w:w="709" w:type="dxa"/>
            <w:vMerge w:val="restart"/>
            <w:noWrap w:val="0"/>
            <w:vAlign w:val="top"/>
          </w:tcPr>
          <w:p w14:paraId="3BACBE6C">
            <w:pPr>
              <w:widowControl/>
              <w:spacing w:line="380" w:lineRule="exact"/>
              <w:ind w:firstLine="0" w:firstLineChars="0"/>
              <w:rPr>
                <w:rFonts w:hint="eastAsia" w:ascii="宋体" w:hAnsi="宋体" w:cs="宋体"/>
                <w:color w:val="000000"/>
                <w:kern w:val="0"/>
                <w:sz w:val="24"/>
              </w:rPr>
            </w:pPr>
            <w:r>
              <w:rPr>
                <w:rFonts w:hint="eastAsia" w:hAnsi="宋体" w:cs="宋体"/>
                <w:color w:val="000000"/>
                <w:kern w:val="0"/>
                <w:sz w:val="24"/>
              </w:rPr>
              <w:t>协议约定</w:t>
            </w:r>
          </w:p>
        </w:tc>
        <w:tc>
          <w:tcPr>
            <w:tcW w:w="709" w:type="dxa"/>
            <w:vMerge w:val="continue"/>
            <w:noWrap w:val="0"/>
            <w:vAlign w:val="center"/>
          </w:tcPr>
          <w:p w14:paraId="24FFB93B">
            <w:pPr>
              <w:spacing w:line="380" w:lineRule="exact"/>
              <w:ind w:firstLine="480"/>
              <w:rPr>
                <w:rFonts w:hint="eastAsia" w:hAnsi="宋体" w:cs="宋体"/>
                <w:color w:val="000000"/>
                <w:kern w:val="0"/>
                <w:sz w:val="24"/>
              </w:rPr>
            </w:pPr>
          </w:p>
        </w:tc>
      </w:tr>
      <w:tr w14:paraId="35CC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0" w:type="dxa"/>
            <w:vMerge w:val="continue"/>
            <w:noWrap w:val="0"/>
            <w:vAlign w:val="center"/>
          </w:tcPr>
          <w:p w14:paraId="05552B75">
            <w:pPr>
              <w:widowControl/>
              <w:spacing w:line="380" w:lineRule="exact"/>
              <w:ind w:firstLine="0" w:firstLineChars="0"/>
              <w:jc w:val="center"/>
              <w:rPr>
                <w:rFonts w:hint="eastAsia" w:ascii="宋体" w:hAnsi="宋体" w:cs="宋体"/>
                <w:color w:val="000000"/>
                <w:kern w:val="0"/>
                <w:sz w:val="24"/>
              </w:rPr>
            </w:pPr>
          </w:p>
        </w:tc>
        <w:tc>
          <w:tcPr>
            <w:tcW w:w="736" w:type="dxa"/>
            <w:vMerge w:val="continue"/>
            <w:noWrap w:val="0"/>
            <w:vAlign w:val="center"/>
          </w:tcPr>
          <w:p w14:paraId="2733B4B5">
            <w:pPr>
              <w:widowControl/>
              <w:spacing w:line="380" w:lineRule="exact"/>
              <w:ind w:firstLine="0" w:firstLineChars="0"/>
              <w:jc w:val="center"/>
              <w:rPr>
                <w:rFonts w:hint="eastAsia" w:ascii="宋体" w:hAnsi="宋体" w:cs="宋体"/>
                <w:color w:val="000000"/>
                <w:kern w:val="0"/>
                <w:sz w:val="24"/>
              </w:rPr>
            </w:pPr>
          </w:p>
        </w:tc>
        <w:tc>
          <w:tcPr>
            <w:tcW w:w="3827" w:type="dxa"/>
            <w:noWrap w:val="0"/>
            <w:vAlign w:val="center"/>
          </w:tcPr>
          <w:p w14:paraId="3EEECA3E">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培育研发人员</w:t>
            </w:r>
          </w:p>
        </w:tc>
        <w:tc>
          <w:tcPr>
            <w:tcW w:w="709" w:type="dxa"/>
            <w:noWrap w:val="0"/>
            <w:vAlign w:val="center"/>
          </w:tcPr>
          <w:p w14:paraId="47330360">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6</w:t>
            </w:r>
          </w:p>
        </w:tc>
        <w:tc>
          <w:tcPr>
            <w:tcW w:w="5491" w:type="dxa"/>
            <w:noWrap w:val="0"/>
            <w:vAlign w:val="center"/>
          </w:tcPr>
          <w:p w14:paraId="2768337B">
            <w:pPr>
              <w:widowControl/>
              <w:spacing w:line="380" w:lineRule="exact"/>
              <w:ind w:firstLine="0" w:firstLineChars="0"/>
              <w:jc w:val="left"/>
              <w:rPr>
                <w:rFonts w:hint="eastAsia" w:hAnsi="宋体" w:cs="宋体"/>
                <w:color w:val="000000"/>
                <w:kern w:val="0"/>
                <w:sz w:val="24"/>
              </w:rPr>
            </w:pPr>
            <w:r>
              <w:rPr>
                <w:rFonts w:hint="eastAsia" w:hAnsi="宋体" w:cs="宋体"/>
                <w:color w:val="000000"/>
                <w:kern w:val="0"/>
                <w:sz w:val="24"/>
              </w:rPr>
              <w:t>培育的开发人员以反映项目建设的社会贡献</w:t>
            </w:r>
          </w:p>
        </w:tc>
        <w:tc>
          <w:tcPr>
            <w:tcW w:w="709" w:type="dxa"/>
            <w:vMerge w:val="continue"/>
            <w:noWrap w:val="0"/>
            <w:vAlign w:val="top"/>
          </w:tcPr>
          <w:p w14:paraId="4B18D5EB">
            <w:pPr>
              <w:widowControl/>
              <w:spacing w:line="380" w:lineRule="exact"/>
              <w:ind w:firstLine="0" w:firstLineChars="0"/>
              <w:rPr>
                <w:rFonts w:hint="eastAsia" w:hAnsi="宋体" w:cs="宋体"/>
                <w:color w:val="000000"/>
                <w:kern w:val="0"/>
                <w:sz w:val="24"/>
              </w:rPr>
            </w:pPr>
          </w:p>
        </w:tc>
        <w:tc>
          <w:tcPr>
            <w:tcW w:w="709" w:type="dxa"/>
            <w:vMerge w:val="continue"/>
            <w:noWrap w:val="0"/>
            <w:vAlign w:val="center"/>
          </w:tcPr>
          <w:p w14:paraId="05E2A93A">
            <w:pPr>
              <w:spacing w:line="380" w:lineRule="exact"/>
              <w:ind w:firstLine="480"/>
              <w:rPr>
                <w:rFonts w:hint="eastAsia" w:hAnsi="宋体" w:cs="宋体"/>
                <w:color w:val="000000"/>
                <w:kern w:val="0"/>
                <w:sz w:val="24"/>
              </w:rPr>
            </w:pPr>
          </w:p>
        </w:tc>
      </w:tr>
    </w:tbl>
    <w:p w14:paraId="1E7B9E68">
      <w:pPr>
        <w:ind w:firstLine="640"/>
        <w:rPr>
          <w:rFonts w:hint="eastAsia" w:hAnsi="宋体" w:cs="宋体"/>
          <w:color w:val="000000"/>
          <w:kern w:val="0"/>
          <w:sz w:val="24"/>
        </w:rPr>
      </w:pPr>
      <w:r>
        <w:rPr>
          <w:rFonts w:hint="eastAsia"/>
          <w:color w:val="000000"/>
        </w:rPr>
        <w:t>2.2.5.1.3满意度指标（权重分值10分）</w:t>
      </w:r>
    </w:p>
    <w:tbl>
      <w:tblPr>
        <w:tblStyle w:val="11"/>
        <w:tblW w:w="13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953"/>
        <w:gridCol w:w="2076"/>
        <w:gridCol w:w="492"/>
        <w:gridCol w:w="3326"/>
        <w:gridCol w:w="1276"/>
        <w:gridCol w:w="3058"/>
      </w:tblGrid>
      <w:tr w14:paraId="298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6" w:type="dxa"/>
            <w:noWrap w:val="0"/>
            <w:vAlign w:val="center"/>
          </w:tcPr>
          <w:p w14:paraId="7D0DB8A8">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一级指标</w:t>
            </w:r>
          </w:p>
        </w:tc>
        <w:tc>
          <w:tcPr>
            <w:tcW w:w="1953" w:type="dxa"/>
            <w:noWrap w:val="0"/>
            <w:vAlign w:val="center"/>
          </w:tcPr>
          <w:p w14:paraId="01E10FCE">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二级指标</w:t>
            </w:r>
          </w:p>
        </w:tc>
        <w:tc>
          <w:tcPr>
            <w:tcW w:w="2076" w:type="dxa"/>
            <w:noWrap w:val="0"/>
            <w:vAlign w:val="center"/>
          </w:tcPr>
          <w:p w14:paraId="50CB25B9">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三级指标</w:t>
            </w:r>
          </w:p>
        </w:tc>
        <w:tc>
          <w:tcPr>
            <w:tcW w:w="492" w:type="dxa"/>
            <w:noWrap w:val="0"/>
            <w:vAlign w:val="center"/>
          </w:tcPr>
          <w:p w14:paraId="6C6D6140">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分</w:t>
            </w:r>
          </w:p>
          <w:p w14:paraId="726F7ACB">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值</w:t>
            </w:r>
          </w:p>
        </w:tc>
        <w:tc>
          <w:tcPr>
            <w:tcW w:w="3326" w:type="dxa"/>
            <w:noWrap w:val="0"/>
            <w:vAlign w:val="center"/>
          </w:tcPr>
          <w:p w14:paraId="10AF01B8">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指标解释</w:t>
            </w:r>
          </w:p>
        </w:tc>
        <w:tc>
          <w:tcPr>
            <w:tcW w:w="1276" w:type="dxa"/>
            <w:noWrap w:val="0"/>
            <w:vAlign w:val="top"/>
          </w:tcPr>
          <w:p w14:paraId="5C80CA9E">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评价标准</w:t>
            </w:r>
          </w:p>
        </w:tc>
        <w:tc>
          <w:tcPr>
            <w:tcW w:w="3058" w:type="dxa"/>
            <w:noWrap w:val="0"/>
            <w:vAlign w:val="center"/>
          </w:tcPr>
          <w:p w14:paraId="778531BE">
            <w:pPr>
              <w:widowControl/>
              <w:spacing w:line="380" w:lineRule="exact"/>
              <w:ind w:firstLine="0" w:firstLineChars="0"/>
              <w:jc w:val="center"/>
              <w:rPr>
                <w:rFonts w:hAnsi="宋体" w:cs="宋体"/>
                <w:color w:val="000000"/>
                <w:kern w:val="0"/>
                <w:sz w:val="24"/>
              </w:rPr>
            </w:pPr>
            <w:r>
              <w:rPr>
                <w:rFonts w:hint="eastAsia" w:hAnsi="宋体" w:cs="宋体"/>
                <w:color w:val="000000"/>
                <w:kern w:val="0"/>
                <w:sz w:val="24"/>
              </w:rPr>
              <w:t>评分细则</w:t>
            </w:r>
          </w:p>
        </w:tc>
      </w:tr>
      <w:tr w14:paraId="68F0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6" w:type="dxa"/>
            <w:vMerge w:val="restart"/>
            <w:noWrap w:val="0"/>
            <w:vAlign w:val="top"/>
          </w:tcPr>
          <w:p w14:paraId="1D93A83E">
            <w:pPr>
              <w:widowControl/>
              <w:spacing w:line="380" w:lineRule="exact"/>
              <w:ind w:firstLine="0" w:firstLineChars="0"/>
              <w:jc w:val="center"/>
              <w:rPr>
                <w:rFonts w:ascii="宋体" w:hAnsi="宋体" w:cs="宋体"/>
                <w:color w:val="000000"/>
                <w:kern w:val="0"/>
                <w:sz w:val="24"/>
              </w:rPr>
            </w:pPr>
            <w:r>
              <w:rPr>
                <w:rFonts w:hint="eastAsia" w:ascii="宋体" w:hAnsi="宋体" w:cs="宋体"/>
                <w:color w:val="000000"/>
                <w:kern w:val="0"/>
                <w:sz w:val="24"/>
              </w:rPr>
              <w:t>满意度指标</w:t>
            </w:r>
          </w:p>
        </w:tc>
        <w:tc>
          <w:tcPr>
            <w:tcW w:w="1953" w:type="dxa"/>
            <w:vMerge w:val="restart"/>
            <w:noWrap w:val="0"/>
            <w:vAlign w:val="center"/>
          </w:tcPr>
          <w:p w14:paraId="6A51C1D6">
            <w:pPr>
              <w:widowControl/>
              <w:spacing w:line="380" w:lineRule="exact"/>
              <w:ind w:firstLine="0" w:firstLineChars="0"/>
              <w:jc w:val="center"/>
              <w:rPr>
                <w:rFonts w:ascii="宋体" w:hAnsi="宋体" w:cs="宋体"/>
                <w:color w:val="000000"/>
                <w:kern w:val="0"/>
                <w:sz w:val="24"/>
              </w:rPr>
            </w:pPr>
            <w:r>
              <w:rPr>
                <w:rFonts w:hint="eastAsia" w:ascii="宋体" w:hAnsi="宋体" w:cs="宋体"/>
                <w:color w:val="000000"/>
                <w:kern w:val="0"/>
                <w:sz w:val="24"/>
              </w:rPr>
              <w:t>服务对象满意度指标</w:t>
            </w:r>
          </w:p>
        </w:tc>
        <w:tc>
          <w:tcPr>
            <w:tcW w:w="2076" w:type="dxa"/>
            <w:noWrap w:val="0"/>
            <w:vAlign w:val="center"/>
          </w:tcPr>
          <w:p w14:paraId="34BBDB82">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在孵企业满意度</w:t>
            </w:r>
          </w:p>
        </w:tc>
        <w:tc>
          <w:tcPr>
            <w:tcW w:w="492" w:type="dxa"/>
            <w:noWrap w:val="0"/>
            <w:vAlign w:val="center"/>
          </w:tcPr>
          <w:p w14:paraId="102F3623">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5</w:t>
            </w:r>
          </w:p>
        </w:tc>
        <w:tc>
          <w:tcPr>
            <w:tcW w:w="3326" w:type="dxa"/>
            <w:noWrap w:val="0"/>
            <w:vAlign w:val="center"/>
          </w:tcPr>
          <w:p w14:paraId="1D0BB68B">
            <w:pPr>
              <w:widowControl/>
              <w:spacing w:line="380" w:lineRule="exact"/>
              <w:ind w:firstLine="0" w:firstLineChars="0"/>
              <w:jc w:val="left"/>
              <w:rPr>
                <w:rFonts w:hint="eastAsia" w:hAnsi="宋体" w:cs="宋体"/>
                <w:color w:val="000000"/>
                <w:kern w:val="0"/>
                <w:sz w:val="24"/>
              </w:rPr>
            </w:pPr>
            <w:r>
              <w:rPr>
                <w:rFonts w:hint="eastAsia" w:hAnsi="宋体" w:cs="宋体"/>
                <w:color w:val="000000"/>
                <w:kern w:val="0"/>
                <w:sz w:val="24"/>
              </w:rPr>
              <w:t>在孵企业对项目建设方服务的满意度</w:t>
            </w:r>
          </w:p>
        </w:tc>
        <w:tc>
          <w:tcPr>
            <w:tcW w:w="1276" w:type="dxa"/>
            <w:vMerge w:val="restart"/>
            <w:noWrap w:val="0"/>
            <w:vAlign w:val="top"/>
          </w:tcPr>
          <w:p w14:paraId="5E9F4039">
            <w:pPr>
              <w:widowControl/>
              <w:spacing w:line="380" w:lineRule="exact"/>
              <w:ind w:firstLine="0" w:firstLineChars="0"/>
              <w:rPr>
                <w:rFonts w:hint="eastAsia" w:hAnsi="宋体" w:cs="宋体"/>
                <w:color w:val="000000"/>
                <w:kern w:val="0"/>
                <w:sz w:val="24"/>
              </w:rPr>
            </w:pPr>
            <w:r>
              <w:rPr>
                <w:rFonts w:hint="eastAsia" w:hAnsi="宋体" w:cs="宋体"/>
                <w:color w:val="000000"/>
                <w:kern w:val="0"/>
                <w:sz w:val="24"/>
              </w:rPr>
              <w:t>根据被评价单位工作特点确定</w:t>
            </w:r>
          </w:p>
        </w:tc>
        <w:tc>
          <w:tcPr>
            <w:tcW w:w="3058" w:type="dxa"/>
            <w:vMerge w:val="restart"/>
            <w:noWrap w:val="0"/>
            <w:vAlign w:val="center"/>
          </w:tcPr>
          <w:p w14:paraId="4DC3B9D7">
            <w:pPr>
              <w:widowControl/>
              <w:spacing w:line="380" w:lineRule="exact"/>
              <w:ind w:firstLine="0" w:firstLineChars="0"/>
              <w:rPr>
                <w:rFonts w:hint="eastAsia" w:hAnsi="宋体" w:cs="宋体"/>
                <w:color w:val="000000"/>
                <w:kern w:val="0"/>
                <w:sz w:val="24"/>
              </w:rPr>
            </w:pPr>
            <w:r>
              <w:rPr>
                <w:rFonts w:hint="eastAsia" w:hAnsi="宋体" w:cs="宋体"/>
                <w:color w:val="000000"/>
                <w:kern w:val="0"/>
                <w:sz w:val="24"/>
              </w:rPr>
              <w:t>按100%满意度，每降低2个百分点减1分，直至不得分。</w:t>
            </w:r>
          </w:p>
        </w:tc>
      </w:tr>
      <w:tr w14:paraId="44AB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6" w:type="dxa"/>
            <w:vMerge w:val="continue"/>
            <w:noWrap w:val="0"/>
            <w:vAlign w:val="top"/>
          </w:tcPr>
          <w:p w14:paraId="1889CF8C">
            <w:pPr>
              <w:widowControl/>
              <w:spacing w:line="380" w:lineRule="exact"/>
              <w:ind w:firstLine="0" w:firstLineChars="0"/>
              <w:jc w:val="center"/>
              <w:rPr>
                <w:rFonts w:hint="eastAsia" w:ascii="宋体" w:hAnsi="宋体" w:cs="宋体"/>
                <w:color w:val="000000"/>
                <w:kern w:val="0"/>
                <w:sz w:val="24"/>
              </w:rPr>
            </w:pPr>
          </w:p>
        </w:tc>
        <w:tc>
          <w:tcPr>
            <w:tcW w:w="1953" w:type="dxa"/>
            <w:vMerge w:val="continue"/>
            <w:noWrap w:val="0"/>
            <w:vAlign w:val="center"/>
          </w:tcPr>
          <w:p w14:paraId="62E28D91">
            <w:pPr>
              <w:widowControl/>
              <w:spacing w:line="380" w:lineRule="exact"/>
              <w:ind w:firstLine="0" w:firstLineChars="0"/>
              <w:jc w:val="center"/>
              <w:rPr>
                <w:rFonts w:hint="eastAsia" w:ascii="宋体" w:hAnsi="宋体" w:cs="宋体"/>
                <w:color w:val="000000"/>
                <w:kern w:val="0"/>
                <w:sz w:val="24"/>
              </w:rPr>
            </w:pPr>
          </w:p>
        </w:tc>
        <w:tc>
          <w:tcPr>
            <w:tcW w:w="2076" w:type="dxa"/>
            <w:noWrap w:val="0"/>
            <w:vAlign w:val="center"/>
          </w:tcPr>
          <w:p w14:paraId="153D0469">
            <w:pPr>
              <w:widowControl/>
              <w:spacing w:line="380" w:lineRule="exact"/>
              <w:ind w:firstLine="0" w:firstLineChars="0"/>
              <w:jc w:val="left"/>
              <w:rPr>
                <w:rFonts w:hint="eastAsia" w:ascii="宋体" w:hAnsi="宋体" w:cs="宋体"/>
                <w:color w:val="000000"/>
                <w:kern w:val="0"/>
                <w:sz w:val="24"/>
              </w:rPr>
            </w:pPr>
            <w:r>
              <w:rPr>
                <w:rFonts w:hint="eastAsia" w:ascii="宋体" w:hAnsi="宋体" w:cs="宋体"/>
                <w:color w:val="000000"/>
                <w:kern w:val="0"/>
                <w:sz w:val="24"/>
              </w:rPr>
              <w:t>创新团队满意度</w:t>
            </w:r>
          </w:p>
        </w:tc>
        <w:tc>
          <w:tcPr>
            <w:tcW w:w="492" w:type="dxa"/>
            <w:noWrap w:val="0"/>
            <w:vAlign w:val="center"/>
          </w:tcPr>
          <w:p w14:paraId="1432A98E">
            <w:pPr>
              <w:widowControl/>
              <w:spacing w:line="380" w:lineRule="exact"/>
              <w:ind w:firstLine="0" w:firstLineChars="0"/>
              <w:jc w:val="center"/>
              <w:rPr>
                <w:rFonts w:hint="eastAsia" w:hAnsi="宋体" w:cs="宋体"/>
                <w:color w:val="000000"/>
                <w:kern w:val="0"/>
                <w:sz w:val="24"/>
              </w:rPr>
            </w:pPr>
            <w:r>
              <w:rPr>
                <w:rFonts w:hint="eastAsia" w:hAnsi="宋体" w:cs="宋体"/>
                <w:color w:val="000000"/>
                <w:kern w:val="0"/>
                <w:sz w:val="24"/>
              </w:rPr>
              <w:t>5</w:t>
            </w:r>
          </w:p>
        </w:tc>
        <w:tc>
          <w:tcPr>
            <w:tcW w:w="3326" w:type="dxa"/>
            <w:noWrap w:val="0"/>
            <w:vAlign w:val="center"/>
          </w:tcPr>
          <w:p w14:paraId="778194DE">
            <w:pPr>
              <w:widowControl/>
              <w:spacing w:line="380" w:lineRule="exact"/>
              <w:ind w:firstLine="0" w:firstLineChars="0"/>
              <w:jc w:val="left"/>
              <w:rPr>
                <w:rFonts w:hint="eastAsia" w:hAnsi="宋体" w:cs="宋体"/>
                <w:color w:val="000000"/>
                <w:kern w:val="0"/>
                <w:sz w:val="24"/>
              </w:rPr>
            </w:pPr>
            <w:r>
              <w:rPr>
                <w:rFonts w:hint="eastAsia" w:ascii="宋体" w:hAnsi="宋体" w:cs="宋体"/>
                <w:color w:val="000000"/>
                <w:kern w:val="0"/>
                <w:sz w:val="24"/>
              </w:rPr>
              <w:t>创新团队</w:t>
            </w:r>
            <w:r>
              <w:rPr>
                <w:rFonts w:hint="eastAsia" w:hAnsi="宋体" w:cs="宋体"/>
                <w:color w:val="000000"/>
                <w:kern w:val="0"/>
                <w:sz w:val="24"/>
              </w:rPr>
              <w:t>对项目建设方服务的满意度</w:t>
            </w:r>
          </w:p>
        </w:tc>
        <w:tc>
          <w:tcPr>
            <w:tcW w:w="1276" w:type="dxa"/>
            <w:vMerge w:val="continue"/>
            <w:noWrap w:val="0"/>
            <w:vAlign w:val="top"/>
          </w:tcPr>
          <w:p w14:paraId="2BC0792F">
            <w:pPr>
              <w:widowControl/>
              <w:spacing w:line="380" w:lineRule="exact"/>
              <w:ind w:firstLine="0" w:firstLineChars="0"/>
              <w:rPr>
                <w:rFonts w:hint="eastAsia" w:hAnsi="宋体" w:cs="宋体"/>
                <w:color w:val="000000"/>
                <w:kern w:val="0"/>
                <w:sz w:val="24"/>
              </w:rPr>
            </w:pPr>
          </w:p>
        </w:tc>
        <w:tc>
          <w:tcPr>
            <w:tcW w:w="3058" w:type="dxa"/>
            <w:vMerge w:val="continue"/>
            <w:noWrap w:val="0"/>
            <w:vAlign w:val="center"/>
          </w:tcPr>
          <w:p w14:paraId="640349C0">
            <w:pPr>
              <w:widowControl/>
              <w:spacing w:line="380" w:lineRule="exact"/>
              <w:ind w:firstLine="0" w:firstLineChars="0"/>
              <w:rPr>
                <w:rFonts w:hint="eastAsia" w:hAnsi="宋体" w:cs="宋体"/>
                <w:color w:val="000000"/>
                <w:kern w:val="0"/>
                <w:sz w:val="24"/>
              </w:rPr>
            </w:pPr>
          </w:p>
        </w:tc>
      </w:tr>
    </w:tbl>
    <w:p w14:paraId="317FB7D8">
      <w:pPr>
        <w:ind w:firstLine="640"/>
        <w:rPr>
          <w:color w:val="000000"/>
        </w:rPr>
        <w:sectPr>
          <w:pgSz w:w="16838" w:h="11906" w:orient="landscape"/>
          <w:pgMar w:top="1588" w:right="2098" w:bottom="1474" w:left="1985" w:header="851" w:footer="992" w:gutter="0"/>
          <w:pgNumType w:fmt="numberInDash"/>
          <w:cols w:space="720" w:num="1"/>
          <w:docGrid w:type="lines" w:linePitch="579" w:charSpace="7350"/>
        </w:sectPr>
      </w:pPr>
    </w:p>
    <w:p w14:paraId="5EF39464">
      <w:pPr>
        <w:ind w:firstLine="712"/>
        <w:rPr>
          <w:color w:val="000000"/>
        </w:rPr>
      </w:pPr>
      <w:r>
        <w:rPr>
          <w:rFonts w:hint="eastAsia"/>
          <w:color w:val="000000"/>
        </w:rPr>
        <w:t>2.2.5.2</w:t>
      </w:r>
      <w:r>
        <w:rPr>
          <w:color w:val="000000"/>
        </w:rPr>
        <w:t>现场实施阶段</w:t>
      </w:r>
    </w:p>
    <w:p w14:paraId="42793EB6">
      <w:pPr>
        <w:ind w:firstLine="712"/>
        <w:rPr>
          <w:color w:val="000000"/>
        </w:rPr>
      </w:pPr>
      <w:r>
        <w:rPr>
          <w:rFonts w:hint="eastAsia"/>
          <w:color w:val="000000"/>
        </w:rPr>
        <w:t>绩效评价工作组进驻项目实施单位，现场查看、了解项目实际状况，查阅项目档案，核查财务资料；</w:t>
      </w:r>
    </w:p>
    <w:p w14:paraId="088D058A">
      <w:pPr>
        <w:ind w:firstLine="712"/>
        <w:rPr>
          <w:color w:val="000000"/>
        </w:rPr>
      </w:pPr>
      <w:r>
        <w:rPr>
          <w:rFonts w:hint="eastAsia"/>
          <w:color w:val="000000"/>
        </w:rPr>
        <w:t>与项目管理和实施人员、财务人员进行座谈，开展满意度调查，完成项目评价基础信息表，确定项目绩效评价指标体系框架。</w:t>
      </w:r>
    </w:p>
    <w:p w14:paraId="29979C5D">
      <w:pPr>
        <w:ind w:firstLine="712"/>
        <w:rPr>
          <w:color w:val="000000"/>
        </w:rPr>
      </w:pPr>
      <w:r>
        <w:rPr>
          <w:rFonts w:hint="eastAsia"/>
          <w:color w:val="000000"/>
        </w:rPr>
        <w:t>2.2.5.</w:t>
      </w:r>
      <w:r>
        <w:rPr>
          <w:color w:val="000000"/>
        </w:rPr>
        <w:t>3评价分析阶段</w:t>
      </w:r>
    </w:p>
    <w:p w14:paraId="5A4B3BE4">
      <w:pPr>
        <w:ind w:firstLine="712"/>
        <w:rPr>
          <w:color w:val="000000"/>
        </w:rPr>
      </w:pPr>
      <w:r>
        <w:rPr>
          <w:rFonts w:hint="eastAsia"/>
          <w:color w:val="000000"/>
        </w:rPr>
        <w:t>综合分析收集到的资料，核查用于继续分析和评价的证据，进一步整理、加工和计算，确认项目绩效指标完成情况；按照评分标准对指标逐项评议打分，得出评分结果和评价结论，总结评价中发现的问题，提出相应的改进措施。</w:t>
      </w:r>
    </w:p>
    <w:p w14:paraId="11CC7537">
      <w:pPr>
        <w:ind w:firstLine="712"/>
        <w:rPr>
          <w:color w:val="000000"/>
        </w:rPr>
      </w:pPr>
      <w:r>
        <w:rPr>
          <w:rFonts w:hint="eastAsia"/>
          <w:color w:val="000000"/>
        </w:rPr>
        <w:t>2.2.5.</w:t>
      </w:r>
      <w:r>
        <w:rPr>
          <w:color w:val="000000"/>
        </w:rPr>
        <w:t>4评价报告阶段</w:t>
      </w:r>
    </w:p>
    <w:p w14:paraId="6F8F1AE0">
      <w:pPr>
        <w:ind w:firstLine="712"/>
        <w:rPr>
          <w:rFonts w:hint="eastAsia"/>
          <w:color w:val="000000"/>
        </w:rPr>
      </w:pPr>
      <w:r>
        <w:rPr>
          <w:rFonts w:hint="eastAsia"/>
          <w:color w:val="000000"/>
        </w:rPr>
        <w:t>撰写项目绩效自评报告初稿，进行逐级质量复核；同项目主管部门和实施单位就绩效评价报告初稿充分交换意见,向委托单位提交报告初稿，并作必要的修改后，及时提交正式的绩效评价报告；对绩效评价工作资料进行整理，完善绩效评价工作底稿并归档。</w:t>
      </w:r>
    </w:p>
    <w:p w14:paraId="627678DE">
      <w:pPr>
        <w:pStyle w:val="3"/>
        <w:ind w:firstLine="712"/>
        <w:rPr>
          <w:rFonts w:hint="eastAsia"/>
          <w:b w:val="0"/>
          <w:color w:val="000000"/>
        </w:rPr>
      </w:pPr>
      <w:bookmarkStart w:id="34" w:name="_Toc46983120"/>
      <w:bookmarkStart w:id="35" w:name="_Toc58481824"/>
      <w:r>
        <w:rPr>
          <w:rFonts w:hint="eastAsia"/>
          <w:b w:val="0"/>
          <w:color w:val="000000"/>
        </w:rPr>
        <w:t>2.3绩效指标完成情况分析</w:t>
      </w:r>
      <w:bookmarkEnd w:id="34"/>
      <w:bookmarkEnd w:id="35"/>
    </w:p>
    <w:p w14:paraId="640E2C0D">
      <w:pPr>
        <w:ind w:firstLine="712"/>
        <w:rPr>
          <w:rFonts w:hint="eastAsia"/>
          <w:color w:val="000000"/>
        </w:rPr>
      </w:pPr>
      <w:r>
        <w:rPr>
          <w:rFonts w:hint="eastAsia"/>
          <w:color w:val="000000"/>
        </w:rPr>
        <w:t>根据查阅获取的有关制度文本、财务以及业务资料、现场察看等方式核查了各项指标的完成情况。以下分别各项指标进行分析：</w:t>
      </w:r>
    </w:p>
    <w:p w14:paraId="50810797">
      <w:pPr>
        <w:pStyle w:val="4"/>
        <w:ind w:firstLine="712"/>
        <w:rPr>
          <w:rFonts w:hint="eastAsia"/>
          <w:b w:val="0"/>
          <w:color w:val="000000"/>
        </w:rPr>
      </w:pPr>
      <w:r>
        <w:rPr>
          <w:rFonts w:hint="eastAsia"/>
          <w:b w:val="0"/>
          <w:color w:val="000000"/>
        </w:rPr>
        <w:t>2.3.1项目决策与过程</w:t>
      </w:r>
    </w:p>
    <w:p w14:paraId="05F22C39">
      <w:pPr>
        <w:ind w:firstLine="712"/>
        <w:rPr>
          <w:rFonts w:hint="eastAsia"/>
          <w:color w:val="000000"/>
        </w:rPr>
      </w:pPr>
      <w:r>
        <w:rPr>
          <w:rFonts w:hint="eastAsia"/>
          <w:color w:val="000000"/>
        </w:rPr>
        <w:t>①项目决策—项目立项—必要性</w:t>
      </w:r>
    </w:p>
    <w:p w14:paraId="6FAB4609">
      <w:pPr>
        <w:ind w:firstLine="712"/>
        <w:rPr>
          <w:rFonts w:hint="eastAsia"/>
          <w:color w:val="000000"/>
        </w:rPr>
      </w:pPr>
      <w:r>
        <w:rPr>
          <w:rFonts w:hint="eastAsia"/>
          <w:color w:val="000000"/>
        </w:rPr>
        <w:t>本项目旨在通过市校合作,打造鄂州市高科技产业群,推动鄂州市科技产业经济发展。也能通过吸引高科技人员,形成区域人才高地,促进鄂州城市品牌形象提升。开展市校合作也是国内一些发达城市在科技产业发展方面的较好的经验。评价认为，项目立项是必要的，但根据目前完成的目标情况看，主要体现在学术研究上，与地方财政资金事权范围略显不符，本指标权重分值5分，根据评分细则，评价得分4分。</w:t>
      </w:r>
    </w:p>
    <w:p w14:paraId="6C6DA85A">
      <w:pPr>
        <w:ind w:firstLine="712"/>
        <w:rPr>
          <w:rFonts w:hint="eastAsia"/>
          <w:color w:val="000000"/>
        </w:rPr>
      </w:pPr>
      <w:r>
        <w:rPr>
          <w:rFonts w:hint="eastAsia"/>
          <w:color w:val="000000"/>
        </w:rPr>
        <w:t>②项目决策—绩效目标—目标合理性</w:t>
      </w:r>
    </w:p>
    <w:p w14:paraId="4E28D11C">
      <w:pPr>
        <w:ind w:firstLine="712"/>
        <w:rPr>
          <w:rFonts w:hint="eastAsia"/>
          <w:color w:val="000000"/>
        </w:rPr>
      </w:pPr>
      <w:r>
        <w:rPr>
          <w:rFonts w:hint="eastAsia"/>
          <w:color w:val="000000"/>
        </w:rPr>
        <w:t>本项目绩效目标主要根据共建协议约定的5年共建任务目标确定，由于在具体实施进程中未能按年度分解总的任务目标，评价认为绩效目标设置不够合理。</w:t>
      </w:r>
    </w:p>
    <w:p w14:paraId="27D078F6">
      <w:pPr>
        <w:ind w:firstLine="712"/>
        <w:rPr>
          <w:rFonts w:hint="eastAsia"/>
          <w:color w:val="000000"/>
        </w:rPr>
      </w:pPr>
      <w:r>
        <w:rPr>
          <w:rFonts w:hint="eastAsia"/>
          <w:color w:val="000000"/>
        </w:rPr>
        <w:t>本指标权重分值5分，评价得分4分。</w:t>
      </w:r>
    </w:p>
    <w:p w14:paraId="115D6DB4">
      <w:pPr>
        <w:ind w:firstLine="712"/>
        <w:rPr>
          <w:rFonts w:hint="eastAsia"/>
          <w:color w:val="000000"/>
        </w:rPr>
      </w:pPr>
      <w:r>
        <w:rPr>
          <w:rFonts w:hint="eastAsia"/>
          <w:color w:val="000000"/>
        </w:rPr>
        <w:t>③项目过程—项目管理—管理制度健全性</w:t>
      </w:r>
    </w:p>
    <w:p w14:paraId="21D30D6B">
      <w:pPr>
        <w:ind w:firstLine="712"/>
        <w:rPr>
          <w:rFonts w:hint="eastAsia"/>
          <w:color w:val="000000"/>
        </w:rPr>
      </w:pPr>
      <w:r>
        <w:rPr>
          <w:rFonts w:hint="eastAsia"/>
          <w:color w:val="000000"/>
        </w:rPr>
        <w:t>工研院自成立以来，先后建立和完善了财务管理、科研项目管理、人力资源管理等方面的各项内控制度，为指导和规范机构内部管理提供了制度基础。经过审阅相关制度，评价认为各项管理制度还需要按照《行政事业单位内部控制规范》进一步完善各项业务流程及流程节点的控制措施等内容，并编制相应的内控手册。本指标评价为管理制度基本健全。</w:t>
      </w:r>
    </w:p>
    <w:p w14:paraId="44100940">
      <w:pPr>
        <w:ind w:firstLine="712"/>
        <w:rPr>
          <w:rFonts w:hint="eastAsia"/>
          <w:color w:val="000000"/>
        </w:rPr>
      </w:pPr>
      <w:r>
        <w:rPr>
          <w:rFonts w:hint="eastAsia"/>
          <w:color w:val="000000"/>
        </w:rPr>
        <w:t>本指标权重分值5分，评价得分3分。</w:t>
      </w:r>
    </w:p>
    <w:p w14:paraId="7A611315">
      <w:pPr>
        <w:ind w:firstLine="712"/>
        <w:rPr>
          <w:rFonts w:hint="eastAsia"/>
          <w:color w:val="000000"/>
        </w:rPr>
      </w:pPr>
      <w:r>
        <w:rPr>
          <w:rFonts w:hint="eastAsia"/>
          <w:color w:val="000000"/>
        </w:rPr>
        <w:t>④项目过程—项目管理—制度执行有效性</w:t>
      </w:r>
    </w:p>
    <w:p w14:paraId="1533B7F9">
      <w:pPr>
        <w:ind w:firstLine="712"/>
        <w:rPr>
          <w:rFonts w:hint="eastAsia"/>
          <w:color w:val="000000"/>
        </w:rPr>
      </w:pPr>
      <w:r>
        <w:rPr>
          <w:rFonts w:hint="eastAsia"/>
          <w:color w:val="000000"/>
        </w:rPr>
        <w:t>通过查阅财务会计凭证、科研项目有关的立项、项目团队入驻、孵化科技企业有关的档案资料，评价认为各项管理制度得到有效执行。</w:t>
      </w:r>
    </w:p>
    <w:p w14:paraId="445BBC46">
      <w:pPr>
        <w:ind w:firstLine="712"/>
        <w:rPr>
          <w:rFonts w:hint="eastAsia"/>
          <w:color w:val="000000"/>
        </w:rPr>
      </w:pPr>
      <w:r>
        <w:rPr>
          <w:rFonts w:hint="eastAsia"/>
          <w:color w:val="000000"/>
        </w:rPr>
        <w:t>本指标权重分值5分，评价得分5分。</w:t>
      </w:r>
    </w:p>
    <w:p w14:paraId="257288E1">
      <w:pPr>
        <w:ind w:firstLine="712"/>
        <w:rPr>
          <w:rFonts w:hint="eastAsia"/>
          <w:color w:val="000000"/>
        </w:rPr>
      </w:pPr>
      <w:r>
        <w:rPr>
          <w:rFonts w:hint="eastAsia"/>
          <w:color w:val="000000"/>
        </w:rPr>
        <w:t>⑤项目过程—资金管理—资金到位率</w:t>
      </w:r>
    </w:p>
    <w:p w14:paraId="20B8E446">
      <w:pPr>
        <w:ind w:firstLine="712"/>
        <w:rPr>
          <w:rFonts w:hint="eastAsia"/>
          <w:color w:val="000000"/>
        </w:rPr>
      </w:pPr>
      <w:r>
        <w:rPr>
          <w:rFonts w:hint="eastAsia"/>
          <w:color w:val="000000"/>
        </w:rPr>
        <w:t>本项目按协议约定的金额分年拨付，5年共应拨付3亿元，目前已拨付2.7亿元（2020年11月到位3000万元），资金到位率90%，按时间进度计算分析，为足额拨付。</w:t>
      </w:r>
    </w:p>
    <w:p w14:paraId="4FB3A776">
      <w:pPr>
        <w:ind w:firstLine="712"/>
        <w:rPr>
          <w:rFonts w:hint="eastAsia"/>
          <w:color w:val="000000"/>
        </w:rPr>
      </w:pPr>
      <w:r>
        <w:rPr>
          <w:rFonts w:hint="eastAsia"/>
          <w:color w:val="000000"/>
        </w:rPr>
        <w:t>本指标权重分值5分，评价得分5分。</w:t>
      </w:r>
    </w:p>
    <w:p w14:paraId="433C96BD">
      <w:pPr>
        <w:ind w:firstLine="712"/>
        <w:rPr>
          <w:rFonts w:hint="eastAsia"/>
          <w:color w:val="000000"/>
        </w:rPr>
      </w:pPr>
      <w:r>
        <w:rPr>
          <w:rFonts w:hint="eastAsia"/>
          <w:color w:val="000000"/>
        </w:rPr>
        <w:t>⑥项目过程—资金管理—资金使用合理合规性</w:t>
      </w:r>
    </w:p>
    <w:p w14:paraId="183F600A">
      <w:pPr>
        <w:ind w:firstLine="712"/>
        <w:rPr>
          <w:rFonts w:hint="eastAsia"/>
          <w:color w:val="000000"/>
        </w:rPr>
      </w:pPr>
      <w:r>
        <w:rPr>
          <w:rFonts w:hint="eastAsia"/>
          <w:color w:val="000000"/>
        </w:rPr>
        <w:t>通过检查财务会计凭证，统计分析基本支出、科研项目支出，核查科研项目管理相关资料，资金使用基本符合协议约定工研院日常运行经费占比10%、事业发展基金占比70%、华中科技大学经费占比20%的要求。从实际支出情况看，除科研项目经费有部分后期待支付款项、应付华中科技大学市校合作经费有3000万元未支付，拟作为后期科研项目孵化投入资金外，其他支出均符合财务管理规定。</w:t>
      </w:r>
    </w:p>
    <w:p w14:paraId="572963FB">
      <w:pPr>
        <w:ind w:firstLine="712"/>
        <w:rPr>
          <w:rFonts w:hint="eastAsia"/>
          <w:color w:val="000000"/>
        </w:rPr>
      </w:pPr>
      <w:r>
        <w:rPr>
          <w:rFonts w:hint="eastAsia"/>
          <w:color w:val="000000"/>
        </w:rPr>
        <w:t>评价认为，资金使用基本是合规的，但从拨付资金的数量与实际使用情况看，既存在资金预算的不合理方面也反映出项目执行力度不够理想的问题。因此，本指标权重分值5分，评价得分4分。</w:t>
      </w:r>
    </w:p>
    <w:p w14:paraId="3B549700">
      <w:pPr>
        <w:pStyle w:val="4"/>
        <w:ind w:firstLine="712"/>
        <w:rPr>
          <w:rFonts w:hint="eastAsia"/>
          <w:b w:val="0"/>
          <w:color w:val="000000"/>
        </w:rPr>
      </w:pPr>
      <w:r>
        <w:rPr>
          <w:rFonts w:hint="eastAsia"/>
          <w:b w:val="0"/>
          <w:color w:val="000000"/>
        </w:rPr>
        <w:t>2.3.2产出指标方面</w:t>
      </w:r>
    </w:p>
    <w:p w14:paraId="598C1C7E">
      <w:pPr>
        <w:ind w:firstLine="712"/>
        <w:rPr>
          <w:rFonts w:hint="eastAsia"/>
          <w:color w:val="000000"/>
        </w:rPr>
      </w:pPr>
      <w:r>
        <w:rPr>
          <w:rFonts w:hint="eastAsia"/>
          <w:color w:val="000000"/>
        </w:rPr>
        <w:t>①数量指标—建成孵化器数量</w:t>
      </w:r>
    </w:p>
    <w:p w14:paraId="35350CB5">
      <w:pPr>
        <w:ind w:firstLine="712"/>
        <w:rPr>
          <w:rFonts w:hint="eastAsia"/>
          <w:color w:val="000000"/>
        </w:rPr>
      </w:pPr>
      <w:r>
        <w:rPr>
          <w:rFonts w:hint="eastAsia"/>
          <w:color w:val="000000"/>
        </w:rPr>
        <w:t>通过查阅设立的科技企业孵化器、众创空间及经省政府各部门批准的各类专业的科技成果孵化服务平台，并通过现场察看方式验证，此项指标按计划超额完成。根据协议约定，五年内建成3-5个孵化器，目前实际已建成各类孵化平台14个：</w:t>
      </w:r>
    </w:p>
    <w:tbl>
      <w:tblPr>
        <w:tblStyle w:val="11"/>
        <w:tblW w:w="889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16"/>
        <w:gridCol w:w="3781"/>
      </w:tblGrid>
      <w:tr w14:paraId="5E7647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03A9E0FF">
            <w:pPr>
              <w:spacing w:line="320" w:lineRule="exact"/>
              <w:ind w:firstLine="0" w:firstLineChars="0"/>
              <w:jc w:val="center"/>
              <w:rPr>
                <w:color w:val="000000"/>
                <w:sz w:val="24"/>
                <w:szCs w:val="24"/>
              </w:rPr>
            </w:pPr>
            <w:r>
              <w:rPr>
                <w:rFonts w:hint="eastAsia"/>
                <w:color w:val="000000"/>
                <w:sz w:val="24"/>
                <w:szCs w:val="24"/>
              </w:rPr>
              <w:t>平台名称</w:t>
            </w:r>
          </w:p>
        </w:tc>
        <w:tc>
          <w:tcPr>
            <w:tcW w:w="3781" w:type="dxa"/>
            <w:noWrap w:val="0"/>
            <w:vAlign w:val="center"/>
          </w:tcPr>
          <w:p w14:paraId="003272D6">
            <w:pPr>
              <w:spacing w:line="320" w:lineRule="exact"/>
              <w:ind w:firstLine="0" w:firstLineChars="0"/>
              <w:jc w:val="center"/>
              <w:rPr>
                <w:color w:val="000000"/>
                <w:sz w:val="24"/>
                <w:szCs w:val="24"/>
              </w:rPr>
            </w:pPr>
            <w:r>
              <w:rPr>
                <w:rFonts w:hint="eastAsia"/>
                <w:color w:val="000000"/>
                <w:sz w:val="24"/>
                <w:szCs w:val="24"/>
              </w:rPr>
              <w:t>批准单位</w:t>
            </w:r>
          </w:p>
        </w:tc>
      </w:tr>
      <w:tr w14:paraId="200510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0E9A0125">
            <w:pPr>
              <w:spacing w:line="320" w:lineRule="exact"/>
              <w:ind w:firstLine="0" w:firstLineChars="0"/>
              <w:rPr>
                <w:color w:val="000000"/>
                <w:sz w:val="24"/>
                <w:szCs w:val="24"/>
              </w:rPr>
            </w:pPr>
            <w:r>
              <w:rPr>
                <w:rFonts w:hint="eastAsia"/>
                <w:color w:val="000000"/>
                <w:sz w:val="24"/>
                <w:szCs w:val="24"/>
              </w:rPr>
              <w:t>湖北省科技企业孵化器</w:t>
            </w:r>
          </w:p>
        </w:tc>
        <w:tc>
          <w:tcPr>
            <w:tcW w:w="3781" w:type="dxa"/>
            <w:noWrap w:val="0"/>
            <w:vAlign w:val="center"/>
          </w:tcPr>
          <w:p w14:paraId="33D1E37F">
            <w:pPr>
              <w:spacing w:line="320" w:lineRule="exact"/>
              <w:ind w:firstLine="0" w:firstLineChars="0"/>
              <w:rPr>
                <w:color w:val="000000"/>
                <w:sz w:val="24"/>
                <w:szCs w:val="24"/>
              </w:rPr>
            </w:pPr>
            <w:r>
              <w:rPr>
                <w:rFonts w:hint="eastAsia"/>
                <w:color w:val="000000"/>
                <w:sz w:val="24"/>
                <w:szCs w:val="24"/>
              </w:rPr>
              <w:t>省科技厅</w:t>
            </w:r>
          </w:p>
        </w:tc>
      </w:tr>
      <w:tr w14:paraId="47B705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5DE8AB32">
            <w:pPr>
              <w:spacing w:line="320" w:lineRule="exact"/>
              <w:ind w:firstLine="0" w:firstLineChars="0"/>
              <w:rPr>
                <w:color w:val="000000"/>
                <w:sz w:val="24"/>
                <w:szCs w:val="24"/>
              </w:rPr>
            </w:pPr>
            <w:r>
              <w:rPr>
                <w:rFonts w:hint="eastAsia"/>
                <w:color w:val="000000"/>
                <w:sz w:val="24"/>
                <w:szCs w:val="24"/>
              </w:rPr>
              <w:t>湖北省产业技术研究院</w:t>
            </w:r>
          </w:p>
        </w:tc>
        <w:tc>
          <w:tcPr>
            <w:tcW w:w="3781" w:type="dxa"/>
            <w:noWrap w:val="0"/>
            <w:vAlign w:val="center"/>
          </w:tcPr>
          <w:p w14:paraId="005BCF7E">
            <w:pPr>
              <w:spacing w:line="320" w:lineRule="exact"/>
              <w:ind w:firstLine="0" w:firstLineChars="0"/>
              <w:rPr>
                <w:color w:val="000000"/>
                <w:sz w:val="24"/>
                <w:szCs w:val="24"/>
              </w:rPr>
            </w:pPr>
            <w:r>
              <w:rPr>
                <w:rFonts w:hint="eastAsia"/>
                <w:color w:val="000000"/>
                <w:sz w:val="24"/>
                <w:szCs w:val="24"/>
              </w:rPr>
              <w:t>省科技厅</w:t>
            </w:r>
          </w:p>
        </w:tc>
      </w:tr>
      <w:tr w14:paraId="6B0ECB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5E545951">
            <w:pPr>
              <w:spacing w:line="320" w:lineRule="exact"/>
              <w:ind w:firstLine="0" w:firstLineChars="0"/>
              <w:rPr>
                <w:color w:val="000000"/>
                <w:sz w:val="24"/>
                <w:szCs w:val="24"/>
              </w:rPr>
            </w:pPr>
            <w:r>
              <w:rPr>
                <w:rFonts w:hint="eastAsia"/>
                <w:color w:val="000000"/>
                <w:sz w:val="24"/>
                <w:szCs w:val="24"/>
              </w:rPr>
              <w:t>湖北省众创空间</w:t>
            </w:r>
          </w:p>
        </w:tc>
        <w:tc>
          <w:tcPr>
            <w:tcW w:w="3781" w:type="dxa"/>
            <w:noWrap w:val="0"/>
            <w:vAlign w:val="center"/>
          </w:tcPr>
          <w:p w14:paraId="126243D0">
            <w:pPr>
              <w:spacing w:line="320" w:lineRule="exact"/>
              <w:ind w:firstLine="0" w:firstLineChars="0"/>
              <w:rPr>
                <w:color w:val="000000"/>
                <w:sz w:val="24"/>
                <w:szCs w:val="24"/>
              </w:rPr>
            </w:pPr>
            <w:r>
              <w:rPr>
                <w:rFonts w:hint="eastAsia"/>
                <w:color w:val="000000"/>
                <w:sz w:val="24"/>
                <w:szCs w:val="24"/>
              </w:rPr>
              <w:t>省科技厅</w:t>
            </w:r>
          </w:p>
        </w:tc>
      </w:tr>
      <w:tr w14:paraId="3D52BB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531F6C7F">
            <w:pPr>
              <w:spacing w:line="320" w:lineRule="exact"/>
              <w:ind w:firstLine="0" w:firstLineChars="0"/>
              <w:rPr>
                <w:color w:val="000000"/>
                <w:sz w:val="24"/>
                <w:szCs w:val="24"/>
              </w:rPr>
            </w:pPr>
            <w:r>
              <w:rPr>
                <w:rFonts w:hint="eastAsia"/>
                <w:color w:val="000000"/>
                <w:sz w:val="24"/>
                <w:szCs w:val="24"/>
              </w:rPr>
              <w:t>湖北省人才创新创业平台</w:t>
            </w:r>
          </w:p>
        </w:tc>
        <w:tc>
          <w:tcPr>
            <w:tcW w:w="3781" w:type="dxa"/>
            <w:noWrap w:val="0"/>
            <w:vAlign w:val="center"/>
          </w:tcPr>
          <w:p w14:paraId="78A96FDB">
            <w:pPr>
              <w:spacing w:line="320" w:lineRule="exact"/>
              <w:ind w:firstLine="0" w:firstLineChars="0"/>
              <w:rPr>
                <w:color w:val="000000"/>
                <w:sz w:val="24"/>
                <w:szCs w:val="24"/>
              </w:rPr>
            </w:pPr>
            <w:r>
              <w:rPr>
                <w:rFonts w:hint="eastAsia"/>
                <w:color w:val="000000"/>
                <w:sz w:val="24"/>
                <w:szCs w:val="24"/>
              </w:rPr>
              <w:t>省委组织部、省科技厅、省人社厅、省教育厅</w:t>
            </w:r>
          </w:p>
        </w:tc>
      </w:tr>
      <w:tr w14:paraId="730322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376D2D50">
            <w:pPr>
              <w:spacing w:line="320" w:lineRule="exact"/>
              <w:ind w:firstLine="0" w:firstLineChars="0"/>
              <w:rPr>
                <w:color w:val="000000"/>
                <w:sz w:val="24"/>
                <w:szCs w:val="24"/>
              </w:rPr>
            </w:pPr>
            <w:r>
              <w:rPr>
                <w:rFonts w:hint="eastAsia"/>
                <w:color w:val="000000"/>
                <w:sz w:val="24"/>
                <w:szCs w:val="24"/>
              </w:rPr>
              <w:t>湖北省技术转移示范机构</w:t>
            </w:r>
          </w:p>
        </w:tc>
        <w:tc>
          <w:tcPr>
            <w:tcW w:w="3781" w:type="dxa"/>
            <w:noWrap w:val="0"/>
            <w:vAlign w:val="center"/>
          </w:tcPr>
          <w:p w14:paraId="64F05982">
            <w:pPr>
              <w:spacing w:line="320" w:lineRule="exact"/>
              <w:ind w:firstLine="0" w:firstLineChars="0"/>
              <w:rPr>
                <w:color w:val="000000"/>
                <w:sz w:val="24"/>
                <w:szCs w:val="24"/>
              </w:rPr>
            </w:pPr>
            <w:r>
              <w:rPr>
                <w:rFonts w:hint="eastAsia"/>
                <w:color w:val="000000"/>
                <w:sz w:val="24"/>
                <w:szCs w:val="24"/>
              </w:rPr>
              <w:t>省科技厅</w:t>
            </w:r>
          </w:p>
        </w:tc>
      </w:tr>
      <w:tr w14:paraId="436B48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77731CA7">
            <w:pPr>
              <w:spacing w:line="320" w:lineRule="exact"/>
              <w:ind w:firstLine="0" w:firstLineChars="0"/>
              <w:rPr>
                <w:color w:val="000000"/>
                <w:sz w:val="24"/>
                <w:szCs w:val="24"/>
              </w:rPr>
            </w:pPr>
            <w:r>
              <w:rPr>
                <w:rFonts w:hint="eastAsia"/>
                <w:color w:val="000000"/>
                <w:sz w:val="24"/>
                <w:szCs w:val="24"/>
              </w:rPr>
              <w:t>湖北省省级小型微型企业创新示范基地</w:t>
            </w:r>
          </w:p>
        </w:tc>
        <w:tc>
          <w:tcPr>
            <w:tcW w:w="3781" w:type="dxa"/>
            <w:noWrap w:val="0"/>
            <w:vAlign w:val="center"/>
          </w:tcPr>
          <w:p w14:paraId="422C7CBA">
            <w:pPr>
              <w:spacing w:line="320" w:lineRule="exact"/>
              <w:ind w:firstLine="0" w:firstLineChars="0"/>
              <w:rPr>
                <w:color w:val="000000"/>
                <w:sz w:val="24"/>
                <w:szCs w:val="24"/>
              </w:rPr>
            </w:pPr>
            <w:r>
              <w:rPr>
                <w:rFonts w:hint="eastAsia"/>
                <w:color w:val="000000"/>
                <w:sz w:val="24"/>
                <w:szCs w:val="24"/>
              </w:rPr>
              <w:t>省经信厅</w:t>
            </w:r>
          </w:p>
        </w:tc>
      </w:tr>
      <w:tr w14:paraId="7E46BC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28A9A018">
            <w:pPr>
              <w:spacing w:line="320" w:lineRule="exact"/>
              <w:ind w:firstLine="0" w:firstLineChars="0"/>
              <w:rPr>
                <w:color w:val="000000"/>
                <w:sz w:val="24"/>
                <w:szCs w:val="24"/>
              </w:rPr>
            </w:pPr>
            <w:r>
              <w:rPr>
                <w:rFonts w:hint="eastAsia"/>
                <w:color w:val="000000"/>
                <w:sz w:val="24"/>
                <w:szCs w:val="24"/>
              </w:rPr>
              <w:t>中央引导地方科技发展专项</w:t>
            </w:r>
          </w:p>
        </w:tc>
        <w:tc>
          <w:tcPr>
            <w:tcW w:w="3781" w:type="dxa"/>
            <w:noWrap w:val="0"/>
            <w:vAlign w:val="center"/>
          </w:tcPr>
          <w:p w14:paraId="1FD6469B">
            <w:pPr>
              <w:spacing w:line="320" w:lineRule="exact"/>
              <w:ind w:firstLine="0" w:firstLineChars="0"/>
              <w:rPr>
                <w:color w:val="000000"/>
                <w:sz w:val="24"/>
                <w:szCs w:val="24"/>
              </w:rPr>
            </w:pPr>
            <w:r>
              <w:rPr>
                <w:rFonts w:hint="eastAsia"/>
                <w:color w:val="000000"/>
                <w:sz w:val="24"/>
                <w:szCs w:val="24"/>
              </w:rPr>
              <w:t>省财政厅</w:t>
            </w:r>
          </w:p>
        </w:tc>
      </w:tr>
      <w:tr w14:paraId="3391E3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388CA8A5">
            <w:pPr>
              <w:spacing w:line="320" w:lineRule="exact"/>
              <w:ind w:firstLine="0" w:firstLineChars="0"/>
              <w:rPr>
                <w:color w:val="000000"/>
                <w:sz w:val="24"/>
                <w:szCs w:val="24"/>
              </w:rPr>
            </w:pPr>
            <w:r>
              <w:rPr>
                <w:rFonts w:hint="eastAsia"/>
                <w:color w:val="000000"/>
                <w:sz w:val="24"/>
                <w:szCs w:val="24"/>
              </w:rPr>
              <w:t>李德群院士专家工作站</w:t>
            </w:r>
          </w:p>
        </w:tc>
        <w:tc>
          <w:tcPr>
            <w:tcW w:w="3781" w:type="dxa"/>
            <w:noWrap w:val="0"/>
            <w:vAlign w:val="center"/>
          </w:tcPr>
          <w:p w14:paraId="3FFA5F4E">
            <w:pPr>
              <w:spacing w:line="320" w:lineRule="exact"/>
              <w:ind w:firstLine="0" w:firstLineChars="0"/>
              <w:rPr>
                <w:color w:val="000000"/>
                <w:sz w:val="24"/>
                <w:szCs w:val="24"/>
              </w:rPr>
            </w:pPr>
            <w:r>
              <w:rPr>
                <w:rFonts w:hint="eastAsia"/>
                <w:color w:val="000000"/>
                <w:sz w:val="24"/>
                <w:szCs w:val="24"/>
              </w:rPr>
              <w:t>省科协</w:t>
            </w:r>
          </w:p>
        </w:tc>
      </w:tr>
      <w:tr w14:paraId="72C339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2BAFB979">
            <w:pPr>
              <w:spacing w:line="320" w:lineRule="exact"/>
              <w:ind w:firstLine="0" w:firstLineChars="0"/>
              <w:rPr>
                <w:color w:val="000000"/>
                <w:sz w:val="24"/>
                <w:szCs w:val="24"/>
              </w:rPr>
            </w:pPr>
            <w:r>
              <w:rPr>
                <w:rFonts w:hint="eastAsia"/>
                <w:color w:val="000000"/>
                <w:sz w:val="24"/>
                <w:szCs w:val="24"/>
              </w:rPr>
              <w:t>赵国屏院士专家工作站</w:t>
            </w:r>
          </w:p>
        </w:tc>
        <w:tc>
          <w:tcPr>
            <w:tcW w:w="3781" w:type="dxa"/>
            <w:noWrap w:val="0"/>
            <w:vAlign w:val="center"/>
          </w:tcPr>
          <w:p w14:paraId="6C6B4392">
            <w:pPr>
              <w:spacing w:line="320" w:lineRule="exact"/>
              <w:ind w:firstLine="0" w:firstLineChars="0"/>
              <w:rPr>
                <w:color w:val="000000"/>
                <w:sz w:val="24"/>
                <w:szCs w:val="24"/>
              </w:rPr>
            </w:pPr>
            <w:r>
              <w:rPr>
                <w:rFonts w:hint="eastAsia"/>
                <w:color w:val="000000"/>
                <w:sz w:val="24"/>
                <w:szCs w:val="24"/>
              </w:rPr>
              <w:t>省科协</w:t>
            </w:r>
          </w:p>
        </w:tc>
      </w:tr>
      <w:tr w14:paraId="201B98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185B54C2">
            <w:pPr>
              <w:spacing w:line="320" w:lineRule="exact"/>
              <w:ind w:firstLine="0" w:firstLineChars="0"/>
              <w:rPr>
                <w:color w:val="000000"/>
                <w:sz w:val="24"/>
                <w:szCs w:val="24"/>
              </w:rPr>
            </w:pPr>
            <w:r>
              <w:rPr>
                <w:rFonts w:hint="eastAsia"/>
                <w:color w:val="000000"/>
                <w:sz w:val="24"/>
                <w:szCs w:val="24"/>
              </w:rPr>
              <w:t>湖北省高校院所知识产权推进工程</w:t>
            </w:r>
          </w:p>
        </w:tc>
        <w:tc>
          <w:tcPr>
            <w:tcW w:w="3781" w:type="dxa"/>
            <w:noWrap w:val="0"/>
            <w:vAlign w:val="center"/>
          </w:tcPr>
          <w:p w14:paraId="76954CAF">
            <w:pPr>
              <w:spacing w:line="320" w:lineRule="exact"/>
              <w:ind w:firstLine="0" w:firstLineChars="0"/>
              <w:rPr>
                <w:color w:val="000000"/>
                <w:sz w:val="24"/>
                <w:szCs w:val="24"/>
              </w:rPr>
            </w:pPr>
            <w:r>
              <w:rPr>
                <w:rFonts w:hint="eastAsia"/>
                <w:color w:val="000000"/>
                <w:sz w:val="24"/>
                <w:szCs w:val="24"/>
              </w:rPr>
              <w:t>省知识产权局</w:t>
            </w:r>
          </w:p>
        </w:tc>
      </w:tr>
      <w:tr w14:paraId="22A76A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359118E8">
            <w:pPr>
              <w:spacing w:line="320" w:lineRule="exact"/>
              <w:ind w:firstLine="0" w:firstLineChars="0"/>
              <w:rPr>
                <w:color w:val="000000"/>
                <w:sz w:val="24"/>
                <w:szCs w:val="24"/>
              </w:rPr>
            </w:pPr>
            <w:r>
              <w:rPr>
                <w:rFonts w:hint="eastAsia"/>
                <w:color w:val="000000"/>
                <w:sz w:val="24"/>
                <w:szCs w:val="24"/>
              </w:rPr>
              <w:t>湖北省3A科技企业孵化器</w:t>
            </w:r>
          </w:p>
        </w:tc>
        <w:tc>
          <w:tcPr>
            <w:tcW w:w="3781" w:type="dxa"/>
            <w:noWrap w:val="0"/>
            <w:vAlign w:val="center"/>
          </w:tcPr>
          <w:p w14:paraId="561746E5">
            <w:pPr>
              <w:spacing w:line="320" w:lineRule="exact"/>
              <w:ind w:firstLine="0" w:firstLineChars="0"/>
              <w:rPr>
                <w:color w:val="000000"/>
                <w:sz w:val="24"/>
                <w:szCs w:val="24"/>
              </w:rPr>
            </w:pPr>
            <w:r>
              <w:rPr>
                <w:rFonts w:hint="eastAsia"/>
                <w:color w:val="000000"/>
                <w:sz w:val="24"/>
                <w:szCs w:val="24"/>
              </w:rPr>
              <w:t>省科技厅</w:t>
            </w:r>
          </w:p>
        </w:tc>
      </w:tr>
      <w:tr w14:paraId="14135B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1682DE08">
            <w:pPr>
              <w:spacing w:line="320" w:lineRule="exact"/>
              <w:ind w:firstLine="0" w:firstLineChars="0"/>
              <w:rPr>
                <w:color w:val="000000"/>
                <w:sz w:val="24"/>
                <w:szCs w:val="24"/>
              </w:rPr>
            </w:pPr>
            <w:r>
              <w:rPr>
                <w:rFonts w:hint="eastAsia"/>
                <w:color w:val="000000"/>
                <w:sz w:val="24"/>
                <w:szCs w:val="24"/>
              </w:rPr>
              <w:t>湖北省技术转移机构绩效评价后补贴</w:t>
            </w:r>
          </w:p>
        </w:tc>
        <w:tc>
          <w:tcPr>
            <w:tcW w:w="3781" w:type="dxa"/>
            <w:noWrap w:val="0"/>
            <w:vAlign w:val="center"/>
          </w:tcPr>
          <w:p w14:paraId="4756FFDB">
            <w:pPr>
              <w:spacing w:line="320" w:lineRule="exact"/>
              <w:ind w:firstLine="0" w:firstLineChars="0"/>
              <w:rPr>
                <w:color w:val="000000"/>
                <w:sz w:val="24"/>
                <w:szCs w:val="24"/>
              </w:rPr>
            </w:pPr>
            <w:r>
              <w:rPr>
                <w:rFonts w:hint="eastAsia"/>
                <w:color w:val="000000"/>
                <w:sz w:val="24"/>
                <w:szCs w:val="24"/>
              </w:rPr>
              <w:t>省科技厅</w:t>
            </w:r>
          </w:p>
        </w:tc>
      </w:tr>
      <w:tr w14:paraId="2B719A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7B7368A1">
            <w:pPr>
              <w:spacing w:line="320" w:lineRule="exact"/>
              <w:ind w:firstLine="0" w:firstLineChars="0"/>
              <w:rPr>
                <w:color w:val="000000"/>
                <w:sz w:val="24"/>
                <w:szCs w:val="24"/>
              </w:rPr>
            </w:pPr>
            <w:r>
              <w:rPr>
                <w:rFonts w:hint="eastAsia"/>
                <w:color w:val="000000"/>
                <w:sz w:val="24"/>
                <w:szCs w:val="24"/>
              </w:rPr>
              <w:t>新鄂州人·优秀伯乐</w:t>
            </w:r>
          </w:p>
        </w:tc>
        <w:tc>
          <w:tcPr>
            <w:tcW w:w="3781" w:type="dxa"/>
            <w:noWrap w:val="0"/>
            <w:vAlign w:val="center"/>
          </w:tcPr>
          <w:p w14:paraId="11057C48">
            <w:pPr>
              <w:spacing w:line="320" w:lineRule="exact"/>
              <w:ind w:firstLine="0" w:firstLineChars="0"/>
              <w:rPr>
                <w:color w:val="000000"/>
                <w:sz w:val="24"/>
                <w:szCs w:val="24"/>
              </w:rPr>
            </w:pPr>
            <w:r>
              <w:rPr>
                <w:rFonts w:hint="eastAsia"/>
                <w:color w:val="000000"/>
                <w:sz w:val="24"/>
                <w:szCs w:val="24"/>
              </w:rPr>
              <w:t>市委人才工作领导办</w:t>
            </w:r>
          </w:p>
        </w:tc>
      </w:tr>
      <w:tr w14:paraId="1F0E70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16" w:type="dxa"/>
            <w:noWrap w:val="0"/>
            <w:vAlign w:val="center"/>
          </w:tcPr>
          <w:p w14:paraId="67615671">
            <w:pPr>
              <w:spacing w:line="320" w:lineRule="exact"/>
              <w:ind w:firstLine="0" w:firstLineChars="0"/>
              <w:rPr>
                <w:color w:val="000000"/>
                <w:sz w:val="24"/>
                <w:szCs w:val="24"/>
              </w:rPr>
            </w:pPr>
            <w:r>
              <w:rPr>
                <w:rFonts w:hint="eastAsia"/>
                <w:color w:val="000000"/>
                <w:sz w:val="24"/>
                <w:szCs w:val="24"/>
              </w:rPr>
              <w:t>“我选湖北”鄂州市大学生实习实训基地</w:t>
            </w:r>
          </w:p>
        </w:tc>
        <w:tc>
          <w:tcPr>
            <w:tcW w:w="3781" w:type="dxa"/>
            <w:noWrap w:val="0"/>
            <w:vAlign w:val="center"/>
          </w:tcPr>
          <w:p w14:paraId="3C74C971">
            <w:pPr>
              <w:spacing w:line="320" w:lineRule="exact"/>
              <w:ind w:firstLine="0" w:firstLineChars="0"/>
              <w:rPr>
                <w:color w:val="000000"/>
                <w:sz w:val="24"/>
                <w:szCs w:val="24"/>
              </w:rPr>
            </w:pPr>
            <w:r>
              <w:rPr>
                <w:rFonts w:hint="eastAsia"/>
                <w:color w:val="000000"/>
                <w:sz w:val="24"/>
                <w:szCs w:val="24"/>
              </w:rPr>
              <w:t>市人社局</w:t>
            </w:r>
          </w:p>
        </w:tc>
      </w:tr>
    </w:tbl>
    <w:p w14:paraId="64BD1C35">
      <w:pPr>
        <w:ind w:firstLine="712"/>
        <w:rPr>
          <w:rFonts w:hint="eastAsia"/>
          <w:color w:val="000000"/>
        </w:rPr>
      </w:pPr>
      <w:r>
        <w:rPr>
          <w:rFonts w:hint="eastAsia"/>
          <w:color w:val="000000"/>
        </w:rPr>
        <w:t>经过前述孵化平台已孵化出湖北深紫、精微视达、微生元生物、维视医疗等高科技企业57家。</w:t>
      </w:r>
    </w:p>
    <w:p w14:paraId="1F53A0C9">
      <w:pPr>
        <w:ind w:firstLine="712"/>
        <w:rPr>
          <w:rFonts w:hint="eastAsia"/>
          <w:color w:val="000000"/>
        </w:rPr>
      </w:pPr>
      <w:r>
        <w:rPr>
          <w:rFonts w:hint="eastAsia"/>
          <w:color w:val="000000"/>
        </w:rPr>
        <w:t>在孵企业获得国际荣誉奖项</w:t>
      </w:r>
      <w:r>
        <w:rPr>
          <w:color w:val="000000"/>
        </w:rPr>
        <w:t>2项、国家级荣誉奖项10项、省级荣誉奖项18项</w:t>
      </w:r>
      <w:r>
        <w:rPr>
          <w:rFonts w:hint="eastAsia"/>
          <w:color w:val="000000"/>
        </w:rPr>
        <w:t>、</w:t>
      </w:r>
      <w:r>
        <w:rPr>
          <w:color w:val="000000"/>
        </w:rPr>
        <w:t>市级荣誉奖项5项</w:t>
      </w:r>
      <w:r>
        <w:rPr>
          <w:rFonts w:hint="eastAsia"/>
          <w:color w:val="000000"/>
        </w:rPr>
        <w:t>（详见2.4.2附表）；科研项目获批国家级项目</w:t>
      </w:r>
      <w:r>
        <w:rPr>
          <w:color w:val="000000"/>
        </w:rPr>
        <w:t>7项、省级项目7项、市级项目27项</w:t>
      </w:r>
      <w:r>
        <w:rPr>
          <w:rFonts w:hint="eastAsia"/>
          <w:color w:val="000000"/>
        </w:rPr>
        <w:t>（详见2.4.3附表）。</w:t>
      </w:r>
    </w:p>
    <w:p w14:paraId="320F0126">
      <w:pPr>
        <w:ind w:firstLine="712"/>
        <w:rPr>
          <w:rFonts w:hint="eastAsia"/>
          <w:color w:val="000000"/>
        </w:rPr>
      </w:pPr>
      <w:r>
        <w:rPr>
          <w:rFonts w:hint="eastAsia"/>
          <w:color w:val="000000"/>
        </w:rPr>
        <w:t>本指标权重分值6分，评价得分6分。</w:t>
      </w:r>
    </w:p>
    <w:p w14:paraId="3E6B8C4C">
      <w:pPr>
        <w:ind w:firstLine="712"/>
        <w:rPr>
          <w:rFonts w:hint="eastAsia"/>
          <w:color w:val="000000"/>
        </w:rPr>
      </w:pPr>
      <w:r>
        <w:rPr>
          <w:rFonts w:hint="eastAsia"/>
          <w:color w:val="000000"/>
        </w:rPr>
        <w:t>②数量指标—建成专业生产基地数量</w:t>
      </w:r>
    </w:p>
    <w:p w14:paraId="7264A28A">
      <w:pPr>
        <w:ind w:firstLine="712"/>
        <w:rPr>
          <w:rFonts w:hint="eastAsia"/>
          <w:color w:val="000000"/>
        </w:rPr>
      </w:pPr>
      <w:r>
        <w:rPr>
          <w:rFonts w:hint="eastAsia"/>
          <w:color w:val="000000"/>
        </w:rPr>
        <w:t>截至目前，工研院已建成“第三代</w:t>
      </w:r>
      <w:r>
        <w:rPr>
          <w:color w:val="000000"/>
        </w:rPr>
        <w:t>半导体深紫外光器件专业生产基地</w:t>
      </w:r>
      <w:r>
        <w:rPr>
          <w:rFonts w:hint="eastAsia"/>
          <w:color w:val="000000"/>
        </w:rPr>
        <w:t>”、“</w:t>
      </w:r>
      <w:r>
        <w:rPr>
          <w:color w:val="000000"/>
        </w:rPr>
        <w:t>微生物发酵专业生产基地</w:t>
      </w:r>
      <w:r>
        <w:rPr>
          <w:rFonts w:hint="eastAsia"/>
          <w:color w:val="000000"/>
        </w:rPr>
        <w:t>”</w:t>
      </w:r>
      <w:r>
        <w:rPr>
          <w:color w:val="000000"/>
        </w:rPr>
        <w:t>、</w:t>
      </w:r>
      <w:r>
        <w:rPr>
          <w:rFonts w:hint="eastAsia"/>
          <w:color w:val="000000"/>
        </w:rPr>
        <w:t>“</w:t>
      </w:r>
      <w:r>
        <w:rPr>
          <w:color w:val="000000"/>
        </w:rPr>
        <w:t>注塑成形智能技术专业生产基地</w:t>
      </w:r>
      <w:r>
        <w:rPr>
          <w:rFonts w:hint="eastAsia"/>
          <w:color w:val="000000"/>
        </w:rPr>
        <w:t>”</w:t>
      </w:r>
      <w:r>
        <w:rPr>
          <w:color w:val="000000"/>
        </w:rPr>
        <w:t>、</w:t>
      </w:r>
      <w:r>
        <w:rPr>
          <w:rFonts w:hint="eastAsia"/>
          <w:color w:val="000000"/>
        </w:rPr>
        <w:t>“钙钛矿太阳能电池专业生产基地”</w:t>
      </w:r>
      <w:r>
        <w:rPr>
          <w:color w:val="000000"/>
        </w:rPr>
        <w:t>、</w:t>
      </w:r>
      <w:r>
        <w:rPr>
          <w:rFonts w:hint="eastAsia"/>
          <w:color w:val="000000"/>
        </w:rPr>
        <w:t>“智能装备备创新升级技术专业生产基地” 5个专业生产基地；还建成了“</w:t>
      </w:r>
      <w:r>
        <w:rPr>
          <w:color w:val="000000"/>
        </w:rPr>
        <w:t>超净间公共实验平台</w:t>
      </w:r>
      <w:r>
        <w:rPr>
          <w:rFonts w:hint="eastAsia"/>
          <w:color w:val="000000"/>
        </w:rPr>
        <w:t>”、“</w:t>
      </w:r>
      <w:r>
        <w:rPr>
          <w:color w:val="000000"/>
        </w:rPr>
        <w:t>光电测试公共服务平台</w:t>
      </w:r>
      <w:r>
        <w:rPr>
          <w:rFonts w:hint="eastAsia"/>
          <w:color w:val="000000"/>
        </w:rPr>
        <w:t>”、“生物</w:t>
      </w:r>
      <w:r>
        <w:rPr>
          <w:color w:val="000000"/>
        </w:rPr>
        <w:t>医学大数据中心</w:t>
      </w:r>
      <w:r>
        <w:rPr>
          <w:rFonts w:hint="eastAsia"/>
          <w:color w:val="000000"/>
        </w:rPr>
        <w:t>”、“</w:t>
      </w:r>
      <w:r>
        <w:rPr>
          <w:color w:val="000000"/>
        </w:rPr>
        <w:t>生物医学影像公共服务平台</w:t>
      </w:r>
      <w:r>
        <w:rPr>
          <w:rFonts w:hint="eastAsia"/>
          <w:color w:val="000000"/>
        </w:rPr>
        <w:t>”、“</w:t>
      </w:r>
      <w:r>
        <w:rPr>
          <w:color w:val="000000"/>
        </w:rPr>
        <w:t>电子高低温测试平台</w:t>
      </w:r>
      <w:r>
        <w:rPr>
          <w:rFonts w:hint="eastAsia"/>
          <w:color w:val="000000"/>
        </w:rPr>
        <w:t>”5个用于技术研发的专业技术平台；以及与其他企业、专业服务机构和专业技术实验室合作共建了“医疗器械CRO咨询服务平台”、“PCBA产品制造和测试”、“高端电子组装服务平台”、“创新创业咨询及培训服务平台”、“知识产权咨询服务平台”、“精密模具与结构件服务平台”、“机械加工服务平台”、“光电子信息产品质量检验服务平台”8个公共技术服务平台，以保障和支持不同专业技术研发的需要。</w:t>
      </w:r>
    </w:p>
    <w:p w14:paraId="441C7B37">
      <w:pPr>
        <w:ind w:firstLine="712"/>
        <w:rPr>
          <w:rFonts w:hint="eastAsia"/>
          <w:color w:val="000000"/>
        </w:rPr>
      </w:pPr>
      <w:r>
        <w:rPr>
          <w:rFonts w:hint="eastAsia"/>
          <w:color w:val="000000"/>
        </w:rPr>
        <w:t>此项指标根据协议约定为建成4个以上专业生产基地，截至目前实际已超额完成。本指标权重分值6分，评价得分6分。</w:t>
      </w:r>
    </w:p>
    <w:p w14:paraId="2CE25B40">
      <w:pPr>
        <w:ind w:firstLine="712"/>
        <w:rPr>
          <w:rFonts w:hint="eastAsia"/>
          <w:color w:val="000000"/>
        </w:rPr>
      </w:pPr>
      <w:r>
        <w:rPr>
          <w:rFonts w:hint="eastAsia"/>
          <w:color w:val="000000"/>
        </w:rPr>
        <w:t>③数量指标—职务发明专利数量</w:t>
      </w:r>
    </w:p>
    <w:p w14:paraId="194A1640">
      <w:pPr>
        <w:ind w:firstLine="712"/>
        <w:rPr>
          <w:rFonts w:hint="eastAsia"/>
          <w:color w:val="000000"/>
        </w:rPr>
      </w:pPr>
      <w:r>
        <w:rPr>
          <w:rFonts w:hint="eastAsia"/>
          <w:color w:val="000000"/>
        </w:rPr>
        <w:t>通过检查专利申请清单、相应的专利证书、官方专利网站等方法验证，截止2020年10月，累计申请专利583项，已获得批准的专利84项。</w:t>
      </w:r>
    </w:p>
    <w:p w14:paraId="28C37BB1">
      <w:pPr>
        <w:ind w:firstLine="712"/>
        <w:rPr>
          <w:rFonts w:hint="eastAsia"/>
          <w:color w:val="000000"/>
        </w:rPr>
      </w:pPr>
      <w:r>
        <w:rPr>
          <w:rFonts w:hint="eastAsia"/>
          <w:color w:val="000000"/>
        </w:rPr>
        <w:t>根据共建协议约定，五年内职务发明专利申请量第一年为100件，以后按年递增30%，总计应达到905项，按时间进度和完成进度计算，应达到762件，截至目前完成率为76.5%：</w:t>
      </w:r>
    </w:p>
    <w:p w14:paraId="63D64498">
      <w:pPr>
        <w:ind w:firstLine="712"/>
        <w:rPr>
          <w:rFonts w:hint="eastAsia"/>
          <w:color w:val="000000"/>
        </w:rPr>
      </w:pPr>
      <w:r>
        <w:rPr>
          <w:rFonts w:hint="eastAsia"/>
          <w:color w:val="000000"/>
        </w:rPr>
        <w:t>本指标权重分值6分，评价得分4.6分。</w:t>
      </w:r>
    </w:p>
    <w:p w14:paraId="2727C85B">
      <w:pPr>
        <w:ind w:firstLine="712"/>
        <w:rPr>
          <w:color w:val="000000"/>
        </w:rPr>
      </w:pPr>
      <w:r>
        <w:rPr>
          <w:rFonts w:hint="eastAsia"/>
          <w:color w:val="000000"/>
        </w:rPr>
        <w:t>④数量指标—打造技术创新团队数量</w:t>
      </w:r>
    </w:p>
    <w:p w14:paraId="1D808442">
      <w:pPr>
        <w:ind w:firstLine="712"/>
        <w:rPr>
          <w:rFonts w:hint="eastAsia"/>
          <w:color w:val="000000"/>
        </w:rPr>
      </w:pPr>
      <w:r>
        <w:rPr>
          <w:rFonts w:hint="eastAsia"/>
          <w:color w:val="000000"/>
        </w:rPr>
        <w:t>协议约定，5年内帮助鄂州打造10个技术创新团队。截至目前，工研院已引进、签约、扶持64个涉及光电健康、智能制造、新一代信息技术等专业的技术创新团队，已有25个创新团队的科研成果得到认证，并进入孵化等科技成果转化阶段。</w:t>
      </w:r>
    </w:p>
    <w:p w14:paraId="7D4E28B0">
      <w:pPr>
        <w:ind w:firstLine="712"/>
        <w:rPr>
          <w:rFonts w:hint="eastAsia"/>
          <w:color w:val="000000"/>
        </w:rPr>
      </w:pPr>
      <w:r>
        <w:rPr>
          <w:rFonts w:hint="eastAsia"/>
          <w:color w:val="000000"/>
        </w:rPr>
        <w:t>本指标权重分值6分，评价得分6分。</w:t>
      </w:r>
    </w:p>
    <w:p w14:paraId="22CD458C">
      <w:pPr>
        <w:ind w:firstLine="712"/>
        <w:rPr>
          <w:rFonts w:hint="eastAsia"/>
          <w:color w:val="000000"/>
        </w:rPr>
      </w:pPr>
      <w:r>
        <w:rPr>
          <w:rFonts w:hint="eastAsia"/>
          <w:color w:val="000000"/>
        </w:rPr>
        <w:t>⑤产出指标—质量指标</w:t>
      </w:r>
    </w:p>
    <w:p w14:paraId="7A89E08E">
      <w:pPr>
        <w:ind w:firstLine="712"/>
        <w:rPr>
          <w:rFonts w:hint="eastAsia"/>
          <w:color w:val="000000"/>
        </w:rPr>
      </w:pPr>
      <w:r>
        <w:rPr>
          <w:rFonts w:hint="eastAsia"/>
          <w:color w:val="000000"/>
        </w:rPr>
        <w:t>按照工研院运行特点,结合公共财政资金支出的职能效应，经与财政局和工研院商定，增加协议约定中未包含的质量指标，以反映本项目产出的质量:孵化企业毕业率、职务发明专利转化率</w:t>
      </w:r>
      <w:r>
        <w:rPr>
          <w:color w:val="000000"/>
        </w:rPr>
        <w:t>。</w:t>
      </w:r>
    </w:p>
    <w:p w14:paraId="43FE9D51">
      <w:pPr>
        <w:ind w:firstLine="712"/>
        <w:rPr>
          <w:rFonts w:hint="eastAsia"/>
          <w:color w:val="000000"/>
        </w:rPr>
      </w:pPr>
      <w:r>
        <w:rPr>
          <w:rFonts w:hint="eastAsia"/>
          <w:color w:val="000000"/>
        </w:rPr>
        <w:t>根据鄂州工研院提供的毕业企业名单，及各类孵化器设定的孵化企业毕业条件，在孵化的57家企业中有18家企业已经毕业，比业率31.6%，根据评分细则，“产出指标—质量指标—孵化企业毕业率”指标评分6分。</w:t>
      </w:r>
    </w:p>
    <w:p w14:paraId="3AA28DD5">
      <w:pPr>
        <w:ind w:firstLine="712"/>
        <w:rPr>
          <w:rFonts w:hint="eastAsia"/>
          <w:color w:val="000000"/>
        </w:rPr>
      </w:pPr>
      <w:r>
        <w:rPr>
          <w:rFonts w:hint="eastAsia"/>
          <w:color w:val="000000"/>
        </w:rPr>
        <w:t>根据提供的专利转化情况，在已申请的583项发明专利中，有91项专利已经授权用于生产应用，转化率为15.6%，根据评分细则，“产出指标—质量指标—职务发明专利转化率”指标评分3.1分。</w:t>
      </w:r>
    </w:p>
    <w:p w14:paraId="1FD271B9">
      <w:pPr>
        <w:ind w:firstLine="712"/>
        <w:rPr>
          <w:rFonts w:hint="eastAsia"/>
          <w:color w:val="000000"/>
        </w:rPr>
      </w:pPr>
      <w:r>
        <w:rPr>
          <w:rFonts w:hint="eastAsia" w:ascii="楷体" w:hAnsi="楷体" w:eastAsia="楷体" w:cs="楷体"/>
          <w:bCs/>
          <w:color w:val="000000"/>
        </w:rPr>
        <w:t>2.3.3</w:t>
      </w:r>
      <w:r>
        <w:rPr>
          <w:rFonts w:hint="eastAsia" w:ascii="楷体" w:hAnsi="楷体" w:eastAsia="楷体" w:cs="楷体"/>
          <w:color w:val="000000"/>
        </w:rPr>
        <w:t>效果指标方面</w:t>
      </w:r>
    </w:p>
    <w:p w14:paraId="53B00807">
      <w:pPr>
        <w:ind w:firstLine="712"/>
        <w:rPr>
          <w:rFonts w:hint="eastAsia"/>
          <w:color w:val="000000"/>
        </w:rPr>
      </w:pPr>
      <w:r>
        <w:rPr>
          <w:rFonts w:hint="eastAsia"/>
          <w:color w:val="000000"/>
        </w:rPr>
        <w:t>①效益指标</w:t>
      </w:r>
    </w:p>
    <w:p w14:paraId="7483A9AD">
      <w:pPr>
        <w:ind w:firstLine="712"/>
        <w:rPr>
          <w:rFonts w:hint="eastAsia"/>
          <w:color w:val="000000"/>
        </w:rPr>
      </w:pPr>
      <w:r>
        <w:rPr>
          <w:rFonts w:hint="eastAsia"/>
          <w:color w:val="000000"/>
        </w:rPr>
        <w:t>增加协议约定中未包含的效益指标，以反映实施本项目给鄂州市带来的经济与社会效益。由于所孵化的企业众多，毕业企业有的已经迁出本区域等多方面的特殊情况，本次评价选取毕业企业中仍在本区域的典型高科技企业和投资企业10家，以评价其对鄂州市经济效益贡献。具体包括：</w:t>
      </w:r>
    </w:p>
    <w:p w14:paraId="1A0239A8">
      <w:pPr>
        <w:ind w:firstLine="712"/>
        <w:rPr>
          <w:rFonts w:hint="eastAsia"/>
          <w:color w:val="000000"/>
        </w:rPr>
      </w:pPr>
      <w:r>
        <w:rPr>
          <w:rFonts w:hint="eastAsia"/>
          <w:color w:val="000000"/>
        </w:rPr>
        <w:t>——毕业企业产品市场销售总额</w:t>
      </w:r>
    </w:p>
    <w:p w14:paraId="51648A02">
      <w:pPr>
        <w:ind w:firstLine="712"/>
        <w:rPr>
          <w:rFonts w:hint="eastAsia"/>
          <w:color w:val="000000"/>
        </w:rPr>
      </w:pPr>
      <w:r>
        <w:rPr>
          <w:rFonts w:hint="eastAsia"/>
          <w:color w:val="000000"/>
        </w:rPr>
        <w:t>通过核实和汇总10家毕业企业自2017年以来的销售情况，截止2020年10月，10家企业已完成销售总额2.17亿元。根据评分细则，本指标评分4.8分；</w:t>
      </w:r>
    </w:p>
    <w:p w14:paraId="621FD9E5">
      <w:pPr>
        <w:ind w:firstLine="712"/>
        <w:rPr>
          <w:rFonts w:hint="eastAsia"/>
          <w:color w:val="000000"/>
        </w:rPr>
      </w:pPr>
      <w:r>
        <w:rPr>
          <w:rFonts w:hint="eastAsia"/>
          <w:color w:val="000000"/>
        </w:rPr>
        <w:t>——毕业企业税收贡献总额两个经济效益指标</w:t>
      </w:r>
    </w:p>
    <w:p w14:paraId="1A9C8952">
      <w:pPr>
        <w:ind w:firstLine="712"/>
        <w:rPr>
          <w:rFonts w:hint="eastAsia"/>
          <w:color w:val="000000"/>
        </w:rPr>
      </w:pPr>
      <w:r>
        <w:rPr>
          <w:rFonts w:hint="eastAsia"/>
          <w:color w:val="000000"/>
        </w:rPr>
        <w:t>通过核实和汇总10家毕业企业自2017年以来的纳税情况，截止2020年10月，10家企业已上缴税费119.2万元。根据评分细则，本指标评分2.6分；</w:t>
      </w:r>
    </w:p>
    <w:p w14:paraId="4BF55195">
      <w:pPr>
        <w:ind w:firstLine="712"/>
        <w:rPr>
          <w:color w:val="000000"/>
        </w:rPr>
      </w:pPr>
      <w:r>
        <w:rPr>
          <w:rFonts w:hint="eastAsia"/>
          <w:color w:val="000000"/>
        </w:rPr>
        <w:t>②效益指标—社会效益指标—引进专家数量</w:t>
      </w:r>
    </w:p>
    <w:p w14:paraId="6FA32FCA">
      <w:pPr>
        <w:ind w:firstLine="712"/>
        <w:rPr>
          <w:rFonts w:hint="eastAsia"/>
          <w:color w:val="000000"/>
        </w:rPr>
      </w:pPr>
      <w:r>
        <w:rPr>
          <w:rFonts w:hint="eastAsia"/>
          <w:color w:val="000000"/>
        </w:rPr>
        <w:t>截止2020.10月，工研院引进院士4名、长江学者6名、杰出青年基金</w:t>
      </w:r>
      <w:r>
        <w:rPr>
          <w:color w:val="000000"/>
        </w:rPr>
        <w:t>6</w:t>
      </w:r>
      <w:r>
        <w:rPr>
          <w:rFonts w:hint="eastAsia"/>
          <w:color w:val="000000"/>
        </w:rPr>
        <w:t>名、优青5名，青年拔尖人才</w:t>
      </w:r>
      <w:r>
        <w:rPr>
          <w:color w:val="000000"/>
        </w:rPr>
        <w:t>4</w:t>
      </w:r>
      <w:r>
        <w:rPr>
          <w:rFonts w:hint="eastAsia"/>
          <w:color w:val="000000"/>
        </w:rPr>
        <w:t>名、教育部新世纪人才17名，超额完成协议约定目标。通过引进人才，举办多类专业的科技项目创新创业活动107场次，为鄂州市科技产业发展起到了很好的带动效应。</w:t>
      </w:r>
    </w:p>
    <w:p w14:paraId="6C1E5ED7">
      <w:pPr>
        <w:ind w:firstLine="712"/>
        <w:rPr>
          <w:rFonts w:hint="eastAsia"/>
          <w:color w:val="000000"/>
        </w:rPr>
      </w:pPr>
      <w:r>
        <w:rPr>
          <w:rFonts w:hint="eastAsia"/>
          <w:color w:val="000000"/>
        </w:rPr>
        <w:t>本指标权重分值6分，评价得分6分。</w:t>
      </w:r>
    </w:p>
    <w:p w14:paraId="5B1E2810">
      <w:pPr>
        <w:ind w:firstLine="712"/>
        <w:rPr>
          <w:color w:val="000000"/>
        </w:rPr>
      </w:pPr>
      <w:r>
        <w:rPr>
          <w:rFonts w:hint="eastAsia"/>
          <w:color w:val="000000"/>
        </w:rPr>
        <w:t>③效益指标—社会效益指标—培育研发人员数量</w:t>
      </w:r>
    </w:p>
    <w:p w14:paraId="7A3D5803">
      <w:pPr>
        <w:ind w:firstLine="712"/>
        <w:rPr>
          <w:rFonts w:hint="eastAsia"/>
          <w:color w:val="000000"/>
        </w:rPr>
      </w:pPr>
      <w:r>
        <w:rPr>
          <w:rFonts w:hint="eastAsia"/>
          <w:color w:val="000000"/>
        </w:rPr>
        <w:t>截至目前，累计培养科研人员681人，其中博士研究生208人，硕士研究生279人，涉及</w:t>
      </w:r>
      <w:r>
        <w:rPr>
          <w:rFonts w:hint="eastAsia"/>
          <w:color w:val="000000"/>
          <w:lang w:bidi="ar"/>
        </w:rPr>
        <w:t>光电子器件与集成、生命科学与技术、生物医学工程等</w:t>
      </w:r>
      <w:r>
        <w:rPr>
          <w:rFonts w:hint="eastAsia"/>
          <w:color w:val="000000"/>
        </w:rPr>
        <w:t>专业领域。</w:t>
      </w:r>
    </w:p>
    <w:p w14:paraId="292B5F78">
      <w:pPr>
        <w:ind w:firstLine="712"/>
        <w:rPr>
          <w:rFonts w:hint="eastAsia"/>
          <w:color w:val="000000"/>
        </w:rPr>
      </w:pPr>
      <w:r>
        <w:rPr>
          <w:rFonts w:hint="eastAsia"/>
          <w:color w:val="000000"/>
        </w:rPr>
        <w:t>共建协议约定此项目标为培养科研人员100名以上，实际超额近600%完成。本指标权重分值6分，评价得分6分。</w:t>
      </w:r>
    </w:p>
    <w:p w14:paraId="55315623">
      <w:pPr>
        <w:ind w:firstLine="712"/>
        <w:rPr>
          <w:rFonts w:hint="eastAsia"/>
          <w:color w:val="000000"/>
        </w:rPr>
      </w:pPr>
      <w:r>
        <w:rPr>
          <w:rFonts w:hint="eastAsia"/>
          <w:color w:val="000000"/>
        </w:rPr>
        <w:t>④满意度指标—服务对象满意度指标</w:t>
      </w:r>
    </w:p>
    <w:p w14:paraId="6F218A24">
      <w:pPr>
        <w:ind w:firstLine="712"/>
        <w:rPr>
          <w:color w:val="000000"/>
        </w:rPr>
      </w:pPr>
      <w:r>
        <w:rPr>
          <w:rFonts w:hint="eastAsia"/>
          <w:color w:val="000000"/>
        </w:rPr>
        <w:t>满意度指标包括“在孵企业满意度”和“创新团队满意度”，根据评价抽样要求，我们针对工研院的两类主要服务对象及各服务对象的数量，设计并下发了50份调查问卷，共回收40份问卷，我们确认回收问卷能够具有普遍代表性。经对回收调查问卷情况的统计分析，满意度值为100%。</w:t>
      </w:r>
    </w:p>
    <w:p w14:paraId="154919C5">
      <w:pPr>
        <w:ind w:firstLine="712"/>
        <w:rPr>
          <w:rFonts w:hint="eastAsia"/>
          <w:color w:val="000000"/>
        </w:rPr>
      </w:pPr>
      <w:r>
        <w:rPr>
          <w:rFonts w:hint="eastAsia"/>
          <w:color w:val="000000"/>
        </w:rPr>
        <w:t>本指标权重分值10分，根据评分方法，评价得分10分</w:t>
      </w:r>
    </w:p>
    <w:p w14:paraId="639B9767">
      <w:pPr>
        <w:ind w:left="0" w:leftChars="0" w:firstLine="0" w:firstLineChars="0"/>
      </w:pPr>
    </w:p>
    <w:p w14:paraId="7F74BB5D">
      <w:pPr>
        <w:ind w:left="0" w:leftChars="0" w:firstLine="0" w:firstLineChars="0"/>
      </w:pPr>
    </w:p>
    <w:p w14:paraId="6ADD44AC">
      <w:pPr>
        <w:ind w:left="0" w:leftChars="0" w:firstLine="0" w:firstLineChars="0"/>
      </w:pPr>
    </w:p>
    <w:p w14:paraId="78F56206">
      <w:pPr>
        <w:ind w:left="0" w:leftChars="0" w:firstLine="0" w:firstLineChars="0"/>
      </w:pPr>
    </w:p>
    <w:p w14:paraId="1E7739A1">
      <w:r>
        <w:br w:type="page"/>
      </w:r>
    </w:p>
    <w:p w14:paraId="77AD8D8D">
      <w:pPr>
        <w:topLinePunct w:val="0"/>
        <w:spacing w:line="450" w:lineRule="atLeast"/>
        <w:ind w:firstLine="0" w:firstLineChars="0"/>
        <w:jc w:val="center"/>
        <w:rPr>
          <w:rFonts w:hint="eastAsia" w:ascii="宋体" w:hAnsi="宋体" w:eastAsia="宋体" w:cs="宋体"/>
          <w:b/>
          <w:kern w:val="0"/>
          <w:sz w:val="36"/>
          <w:szCs w:val="36"/>
        </w:rPr>
      </w:pPr>
      <w:r>
        <w:rPr>
          <w:rFonts w:hint="eastAsia" w:ascii="宋体" w:hAnsi="宋体" w:eastAsia="宋体" w:cs="宋体"/>
          <w:b/>
          <w:sz w:val="36"/>
          <w:szCs w:val="36"/>
        </w:rPr>
        <w:t>鄂州</w:t>
      </w:r>
      <w:r>
        <w:rPr>
          <w:rFonts w:ascii="宋体" w:hAnsi="宋体" w:eastAsia="宋体" w:cs="宋体"/>
          <w:b/>
          <w:sz w:val="36"/>
          <w:szCs w:val="36"/>
        </w:rPr>
        <w:t>市</w:t>
      </w:r>
      <w:r>
        <w:rPr>
          <w:rFonts w:hint="eastAsia" w:ascii="宋体" w:hAnsi="宋体" w:eastAsia="宋体" w:cs="宋体"/>
          <w:b/>
          <w:sz w:val="36"/>
          <w:szCs w:val="36"/>
        </w:rPr>
        <w:t>预算</w:t>
      </w:r>
      <w:r>
        <w:rPr>
          <w:rFonts w:hint="eastAsia" w:ascii="宋体" w:hAnsi="宋体" w:eastAsia="宋体" w:cs="宋体"/>
          <w:b/>
          <w:kern w:val="0"/>
          <w:sz w:val="36"/>
          <w:szCs w:val="36"/>
        </w:rPr>
        <w:t>绩效财政重点项目评价报告</w:t>
      </w:r>
    </w:p>
    <w:p w14:paraId="035077D2">
      <w:pPr>
        <w:ind w:firstLine="150" w:firstLineChars="47"/>
        <w:jc w:val="center"/>
      </w:pPr>
    </w:p>
    <w:p w14:paraId="2EFD8B4C">
      <w:pPr>
        <w:topLinePunct w:val="0"/>
        <w:snapToGrid w:val="0"/>
        <w:spacing w:before="100" w:beforeAutospacing="1" w:after="100" w:afterAutospacing="1"/>
        <w:ind w:left="2284" w:leftChars="214" w:hanging="1600" w:hangingChars="500"/>
        <w:rPr>
          <w:rFonts w:hint="eastAsia"/>
          <w:b/>
          <w:color w:val="000000"/>
          <w:sz w:val="32"/>
          <w:szCs w:val="32"/>
        </w:rPr>
      </w:pPr>
      <w:r>
        <w:rPr>
          <w:rFonts w:hint="eastAsia"/>
          <w:b/>
          <w:bCs/>
          <w:kern w:val="0"/>
          <w:sz w:val="32"/>
          <w:szCs w:val="32"/>
        </w:rPr>
        <w:t>报告</w:t>
      </w:r>
      <w:r>
        <w:rPr>
          <w:b/>
          <w:bCs/>
          <w:kern w:val="0"/>
          <w:sz w:val="32"/>
          <w:szCs w:val="32"/>
        </w:rPr>
        <w:t>名称：</w:t>
      </w:r>
      <w:r>
        <w:rPr>
          <w:rFonts w:hint="eastAsia"/>
          <w:b/>
          <w:bCs/>
          <w:kern w:val="0"/>
          <w:sz w:val="32"/>
          <w:szCs w:val="32"/>
        </w:rPr>
        <w:t>垃圾处置项目绩效评价报告</w:t>
      </w:r>
    </w:p>
    <w:p w14:paraId="2819D366">
      <w:pPr>
        <w:topLinePunct w:val="0"/>
        <w:snapToGrid w:val="0"/>
        <w:spacing w:before="100" w:beforeAutospacing="1" w:after="100" w:afterAutospacing="1"/>
        <w:ind w:firstLine="643"/>
        <w:rPr>
          <w:rFonts w:hint="eastAsia"/>
          <w:b/>
          <w:bCs/>
          <w:kern w:val="0"/>
          <w:sz w:val="32"/>
          <w:szCs w:val="32"/>
        </w:rPr>
      </w:pPr>
      <w:r>
        <w:rPr>
          <w:rFonts w:hint="eastAsia"/>
          <w:b/>
          <w:bCs/>
          <w:kern w:val="0"/>
          <w:sz w:val="32"/>
          <w:szCs w:val="32"/>
        </w:rPr>
        <w:t>预算</w:t>
      </w:r>
      <w:r>
        <w:rPr>
          <w:b/>
          <w:bCs/>
          <w:kern w:val="0"/>
          <w:sz w:val="32"/>
          <w:szCs w:val="32"/>
        </w:rPr>
        <w:t>单位：</w:t>
      </w:r>
      <w:r>
        <w:rPr>
          <w:rFonts w:hint="eastAsia"/>
          <w:b/>
          <w:bCs/>
          <w:kern w:val="0"/>
          <w:sz w:val="32"/>
          <w:szCs w:val="32"/>
        </w:rPr>
        <w:t>鄂州市市容环境卫生管理局</w:t>
      </w:r>
    </w:p>
    <w:p w14:paraId="6CCD1F6B">
      <w:pPr>
        <w:topLinePunct w:val="0"/>
        <w:snapToGrid w:val="0"/>
        <w:spacing w:before="100" w:beforeAutospacing="1" w:after="100" w:afterAutospacing="1"/>
        <w:ind w:firstLine="643"/>
        <w:rPr>
          <w:rFonts w:hint="eastAsia"/>
          <w:b/>
          <w:bCs/>
          <w:kern w:val="0"/>
          <w:sz w:val="32"/>
          <w:szCs w:val="32"/>
        </w:rPr>
      </w:pPr>
      <w:r>
        <w:rPr>
          <w:rFonts w:hint="eastAsia"/>
          <w:b/>
          <w:bCs/>
          <w:kern w:val="0"/>
          <w:sz w:val="32"/>
          <w:szCs w:val="32"/>
        </w:rPr>
        <w:t>预算年度：2019年度</w:t>
      </w:r>
    </w:p>
    <w:p w14:paraId="504AE08B">
      <w:pPr>
        <w:topLinePunct w:val="0"/>
        <w:snapToGrid w:val="0"/>
        <w:spacing w:before="100" w:beforeAutospacing="1" w:after="100" w:afterAutospacing="1"/>
        <w:ind w:firstLine="643"/>
        <w:rPr>
          <w:b/>
          <w:bCs/>
          <w:kern w:val="0"/>
          <w:sz w:val="32"/>
          <w:szCs w:val="32"/>
        </w:rPr>
      </w:pPr>
      <w:r>
        <w:rPr>
          <w:rFonts w:hint="eastAsia"/>
          <w:b/>
          <w:bCs/>
          <w:kern w:val="0"/>
          <w:sz w:val="32"/>
          <w:szCs w:val="32"/>
        </w:rPr>
        <w:t>评价类型：项目</w:t>
      </w:r>
      <w:r>
        <w:rPr>
          <w:rFonts w:hint="eastAsia"/>
          <w:b/>
          <w:bCs/>
          <w:kern w:val="0"/>
          <w:sz w:val="32"/>
          <w:szCs w:val="32"/>
        </w:rPr>
        <w:sym w:font="Wingdings" w:char="00FE"/>
      </w:r>
      <w:r>
        <w:rPr>
          <w:rFonts w:hint="eastAsia"/>
          <w:b/>
          <w:bCs/>
          <w:kern w:val="0"/>
          <w:sz w:val="32"/>
          <w:szCs w:val="32"/>
        </w:rPr>
        <w:t xml:space="preserve"> 政策</w:t>
      </w:r>
      <w:r>
        <w:rPr>
          <w:rFonts w:hint="eastAsia"/>
          <w:b/>
          <w:bCs/>
          <w:kern w:val="0"/>
          <w:sz w:val="32"/>
          <w:szCs w:val="32"/>
        </w:rPr>
        <w:sym w:font="Wingdings" w:char="00A8"/>
      </w:r>
      <w:r>
        <w:rPr>
          <w:rFonts w:hint="eastAsia"/>
          <w:b/>
          <w:bCs/>
          <w:kern w:val="0"/>
          <w:sz w:val="32"/>
          <w:szCs w:val="32"/>
        </w:rPr>
        <w:t xml:space="preserve"> 部门</w:t>
      </w:r>
      <w:r>
        <w:rPr>
          <w:rFonts w:hint="eastAsia"/>
          <w:b/>
          <w:bCs/>
          <w:kern w:val="0"/>
          <w:sz w:val="32"/>
          <w:szCs w:val="32"/>
        </w:rPr>
        <w:sym w:font="Wingdings" w:char="00A8"/>
      </w:r>
    </w:p>
    <w:p w14:paraId="78EF7B43">
      <w:pPr>
        <w:topLinePunct w:val="0"/>
        <w:snapToGrid w:val="0"/>
        <w:spacing w:before="100" w:beforeAutospacing="1" w:after="100" w:afterAutospacing="1"/>
        <w:ind w:firstLine="643"/>
        <w:rPr>
          <w:rFonts w:hint="eastAsia"/>
          <w:b/>
          <w:bCs/>
          <w:kern w:val="0"/>
          <w:sz w:val="32"/>
          <w:szCs w:val="32"/>
          <w:highlight w:val="none"/>
        </w:rPr>
      </w:pPr>
      <w:r>
        <w:rPr>
          <w:rFonts w:hint="eastAsia"/>
          <w:b/>
          <w:bCs/>
          <w:kern w:val="0"/>
          <w:sz w:val="32"/>
          <w:szCs w:val="32"/>
        </w:rPr>
        <w:t>正式提交日</w:t>
      </w:r>
      <w:r>
        <w:rPr>
          <w:rFonts w:hint="eastAsia"/>
          <w:b/>
          <w:bCs/>
          <w:kern w:val="0"/>
          <w:sz w:val="32"/>
          <w:szCs w:val="32"/>
          <w:highlight w:val="none"/>
        </w:rPr>
        <w:t>期：2020年</w:t>
      </w:r>
      <w:r>
        <w:rPr>
          <w:rFonts w:hint="eastAsia"/>
          <w:b/>
          <w:bCs/>
          <w:kern w:val="0"/>
          <w:sz w:val="32"/>
          <w:szCs w:val="32"/>
          <w:highlight w:val="none"/>
          <w:lang w:val="en-US" w:eastAsia="zh-CN"/>
        </w:rPr>
        <w:t>11</w:t>
      </w:r>
      <w:r>
        <w:rPr>
          <w:rFonts w:hint="eastAsia"/>
          <w:b/>
          <w:bCs/>
          <w:kern w:val="0"/>
          <w:sz w:val="32"/>
          <w:szCs w:val="32"/>
          <w:highlight w:val="none"/>
        </w:rPr>
        <w:t>月</w:t>
      </w:r>
      <w:r>
        <w:rPr>
          <w:rFonts w:hint="eastAsia"/>
          <w:b/>
          <w:bCs/>
          <w:kern w:val="0"/>
          <w:sz w:val="32"/>
          <w:szCs w:val="32"/>
          <w:highlight w:val="none"/>
          <w:lang w:val="en-US" w:eastAsia="zh-CN"/>
        </w:rPr>
        <w:t>30</w:t>
      </w:r>
      <w:r>
        <w:rPr>
          <w:rFonts w:hint="eastAsia"/>
          <w:b/>
          <w:bCs/>
          <w:kern w:val="0"/>
          <w:sz w:val="32"/>
          <w:szCs w:val="32"/>
          <w:highlight w:val="none"/>
        </w:rPr>
        <w:t>日</w:t>
      </w:r>
    </w:p>
    <w:p w14:paraId="51F2BB1F">
      <w:pPr>
        <w:pStyle w:val="15"/>
        <w:spacing w:before="0" w:line="360" w:lineRule="auto"/>
        <w:jc w:val="center"/>
        <w:rPr>
          <w:rFonts w:hint="eastAsia" w:ascii="仿宋" w:hAnsi="仿宋" w:eastAsia="仿宋" w:cs="仿宋"/>
          <w:bCs w:val="0"/>
          <w:color w:val="auto"/>
          <w:kern w:val="2"/>
          <w:sz w:val="32"/>
          <w:szCs w:val="32"/>
        </w:rPr>
      </w:pPr>
      <w:bookmarkStart w:id="36" w:name="_Toc30629"/>
      <w:bookmarkStart w:id="37" w:name="_Toc30936"/>
      <w:r>
        <w:rPr>
          <w:rFonts w:hint="eastAsia" w:ascii="仿宋" w:hAnsi="仿宋" w:eastAsia="仿宋" w:cs="仿宋"/>
          <w:bCs w:val="0"/>
          <w:color w:val="auto"/>
          <w:kern w:val="2"/>
          <w:sz w:val="32"/>
          <w:szCs w:val="32"/>
        </w:rPr>
        <w:t>目 录</w:t>
      </w:r>
      <w:bookmarkEnd w:id="36"/>
      <w:bookmarkEnd w:id="37"/>
    </w:p>
    <w:p w14:paraId="0D5D5AE8">
      <w:pPr>
        <w:pStyle w:val="8"/>
        <w:tabs>
          <w:tab w:val="right" w:leader="dot" w:pos="9354"/>
        </w:tabs>
        <w:ind w:firstLine="640"/>
        <w:rPr>
          <w:sz w:val="32"/>
          <w:szCs w:val="32"/>
        </w:rPr>
      </w:pPr>
      <w:r>
        <w:rPr>
          <w:rFonts w:ascii="Times New Roman" w:hAnsi="Times New Roman" w:cs="Times New Roman"/>
          <w:b w:val="0"/>
          <w:bCs w:val="0"/>
          <w:caps w:val="0"/>
          <w:color w:val="000000"/>
          <w:sz w:val="32"/>
          <w:szCs w:val="32"/>
        </w:rPr>
        <w:fldChar w:fldCharType="begin"/>
      </w:r>
      <w:r>
        <w:rPr>
          <w:rFonts w:ascii="Times New Roman" w:hAnsi="Times New Roman" w:cs="Times New Roman"/>
          <w:b w:val="0"/>
          <w:bCs w:val="0"/>
          <w:caps w:val="0"/>
          <w:color w:val="000000"/>
          <w:sz w:val="32"/>
          <w:szCs w:val="32"/>
        </w:rPr>
        <w:instrText xml:space="preserve"> TOC \o "1-3" \u </w:instrText>
      </w:r>
      <w:r>
        <w:rPr>
          <w:rFonts w:ascii="Times New Roman" w:hAnsi="Times New Roman" w:cs="Times New Roman"/>
          <w:b w:val="0"/>
          <w:bCs w:val="0"/>
          <w:caps w:val="0"/>
          <w:color w:val="000000"/>
          <w:sz w:val="32"/>
          <w:szCs w:val="32"/>
        </w:rPr>
        <w:fldChar w:fldCharType="separate"/>
      </w:r>
      <w:r>
        <w:rPr>
          <w:rFonts w:hint="eastAsia"/>
          <w:sz w:val="32"/>
          <w:szCs w:val="32"/>
        </w:rPr>
        <w:t>1.绩效</w:t>
      </w:r>
      <w:r>
        <w:rPr>
          <w:sz w:val="32"/>
          <w:szCs w:val="32"/>
        </w:rPr>
        <w:t>评价结论</w:t>
      </w:r>
      <w:r>
        <w:rPr>
          <w:sz w:val="32"/>
          <w:szCs w:val="32"/>
        </w:rPr>
        <w:tab/>
      </w:r>
      <w:r>
        <w:rPr>
          <w:sz w:val="32"/>
          <w:szCs w:val="32"/>
        </w:rPr>
        <w:fldChar w:fldCharType="begin"/>
      </w:r>
      <w:r>
        <w:rPr>
          <w:sz w:val="32"/>
          <w:szCs w:val="32"/>
        </w:rPr>
        <w:instrText xml:space="preserve"> PAGEREF _Toc31117 </w:instrText>
      </w:r>
      <w:r>
        <w:rPr>
          <w:sz w:val="32"/>
          <w:szCs w:val="32"/>
        </w:rPr>
        <w:fldChar w:fldCharType="separate"/>
      </w:r>
      <w:r>
        <w:rPr>
          <w:sz w:val="32"/>
          <w:szCs w:val="32"/>
        </w:rPr>
        <w:t>- 1 -</w:t>
      </w:r>
      <w:r>
        <w:rPr>
          <w:sz w:val="32"/>
          <w:szCs w:val="32"/>
        </w:rPr>
        <w:fldChar w:fldCharType="end"/>
      </w:r>
    </w:p>
    <w:p w14:paraId="7CC74883">
      <w:pPr>
        <w:pStyle w:val="9"/>
        <w:tabs>
          <w:tab w:val="right" w:leader="dot" w:pos="9354"/>
        </w:tabs>
        <w:ind w:firstLine="640"/>
        <w:rPr>
          <w:sz w:val="32"/>
          <w:szCs w:val="32"/>
        </w:rPr>
      </w:pPr>
      <w:r>
        <w:rPr>
          <w:rFonts w:hint="eastAsia" w:cs="楷体"/>
          <w:sz w:val="32"/>
          <w:szCs w:val="32"/>
        </w:rPr>
        <w:t>1.1绩效评分结果</w:t>
      </w:r>
      <w:r>
        <w:rPr>
          <w:sz w:val="32"/>
          <w:szCs w:val="32"/>
        </w:rPr>
        <w:tab/>
      </w:r>
      <w:r>
        <w:rPr>
          <w:sz w:val="32"/>
          <w:szCs w:val="32"/>
        </w:rPr>
        <w:fldChar w:fldCharType="begin"/>
      </w:r>
      <w:r>
        <w:rPr>
          <w:sz w:val="32"/>
          <w:szCs w:val="32"/>
        </w:rPr>
        <w:instrText xml:space="preserve"> PAGEREF _Toc6580 </w:instrText>
      </w:r>
      <w:r>
        <w:rPr>
          <w:sz w:val="32"/>
          <w:szCs w:val="32"/>
        </w:rPr>
        <w:fldChar w:fldCharType="separate"/>
      </w:r>
      <w:r>
        <w:rPr>
          <w:sz w:val="32"/>
          <w:szCs w:val="32"/>
        </w:rPr>
        <w:t>- 1 -</w:t>
      </w:r>
      <w:r>
        <w:rPr>
          <w:sz w:val="32"/>
          <w:szCs w:val="32"/>
        </w:rPr>
        <w:fldChar w:fldCharType="end"/>
      </w:r>
    </w:p>
    <w:p w14:paraId="33F2EA5E">
      <w:pPr>
        <w:pStyle w:val="9"/>
        <w:tabs>
          <w:tab w:val="right" w:leader="dot" w:pos="9354"/>
        </w:tabs>
        <w:ind w:firstLine="640"/>
        <w:rPr>
          <w:sz w:val="32"/>
          <w:szCs w:val="32"/>
        </w:rPr>
      </w:pPr>
      <w:r>
        <w:rPr>
          <w:rFonts w:hint="eastAsia" w:cs="楷体"/>
          <w:sz w:val="32"/>
          <w:szCs w:val="32"/>
        </w:rPr>
        <w:t>1.2绩效指标完成情况分析</w:t>
      </w:r>
      <w:r>
        <w:rPr>
          <w:sz w:val="32"/>
          <w:szCs w:val="32"/>
        </w:rPr>
        <w:tab/>
      </w:r>
      <w:r>
        <w:rPr>
          <w:sz w:val="32"/>
          <w:szCs w:val="32"/>
        </w:rPr>
        <w:fldChar w:fldCharType="begin"/>
      </w:r>
      <w:r>
        <w:rPr>
          <w:sz w:val="32"/>
          <w:szCs w:val="32"/>
        </w:rPr>
        <w:instrText xml:space="preserve"> PAGEREF _Toc11868 </w:instrText>
      </w:r>
      <w:r>
        <w:rPr>
          <w:sz w:val="32"/>
          <w:szCs w:val="32"/>
        </w:rPr>
        <w:fldChar w:fldCharType="separate"/>
      </w:r>
      <w:r>
        <w:rPr>
          <w:sz w:val="32"/>
          <w:szCs w:val="32"/>
        </w:rPr>
        <w:t>- 2 -</w:t>
      </w:r>
      <w:r>
        <w:rPr>
          <w:sz w:val="32"/>
          <w:szCs w:val="32"/>
        </w:rPr>
        <w:fldChar w:fldCharType="end"/>
      </w:r>
    </w:p>
    <w:p w14:paraId="7538E719">
      <w:pPr>
        <w:pStyle w:val="9"/>
        <w:tabs>
          <w:tab w:val="right" w:leader="dot" w:pos="9354"/>
        </w:tabs>
        <w:ind w:firstLine="640"/>
        <w:rPr>
          <w:sz w:val="32"/>
          <w:szCs w:val="32"/>
        </w:rPr>
      </w:pPr>
      <w:r>
        <w:rPr>
          <w:rFonts w:hint="eastAsia" w:cs="楷体"/>
          <w:sz w:val="32"/>
          <w:szCs w:val="32"/>
        </w:rPr>
        <w:t>1.3存在的问题</w:t>
      </w:r>
      <w:r>
        <w:rPr>
          <w:sz w:val="32"/>
          <w:szCs w:val="32"/>
        </w:rPr>
        <w:tab/>
      </w:r>
      <w:r>
        <w:rPr>
          <w:sz w:val="32"/>
          <w:szCs w:val="32"/>
        </w:rPr>
        <w:fldChar w:fldCharType="begin"/>
      </w:r>
      <w:r>
        <w:rPr>
          <w:sz w:val="32"/>
          <w:szCs w:val="32"/>
        </w:rPr>
        <w:instrText xml:space="preserve"> PAGEREF _Toc15677 </w:instrText>
      </w:r>
      <w:r>
        <w:rPr>
          <w:sz w:val="32"/>
          <w:szCs w:val="32"/>
        </w:rPr>
        <w:fldChar w:fldCharType="separate"/>
      </w:r>
      <w:r>
        <w:rPr>
          <w:sz w:val="32"/>
          <w:szCs w:val="32"/>
        </w:rPr>
        <w:t>- 3 -</w:t>
      </w:r>
      <w:r>
        <w:rPr>
          <w:sz w:val="32"/>
          <w:szCs w:val="32"/>
        </w:rPr>
        <w:fldChar w:fldCharType="end"/>
      </w:r>
    </w:p>
    <w:p w14:paraId="2708F29F">
      <w:pPr>
        <w:pStyle w:val="9"/>
        <w:tabs>
          <w:tab w:val="right" w:leader="dot" w:pos="9354"/>
        </w:tabs>
        <w:ind w:firstLine="640"/>
        <w:rPr>
          <w:sz w:val="32"/>
          <w:szCs w:val="32"/>
        </w:rPr>
      </w:pPr>
      <w:r>
        <w:rPr>
          <w:rFonts w:hint="eastAsia" w:cs="楷体"/>
          <w:sz w:val="32"/>
          <w:szCs w:val="32"/>
        </w:rPr>
        <w:t>1.4建议</w:t>
      </w:r>
      <w:r>
        <w:rPr>
          <w:sz w:val="32"/>
          <w:szCs w:val="32"/>
        </w:rPr>
        <w:tab/>
      </w:r>
      <w:r>
        <w:rPr>
          <w:sz w:val="32"/>
          <w:szCs w:val="32"/>
        </w:rPr>
        <w:fldChar w:fldCharType="begin"/>
      </w:r>
      <w:r>
        <w:rPr>
          <w:sz w:val="32"/>
          <w:szCs w:val="32"/>
        </w:rPr>
        <w:instrText xml:space="preserve"> PAGEREF _Toc25986 </w:instrText>
      </w:r>
      <w:r>
        <w:rPr>
          <w:sz w:val="32"/>
          <w:szCs w:val="32"/>
        </w:rPr>
        <w:fldChar w:fldCharType="separate"/>
      </w:r>
      <w:r>
        <w:rPr>
          <w:sz w:val="32"/>
          <w:szCs w:val="32"/>
        </w:rPr>
        <w:t>- 3 -</w:t>
      </w:r>
      <w:r>
        <w:rPr>
          <w:sz w:val="32"/>
          <w:szCs w:val="32"/>
        </w:rPr>
        <w:fldChar w:fldCharType="end"/>
      </w:r>
    </w:p>
    <w:p w14:paraId="365BD8F5">
      <w:pPr>
        <w:pStyle w:val="8"/>
        <w:tabs>
          <w:tab w:val="right" w:leader="dot" w:pos="9354"/>
        </w:tabs>
        <w:ind w:firstLine="643"/>
        <w:rPr>
          <w:sz w:val="32"/>
          <w:szCs w:val="32"/>
        </w:rPr>
      </w:pPr>
      <w:r>
        <w:rPr>
          <w:rFonts w:hint="eastAsia"/>
          <w:sz w:val="32"/>
          <w:szCs w:val="32"/>
        </w:rPr>
        <w:t>2.佐证材料</w:t>
      </w:r>
      <w:r>
        <w:rPr>
          <w:sz w:val="32"/>
          <w:szCs w:val="32"/>
        </w:rPr>
        <w:tab/>
      </w:r>
      <w:r>
        <w:rPr>
          <w:sz w:val="32"/>
          <w:szCs w:val="32"/>
        </w:rPr>
        <w:fldChar w:fldCharType="begin"/>
      </w:r>
      <w:r>
        <w:rPr>
          <w:sz w:val="32"/>
          <w:szCs w:val="32"/>
        </w:rPr>
        <w:instrText xml:space="preserve"> PAGEREF _Toc31659 </w:instrText>
      </w:r>
      <w:r>
        <w:rPr>
          <w:sz w:val="32"/>
          <w:szCs w:val="32"/>
        </w:rPr>
        <w:fldChar w:fldCharType="separate"/>
      </w:r>
      <w:r>
        <w:rPr>
          <w:sz w:val="32"/>
          <w:szCs w:val="32"/>
        </w:rPr>
        <w:t>- 3 -</w:t>
      </w:r>
      <w:r>
        <w:rPr>
          <w:sz w:val="32"/>
          <w:szCs w:val="32"/>
        </w:rPr>
        <w:fldChar w:fldCharType="end"/>
      </w:r>
    </w:p>
    <w:p w14:paraId="24CC4426">
      <w:pPr>
        <w:pStyle w:val="9"/>
        <w:tabs>
          <w:tab w:val="right" w:leader="dot" w:pos="9354"/>
        </w:tabs>
        <w:ind w:firstLine="640"/>
        <w:rPr>
          <w:sz w:val="32"/>
          <w:szCs w:val="32"/>
        </w:rPr>
      </w:pPr>
      <w:r>
        <w:rPr>
          <w:rFonts w:hint="eastAsia" w:ascii="楷体" w:hAnsi="楷体"/>
          <w:sz w:val="32"/>
          <w:szCs w:val="32"/>
        </w:rPr>
        <w:t>2.1项目基本情况</w:t>
      </w:r>
      <w:r>
        <w:rPr>
          <w:sz w:val="32"/>
          <w:szCs w:val="32"/>
        </w:rPr>
        <w:tab/>
      </w:r>
      <w:r>
        <w:rPr>
          <w:sz w:val="32"/>
          <w:szCs w:val="32"/>
        </w:rPr>
        <w:fldChar w:fldCharType="begin"/>
      </w:r>
      <w:r>
        <w:rPr>
          <w:sz w:val="32"/>
          <w:szCs w:val="32"/>
        </w:rPr>
        <w:instrText xml:space="preserve"> PAGEREF _Toc9011 </w:instrText>
      </w:r>
      <w:r>
        <w:rPr>
          <w:sz w:val="32"/>
          <w:szCs w:val="32"/>
        </w:rPr>
        <w:fldChar w:fldCharType="separate"/>
      </w:r>
      <w:r>
        <w:rPr>
          <w:sz w:val="32"/>
          <w:szCs w:val="32"/>
        </w:rPr>
        <w:t>- 4 -</w:t>
      </w:r>
      <w:r>
        <w:rPr>
          <w:sz w:val="32"/>
          <w:szCs w:val="32"/>
        </w:rPr>
        <w:fldChar w:fldCharType="end"/>
      </w:r>
    </w:p>
    <w:p w14:paraId="44D2E4CD">
      <w:pPr>
        <w:pStyle w:val="9"/>
        <w:tabs>
          <w:tab w:val="right" w:leader="dot" w:pos="9354"/>
        </w:tabs>
        <w:ind w:firstLine="640"/>
        <w:rPr>
          <w:sz w:val="32"/>
          <w:szCs w:val="32"/>
        </w:rPr>
      </w:pPr>
      <w:r>
        <w:rPr>
          <w:rFonts w:hint="eastAsia" w:ascii="楷体" w:hAnsi="楷体"/>
          <w:sz w:val="32"/>
          <w:szCs w:val="32"/>
        </w:rPr>
        <w:t>2.2绩效评价工作开展情况</w:t>
      </w:r>
      <w:r>
        <w:rPr>
          <w:sz w:val="32"/>
          <w:szCs w:val="32"/>
        </w:rPr>
        <w:tab/>
      </w:r>
      <w:r>
        <w:rPr>
          <w:sz w:val="32"/>
          <w:szCs w:val="32"/>
        </w:rPr>
        <w:fldChar w:fldCharType="begin"/>
      </w:r>
      <w:r>
        <w:rPr>
          <w:sz w:val="32"/>
          <w:szCs w:val="32"/>
        </w:rPr>
        <w:instrText xml:space="preserve"> PAGEREF _Toc27069 </w:instrText>
      </w:r>
      <w:r>
        <w:rPr>
          <w:sz w:val="32"/>
          <w:szCs w:val="32"/>
        </w:rPr>
        <w:fldChar w:fldCharType="separate"/>
      </w:r>
      <w:r>
        <w:rPr>
          <w:sz w:val="32"/>
          <w:szCs w:val="32"/>
        </w:rPr>
        <w:t>- 4 -</w:t>
      </w:r>
      <w:r>
        <w:rPr>
          <w:sz w:val="32"/>
          <w:szCs w:val="32"/>
        </w:rPr>
        <w:fldChar w:fldCharType="end"/>
      </w:r>
    </w:p>
    <w:p w14:paraId="7C618C5F">
      <w:pPr>
        <w:pStyle w:val="9"/>
        <w:tabs>
          <w:tab w:val="right" w:leader="dot" w:pos="9354"/>
        </w:tabs>
        <w:ind w:firstLine="640"/>
        <w:rPr>
          <w:sz w:val="32"/>
          <w:szCs w:val="32"/>
        </w:rPr>
      </w:pPr>
      <w:r>
        <w:rPr>
          <w:rFonts w:hint="eastAsia" w:ascii="楷体" w:hAnsi="楷体"/>
          <w:sz w:val="32"/>
          <w:szCs w:val="32"/>
        </w:rPr>
        <w:t>2.3绩效指标完成情况分析</w:t>
      </w:r>
      <w:r>
        <w:rPr>
          <w:sz w:val="32"/>
          <w:szCs w:val="32"/>
        </w:rPr>
        <w:tab/>
      </w:r>
      <w:r>
        <w:rPr>
          <w:sz w:val="32"/>
          <w:szCs w:val="32"/>
        </w:rPr>
        <w:fldChar w:fldCharType="begin"/>
      </w:r>
      <w:r>
        <w:rPr>
          <w:sz w:val="32"/>
          <w:szCs w:val="32"/>
        </w:rPr>
        <w:instrText xml:space="preserve"> PAGEREF _Toc11565 </w:instrText>
      </w:r>
      <w:r>
        <w:rPr>
          <w:sz w:val="32"/>
          <w:szCs w:val="32"/>
        </w:rPr>
        <w:fldChar w:fldCharType="separate"/>
      </w:r>
      <w:r>
        <w:rPr>
          <w:sz w:val="32"/>
          <w:szCs w:val="32"/>
        </w:rPr>
        <w:t>- 6 -</w:t>
      </w:r>
      <w:r>
        <w:rPr>
          <w:sz w:val="32"/>
          <w:szCs w:val="32"/>
        </w:rPr>
        <w:fldChar w:fldCharType="end"/>
      </w:r>
    </w:p>
    <w:p w14:paraId="47C8B390">
      <w:pPr>
        <w:pStyle w:val="9"/>
        <w:tabs>
          <w:tab w:val="right" w:leader="dot" w:pos="9354"/>
        </w:tabs>
        <w:ind w:firstLine="640"/>
        <w:rPr>
          <w:sz w:val="32"/>
          <w:szCs w:val="32"/>
        </w:rPr>
      </w:pPr>
      <w:r>
        <w:rPr>
          <w:rFonts w:hint="eastAsia" w:ascii="楷体" w:hAnsi="楷体"/>
          <w:sz w:val="32"/>
          <w:szCs w:val="32"/>
        </w:rPr>
        <w:t>2.4上年度评价结果应用情况</w:t>
      </w:r>
      <w:r>
        <w:rPr>
          <w:sz w:val="32"/>
          <w:szCs w:val="32"/>
        </w:rPr>
        <w:tab/>
      </w:r>
      <w:r>
        <w:rPr>
          <w:sz w:val="32"/>
          <w:szCs w:val="32"/>
        </w:rPr>
        <w:fldChar w:fldCharType="begin"/>
      </w:r>
      <w:r>
        <w:rPr>
          <w:sz w:val="32"/>
          <w:szCs w:val="32"/>
        </w:rPr>
        <w:instrText xml:space="preserve"> PAGEREF _Toc29284 </w:instrText>
      </w:r>
      <w:r>
        <w:rPr>
          <w:sz w:val="32"/>
          <w:szCs w:val="32"/>
        </w:rPr>
        <w:fldChar w:fldCharType="separate"/>
      </w:r>
      <w:r>
        <w:rPr>
          <w:sz w:val="32"/>
          <w:szCs w:val="32"/>
        </w:rPr>
        <w:t>- 11 -</w:t>
      </w:r>
      <w:r>
        <w:rPr>
          <w:sz w:val="32"/>
          <w:szCs w:val="32"/>
        </w:rPr>
        <w:fldChar w:fldCharType="end"/>
      </w:r>
    </w:p>
    <w:p w14:paraId="2E3A1B6D">
      <w:pPr>
        <w:pStyle w:val="9"/>
        <w:tabs>
          <w:tab w:val="right" w:leader="dot" w:pos="9354"/>
        </w:tabs>
        <w:ind w:firstLine="640"/>
        <w:rPr>
          <w:sz w:val="32"/>
          <w:szCs w:val="32"/>
        </w:rPr>
      </w:pPr>
      <w:r>
        <w:rPr>
          <w:rFonts w:hint="eastAsia" w:ascii="楷体" w:hAnsi="楷体"/>
          <w:sz w:val="32"/>
          <w:szCs w:val="32"/>
        </w:rPr>
        <w:t>2.5其他佐证材料</w:t>
      </w:r>
      <w:r>
        <w:rPr>
          <w:sz w:val="32"/>
          <w:szCs w:val="32"/>
        </w:rPr>
        <w:tab/>
      </w:r>
      <w:r>
        <w:rPr>
          <w:sz w:val="32"/>
          <w:szCs w:val="32"/>
        </w:rPr>
        <w:fldChar w:fldCharType="begin"/>
      </w:r>
      <w:r>
        <w:rPr>
          <w:sz w:val="32"/>
          <w:szCs w:val="32"/>
        </w:rPr>
        <w:instrText xml:space="preserve"> PAGEREF _Toc13849 </w:instrText>
      </w:r>
      <w:r>
        <w:rPr>
          <w:sz w:val="32"/>
          <w:szCs w:val="32"/>
        </w:rPr>
        <w:fldChar w:fldCharType="separate"/>
      </w:r>
      <w:r>
        <w:rPr>
          <w:sz w:val="32"/>
          <w:szCs w:val="32"/>
        </w:rPr>
        <w:t>- 11 -</w:t>
      </w:r>
      <w:r>
        <w:rPr>
          <w:sz w:val="32"/>
          <w:szCs w:val="32"/>
        </w:rPr>
        <w:fldChar w:fldCharType="end"/>
      </w:r>
    </w:p>
    <w:p w14:paraId="79ECCBD0">
      <w:pPr>
        <w:pStyle w:val="9"/>
        <w:tabs>
          <w:tab w:val="right" w:leader="dot" w:pos="9354"/>
        </w:tabs>
        <w:ind w:firstLine="640"/>
        <w:rPr>
          <w:sz w:val="32"/>
          <w:szCs w:val="32"/>
        </w:rPr>
      </w:pPr>
      <w:r>
        <w:rPr>
          <w:rFonts w:hint="eastAsia" w:ascii="楷体" w:hAnsi="楷体"/>
          <w:sz w:val="32"/>
          <w:szCs w:val="32"/>
        </w:rPr>
        <w:t>2.6其他说明事项</w:t>
      </w:r>
      <w:r>
        <w:rPr>
          <w:sz w:val="32"/>
          <w:szCs w:val="32"/>
        </w:rPr>
        <w:tab/>
      </w:r>
      <w:r>
        <w:rPr>
          <w:sz w:val="32"/>
          <w:szCs w:val="32"/>
        </w:rPr>
        <w:fldChar w:fldCharType="begin"/>
      </w:r>
      <w:r>
        <w:rPr>
          <w:sz w:val="32"/>
          <w:szCs w:val="32"/>
        </w:rPr>
        <w:instrText xml:space="preserve"> PAGEREF _Toc11039 </w:instrText>
      </w:r>
      <w:r>
        <w:rPr>
          <w:sz w:val="32"/>
          <w:szCs w:val="32"/>
        </w:rPr>
        <w:fldChar w:fldCharType="separate"/>
      </w:r>
      <w:r>
        <w:rPr>
          <w:sz w:val="32"/>
          <w:szCs w:val="32"/>
        </w:rPr>
        <w:t>- 11 -</w:t>
      </w:r>
      <w:r>
        <w:rPr>
          <w:sz w:val="32"/>
          <w:szCs w:val="32"/>
        </w:rPr>
        <w:fldChar w:fldCharType="end"/>
      </w:r>
    </w:p>
    <w:p w14:paraId="43B25805">
      <w:pPr>
        <w:spacing w:line="360" w:lineRule="exact"/>
        <w:ind w:firstLine="640"/>
        <w:rPr>
          <w:b/>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1418" w:right="1134" w:bottom="1418" w:left="1418" w:header="851" w:footer="992" w:gutter="0"/>
          <w:pgBorders>
            <w:top w:val="none" w:sz="0" w:space="0"/>
            <w:left w:val="none" w:sz="0" w:space="0"/>
            <w:bottom w:val="none" w:sz="0" w:space="0"/>
            <w:right w:val="none" w:sz="0" w:space="0"/>
          </w:pgBorders>
          <w:pgNumType w:fmt="numberInDash" w:start="1"/>
          <w:cols w:space="720" w:num="1"/>
          <w:titlePg/>
          <w:docGrid w:type="linesAndChars" w:linePitch="381" w:charSpace="0"/>
        </w:sectPr>
      </w:pPr>
      <w:r>
        <w:rPr>
          <w:bCs/>
          <w:caps/>
          <w:color w:val="000000"/>
          <w:sz w:val="32"/>
          <w:szCs w:val="32"/>
        </w:rPr>
        <w:fldChar w:fldCharType="end"/>
      </w:r>
    </w:p>
    <w:p w14:paraId="20498398">
      <w:pPr>
        <w:pageBreakBefore w:val="0"/>
        <w:kinsoku/>
        <w:wordWrap/>
        <w:overflowPunct/>
        <w:autoSpaceDE/>
        <w:autoSpaceDN/>
        <w:bidi w:val="0"/>
        <w:adjustRightInd/>
        <w:snapToGrid/>
        <w:spacing w:line="560" w:lineRule="exact"/>
        <w:ind w:firstLine="723"/>
        <w:jc w:val="center"/>
        <w:textAlignment w:val="auto"/>
        <w:rPr>
          <w:rFonts w:hint="eastAsia" w:ascii="宋体" w:hAnsi="宋体" w:eastAsia="宋体" w:cs="宋体"/>
          <w:b/>
          <w:bCs/>
          <w:sz w:val="36"/>
          <w:szCs w:val="36"/>
        </w:rPr>
      </w:pPr>
      <w:bookmarkStart w:id="38" w:name="_Toc480770646"/>
      <w:bookmarkStart w:id="39" w:name="_Toc480770540"/>
      <w:bookmarkStart w:id="40" w:name="_Toc17242"/>
      <w:bookmarkStart w:id="41" w:name="_Toc479169673"/>
      <w:bookmarkStart w:id="42" w:name="_Toc480761833"/>
      <w:bookmarkStart w:id="43" w:name="_Toc480761929"/>
      <w:bookmarkStart w:id="44" w:name="_Toc480770828"/>
      <w:bookmarkStart w:id="45" w:name="_Toc480762044"/>
      <w:bookmarkStart w:id="46" w:name="_Toc480761468"/>
      <w:bookmarkStart w:id="47" w:name="_Toc482634619"/>
      <w:bookmarkStart w:id="48" w:name="_Toc480771630"/>
      <w:r>
        <w:rPr>
          <w:rFonts w:hint="eastAsia" w:ascii="宋体" w:hAnsi="宋体" w:eastAsia="宋体" w:cs="宋体"/>
          <w:b/>
          <w:bCs/>
          <w:sz w:val="36"/>
          <w:szCs w:val="36"/>
        </w:rPr>
        <w:t>鄂州市市容环境卫生管理局垃圾处置专项经费</w:t>
      </w:r>
    </w:p>
    <w:p w14:paraId="126F9D50">
      <w:pPr>
        <w:pageBreakBefore w:val="0"/>
        <w:kinsoku/>
        <w:wordWrap/>
        <w:overflowPunct/>
        <w:autoSpaceDE/>
        <w:autoSpaceDN/>
        <w:bidi w:val="0"/>
        <w:adjustRightInd/>
        <w:snapToGrid/>
        <w:spacing w:line="560" w:lineRule="exact"/>
        <w:ind w:firstLine="723"/>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项目绩效评价报告</w:t>
      </w:r>
      <w:bookmarkEnd w:id="38"/>
      <w:bookmarkEnd w:id="39"/>
      <w:bookmarkEnd w:id="40"/>
      <w:bookmarkEnd w:id="41"/>
      <w:bookmarkEnd w:id="42"/>
      <w:bookmarkEnd w:id="43"/>
      <w:bookmarkEnd w:id="44"/>
      <w:bookmarkEnd w:id="45"/>
      <w:bookmarkEnd w:id="46"/>
      <w:bookmarkEnd w:id="47"/>
      <w:bookmarkEnd w:id="48"/>
    </w:p>
    <w:p w14:paraId="39FB0013">
      <w:pPr>
        <w:pageBreakBefore w:val="0"/>
        <w:kinsoku/>
        <w:wordWrap/>
        <w:overflowPunct/>
        <w:autoSpaceDE/>
        <w:autoSpaceDN/>
        <w:bidi w:val="0"/>
        <w:adjustRightInd/>
        <w:snapToGrid/>
        <w:spacing w:line="560" w:lineRule="exact"/>
        <w:ind w:firstLine="640"/>
        <w:jc w:val="center"/>
        <w:textAlignment w:val="auto"/>
        <w:rPr>
          <w:sz w:val="32"/>
          <w:szCs w:val="32"/>
        </w:rPr>
      </w:pPr>
      <w:r>
        <w:rPr>
          <w:rFonts w:hint="eastAsia" w:ascii="楷体" w:hAnsi="楷体" w:eastAsia="楷体" w:cs="楷体"/>
          <w:b/>
          <w:bCs/>
          <w:sz w:val="32"/>
          <w:szCs w:val="32"/>
        </w:rPr>
        <w:t>（缩略版）</w:t>
      </w:r>
    </w:p>
    <w:p w14:paraId="00A3E654">
      <w:pPr>
        <w:pStyle w:val="2"/>
        <w:pageBreakBefore w:val="0"/>
        <w:kinsoku/>
        <w:wordWrap/>
        <w:overflowPunct/>
        <w:autoSpaceDE/>
        <w:autoSpaceDN/>
        <w:bidi w:val="0"/>
        <w:adjustRightInd/>
        <w:snapToGrid/>
        <w:spacing w:line="560" w:lineRule="exact"/>
        <w:textAlignment w:val="auto"/>
        <w:rPr>
          <w:rFonts w:hint="eastAsia" w:ascii="仿宋" w:hAnsi="仿宋" w:eastAsia="仿宋" w:cs="仿宋"/>
          <w:sz w:val="32"/>
          <w:szCs w:val="32"/>
        </w:rPr>
      </w:pPr>
      <w:bookmarkStart w:id="49" w:name="_Toc480770831"/>
      <w:bookmarkStart w:id="50" w:name="_Toc480770543"/>
      <w:bookmarkStart w:id="51" w:name="_Toc480771633"/>
      <w:bookmarkStart w:id="52" w:name="_Toc482634622"/>
      <w:bookmarkStart w:id="53" w:name="_Toc480770649"/>
      <w:bookmarkStart w:id="54" w:name="_Toc31117"/>
      <w:bookmarkStart w:id="55" w:name="_Toc480761469"/>
      <w:bookmarkStart w:id="56" w:name="_Toc480771631"/>
      <w:bookmarkStart w:id="57" w:name="_Toc480761930"/>
      <w:bookmarkStart w:id="58" w:name="_Toc479169674"/>
      <w:bookmarkStart w:id="59" w:name="_Toc480762045"/>
      <w:bookmarkStart w:id="60" w:name="_Toc480770829"/>
      <w:bookmarkStart w:id="61" w:name="_Toc480761834"/>
      <w:bookmarkStart w:id="62" w:name="_Toc482634620"/>
      <w:bookmarkStart w:id="63" w:name="_Toc480770541"/>
      <w:bookmarkStart w:id="64" w:name="_Toc480770647"/>
      <w:r>
        <w:rPr>
          <w:rFonts w:hint="eastAsia" w:ascii="黑体" w:hAnsi="黑体" w:eastAsia="黑体" w:cs="黑体"/>
          <w:sz w:val="32"/>
          <w:szCs w:val="32"/>
          <w:lang w:val="en-US" w:eastAsia="zh-CN"/>
        </w:rPr>
        <w:t>1.绩效</w:t>
      </w:r>
      <w:r>
        <w:rPr>
          <w:rFonts w:hint="eastAsia" w:ascii="黑体" w:hAnsi="黑体" w:eastAsia="黑体" w:cs="黑体"/>
          <w:sz w:val="32"/>
          <w:szCs w:val="32"/>
        </w:rPr>
        <w:t>评价</w:t>
      </w:r>
      <w:bookmarkEnd w:id="49"/>
      <w:bookmarkEnd w:id="50"/>
      <w:bookmarkEnd w:id="51"/>
      <w:bookmarkEnd w:id="52"/>
      <w:bookmarkEnd w:id="53"/>
      <w:r>
        <w:rPr>
          <w:rFonts w:hint="eastAsia" w:ascii="黑体" w:hAnsi="黑体" w:eastAsia="黑体" w:cs="黑体"/>
          <w:sz w:val="32"/>
          <w:szCs w:val="32"/>
        </w:rPr>
        <w:t>结论</w:t>
      </w:r>
      <w:bookmarkEnd w:id="54"/>
    </w:p>
    <w:p w14:paraId="2C187DB7">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鄂州市市容环境卫生管理局（以下简称市环卫局）较好地完成了2019年垃圾处置项目（以下简称本项目）的主要任务和绩效目标。项目符合国家相关法规、政策意见和行业发展规划，立项程序规范，绩效目标基本合理；管理制度基本健全，总体执行有效，质量可控，支出基本合规；项目产出较好，效益显著，服务对象满意度较高，具有较强的可持续性。</w:t>
      </w:r>
    </w:p>
    <w:p w14:paraId="76277736">
      <w:pPr>
        <w:pStyle w:val="3"/>
        <w:pageBreakBefore w:val="0"/>
        <w:kinsoku/>
        <w:wordWrap/>
        <w:overflowPunct/>
        <w:autoSpaceDE/>
        <w:autoSpaceDN/>
        <w:bidi w:val="0"/>
        <w:adjustRightInd/>
        <w:snapToGrid/>
        <w:spacing w:line="560" w:lineRule="exact"/>
        <w:ind w:firstLine="640"/>
        <w:textAlignment w:val="auto"/>
        <w:rPr>
          <w:rFonts w:hint="eastAsia" w:ascii="楷体" w:hAnsi="楷体" w:eastAsia="楷体" w:cs="楷体"/>
          <w:sz w:val="32"/>
          <w:szCs w:val="32"/>
        </w:rPr>
      </w:pPr>
      <w:bookmarkStart w:id="65" w:name="_Toc6580"/>
      <w:bookmarkStart w:id="66" w:name="_Toc13999"/>
      <w:bookmarkStart w:id="67" w:name="_Toc30060"/>
      <w:r>
        <w:rPr>
          <w:rFonts w:hint="eastAsia" w:ascii="楷体" w:hAnsi="楷体" w:eastAsia="楷体" w:cs="楷体"/>
          <w:sz w:val="32"/>
          <w:szCs w:val="32"/>
          <w:lang w:val="en-US" w:eastAsia="zh-CN"/>
        </w:rPr>
        <w:t>1.1绩效</w:t>
      </w:r>
      <w:r>
        <w:rPr>
          <w:rFonts w:hint="eastAsia" w:ascii="楷体" w:hAnsi="楷体" w:eastAsia="楷体" w:cs="楷体"/>
          <w:sz w:val="32"/>
          <w:szCs w:val="32"/>
        </w:rPr>
        <w:t>评分结果</w:t>
      </w:r>
      <w:bookmarkEnd w:id="65"/>
      <w:bookmarkEnd w:id="66"/>
      <w:bookmarkEnd w:id="67"/>
    </w:p>
    <w:p w14:paraId="11061DE2">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sz w:val="32"/>
          <w:szCs w:val="32"/>
        </w:rPr>
        <w:t>项目绩效评价综合评分</w:t>
      </w:r>
      <w:r>
        <w:rPr>
          <w:rFonts w:hint="eastAsia" w:ascii="仿宋" w:hAnsi="仿宋" w:eastAsia="仿宋" w:cs="仿宋"/>
          <w:sz w:val="32"/>
          <w:szCs w:val="32"/>
          <w:lang w:val="en-US" w:eastAsia="zh-CN"/>
        </w:rPr>
        <w:t>90</w:t>
      </w:r>
      <w:r>
        <w:rPr>
          <w:rFonts w:hint="eastAsia" w:ascii="仿宋" w:hAnsi="仿宋" w:eastAsia="仿宋" w:cs="仿宋"/>
          <w:sz w:val="32"/>
          <w:szCs w:val="32"/>
        </w:rPr>
        <w:t xml:space="preserve">分，评价等级“ </w:t>
      </w:r>
      <w:r>
        <w:rPr>
          <w:rFonts w:hint="eastAsia" w:ascii="仿宋" w:hAnsi="仿宋" w:eastAsia="仿宋" w:cs="仿宋"/>
          <w:sz w:val="32"/>
          <w:szCs w:val="32"/>
          <w:lang w:eastAsia="zh-CN"/>
        </w:rPr>
        <w:t>优</w:t>
      </w:r>
      <w:r>
        <w:rPr>
          <w:rFonts w:hint="eastAsia" w:ascii="仿宋" w:hAnsi="仿宋" w:eastAsia="仿宋" w:cs="仿宋"/>
          <w:sz w:val="32"/>
          <w:szCs w:val="32"/>
        </w:rPr>
        <w:t xml:space="preserve"> ”。</w:t>
      </w:r>
    </w:p>
    <w:tbl>
      <w:tblPr>
        <w:tblStyle w:val="11"/>
        <w:tblW w:w="98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195"/>
        <w:gridCol w:w="1816"/>
        <w:gridCol w:w="1912"/>
        <w:gridCol w:w="1592"/>
        <w:gridCol w:w="1592"/>
      </w:tblGrid>
      <w:tr w14:paraId="7C29DC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49" w:type="dxa"/>
            <w:noWrap w:val="0"/>
            <w:vAlign w:val="center"/>
          </w:tcPr>
          <w:p w14:paraId="0FFDFBA5">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评价指标</w:t>
            </w:r>
          </w:p>
        </w:tc>
        <w:tc>
          <w:tcPr>
            <w:tcW w:w="1195" w:type="dxa"/>
            <w:noWrap w:val="0"/>
            <w:vAlign w:val="center"/>
          </w:tcPr>
          <w:p w14:paraId="4A40CE97">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权重</w:t>
            </w:r>
          </w:p>
        </w:tc>
        <w:tc>
          <w:tcPr>
            <w:tcW w:w="1816" w:type="dxa"/>
            <w:noWrap w:val="0"/>
            <w:vAlign w:val="center"/>
          </w:tcPr>
          <w:p w14:paraId="1D7F241E">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评级分值</w:t>
            </w:r>
          </w:p>
        </w:tc>
        <w:tc>
          <w:tcPr>
            <w:tcW w:w="1912" w:type="dxa"/>
            <w:noWrap w:val="0"/>
            <w:vAlign w:val="center"/>
          </w:tcPr>
          <w:p w14:paraId="01C8F0B1">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本项目得分</w:t>
            </w:r>
          </w:p>
        </w:tc>
        <w:tc>
          <w:tcPr>
            <w:tcW w:w="1592" w:type="dxa"/>
            <w:noWrap w:val="0"/>
            <w:vAlign w:val="center"/>
          </w:tcPr>
          <w:p w14:paraId="767F61F1">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得分率</w:t>
            </w:r>
          </w:p>
        </w:tc>
        <w:tc>
          <w:tcPr>
            <w:tcW w:w="1592" w:type="dxa"/>
            <w:noWrap w:val="0"/>
            <w:vAlign w:val="center"/>
          </w:tcPr>
          <w:p w14:paraId="3D60E480">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评价等级</w:t>
            </w:r>
          </w:p>
        </w:tc>
      </w:tr>
      <w:tr w14:paraId="30645A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49" w:type="dxa"/>
            <w:noWrap w:val="0"/>
            <w:vAlign w:val="center"/>
          </w:tcPr>
          <w:p w14:paraId="61C8D83B">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项目管理</w:t>
            </w:r>
          </w:p>
        </w:tc>
        <w:tc>
          <w:tcPr>
            <w:tcW w:w="1195" w:type="dxa"/>
            <w:noWrap w:val="0"/>
            <w:vAlign w:val="center"/>
          </w:tcPr>
          <w:p w14:paraId="4E108080">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1816" w:type="dxa"/>
            <w:noWrap w:val="0"/>
            <w:vAlign w:val="center"/>
          </w:tcPr>
          <w:p w14:paraId="41B8799C">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1912" w:type="dxa"/>
            <w:noWrap w:val="0"/>
            <w:vAlign w:val="center"/>
          </w:tcPr>
          <w:p w14:paraId="523708EB">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w:t>
            </w:r>
          </w:p>
        </w:tc>
        <w:tc>
          <w:tcPr>
            <w:tcW w:w="1592" w:type="dxa"/>
            <w:noWrap w:val="0"/>
            <w:vAlign w:val="center"/>
          </w:tcPr>
          <w:p w14:paraId="7685CB0A">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74</w:t>
            </w:r>
            <w:r>
              <w:rPr>
                <w:rFonts w:hint="eastAsia" w:ascii="仿宋" w:hAnsi="仿宋" w:eastAsia="仿宋" w:cs="仿宋"/>
                <w:color w:val="000000"/>
                <w:kern w:val="0"/>
                <w:sz w:val="28"/>
                <w:szCs w:val="28"/>
              </w:rPr>
              <w:t>%</w:t>
            </w:r>
          </w:p>
        </w:tc>
        <w:tc>
          <w:tcPr>
            <w:tcW w:w="1592" w:type="dxa"/>
            <w:noWrap w:val="0"/>
            <w:vAlign w:val="center"/>
          </w:tcPr>
          <w:p w14:paraId="577861FB">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w:t>
            </w:r>
          </w:p>
        </w:tc>
      </w:tr>
      <w:tr w14:paraId="6A5E75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49" w:type="dxa"/>
            <w:noWrap w:val="0"/>
            <w:vAlign w:val="center"/>
          </w:tcPr>
          <w:p w14:paraId="28C53233">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项目产出</w:t>
            </w:r>
          </w:p>
        </w:tc>
        <w:tc>
          <w:tcPr>
            <w:tcW w:w="1195" w:type="dxa"/>
            <w:noWrap w:val="0"/>
            <w:vAlign w:val="center"/>
          </w:tcPr>
          <w:p w14:paraId="3B37D4A5">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w:t>
            </w:r>
          </w:p>
        </w:tc>
        <w:tc>
          <w:tcPr>
            <w:tcW w:w="1816" w:type="dxa"/>
            <w:noWrap w:val="0"/>
            <w:vAlign w:val="center"/>
          </w:tcPr>
          <w:p w14:paraId="6F7B1C75">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w:t>
            </w:r>
          </w:p>
        </w:tc>
        <w:tc>
          <w:tcPr>
            <w:tcW w:w="1912" w:type="dxa"/>
            <w:noWrap w:val="0"/>
            <w:vAlign w:val="center"/>
          </w:tcPr>
          <w:p w14:paraId="471BDF55">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50</w:t>
            </w:r>
          </w:p>
        </w:tc>
        <w:tc>
          <w:tcPr>
            <w:tcW w:w="1592" w:type="dxa"/>
            <w:noWrap w:val="0"/>
            <w:vAlign w:val="center"/>
          </w:tcPr>
          <w:p w14:paraId="29984F1C">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100%</w:t>
            </w:r>
          </w:p>
        </w:tc>
        <w:tc>
          <w:tcPr>
            <w:tcW w:w="1592" w:type="dxa"/>
            <w:noWrap w:val="0"/>
            <w:vAlign w:val="center"/>
          </w:tcPr>
          <w:p w14:paraId="5554B0C5">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优</w:t>
            </w:r>
          </w:p>
        </w:tc>
      </w:tr>
      <w:tr w14:paraId="2D2E57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49" w:type="dxa"/>
            <w:noWrap w:val="0"/>
            <w:vAlign w:val="center"/>
          </w:tcPr>
          <w:p w14:paraId="10D639F2">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项目效果</w:t>
            </w:r>
          </w:p>
        </w:tc>
        <w:tc>
          <w:tcPr>
            <w:tcW w:w="1195" w:type="dxa"/>
            <w:noWrap w:val="0"/>
            <w:vAlign w:val="center"/>
          </w:tcPr>
          <w:p w14:paraId="51AF1F91">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1816" w:type="dxa"/>
            <w:noWrap w:val="0"/>
            <w:vAlign w:val="center"/>
          </w:tcPr>
          <w:p w14:paraId="6B32AF2D">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1912" w:type="dxa"/>
            <w:noWrap w:val="0"/>
            <w:vAlign w:val="center"/>
          </w:tcPr>
          <w:p w14:paraId="6901C4F3">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1592" w:type="dxa"/>
            <w:noWrap w:val="0"/>
            <w:vAlign w:val="center"/>
          </w:tcPr>
          <w:p w14:paraId="4E1DFB9D">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92%</w:t>
            </w:r>
          </w:p>
        </w:tc>
        <w:tc>
          <w:tcPr>
            <w:tcW w:w="1592" w:type="dxa"/>
            <w:noWrap w:val="0"/>
            <w:vAlign w:val="center"/>
          </w:tcPr>
          <w:p w14:paraId="21F2F21A">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优</w:t>
            </w:r>
          </w:p>
        </w:tc>
      </w:tr>
      <w:tr w14:paraId="1B5618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49" w:type="dxa"/>
            <w:noWrap w:val="0"/>
            <w:vAlign w:val="center"/>
          </w:tcPr>
          <w:p w14:paraId="0F907989">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项目满意度</w:t>
            </w:r>
          </w:p>
        </w:tc>
        <w:tc>
          <w:tcPr>
            <w:tcW w:w="1195" w:type="dxa"/>
            <w:noWrap w:val="0"/>
            <w:vAlign w:val="center"/>
          </w:tcPr>
          <w:p w14:paraId="0B572C85">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1816" w:type="dxa"/>
            <w:noWrap w:val="0"/>
            <w:vAlign w:val="center"/>
          </w:tcPr>
          <w:p w14:paraId="69F8B476">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1912" w:type="dxa"/>
            <w:noWrap w:val="0"/>
            <w:vAlign w:val="center"/>
          </w:tcPr>
          <w:p w14:paraId="7A229913">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1592" w:type="dxa"/>
            <w:noWrap w:val="0"/>
            <w:vAlign w:val="center"/>
          </w:tcPr>
          <w:p w14:paraId="58F63408">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80%</w:t>
            </w:r>
          </w:p>
        </w:tc>
        <w:tc>
          <w:tcPr>
            <w:tcW w:w="1592" w:type="dxa"/>
            <w:noWrap w:val="0"/>
            <w:vAlign w:val="center"/>
          </w:tcPr>
          <w:p w14:paraId="29F4590F">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良</w:t>
            </w:r>
          </w:p>
        </w:tc>
      </w:tr>
      <w:tr w14:paraId="61D7B3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49" w:type="dxa"/>
            <w:noWrap w:val="0"/>
            <w:vAlign w:val="center"/>
          </w:tcPr>
          <w:p w14:paraId="3F06567B">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综合绩效</w:t>
            </w:r>
          </w:p>
        </w:tc>
        <w:tc>
          <w:tcPr>
            <w:tcW w:w="1195" w:type="dxa"/>
            <w:noWrap w:val="0"/>
            <w:vAlign w:val="center"/>
          </w:tcPr>
          <w:p w14:paraId="7E78E9C6">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100%</w:t>
            </w:r>
          </w:p>
        </w:tc>
        <w:tc>
          <w:tcPr>
            <w:tcW w:w="1816" w:type="dxa"/>
            <w:noWrap w:val="0"/>
            <w:vAlign w:val="center"/>
          </w:tcPr>
          <w:p w14:paraId="388445C4">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100</w:t>
            </w:r>
          </w:p>
        </w:tc>
        <w:tc>
          <w:tcPr>
            <w:tcW w:w="1912" w:type="dxa"/>
            <w:noWrap w:val="0"/>
            <w:vAlign w:val="center"/>
          </w:tcPr>
          <w:p w14:paraId="258D27E4">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kern w:val="0"/>
                <w:sz w:val="28"/>
                <w:szCs w:val="28"/>
                <w:highlight w:val="none"/>
                <w:lang w:val="en-US" w:eastAsia="zh-CN"/>
              </w:rPr>
            </w:pPr>
            <w:r>
              <w:rPr>
                <w:rFonts w:hint="eastAsia" w:ascii="仿宋" w:hAnsi="仿宋" w:eastAsia="仿宋" w:cs="仿宋"/>
                <w:b/>
                <w:color w:val="000000"/>
                <w:kern w:val="0"/>
                <w:sz w:val="28"/>
                <w:szCs w:val="28"/>
                <w:highlight w:val="none"/>
                <w:lang w:val="en-US" w:eastAsia="zh-CN"/>
              </w:rPr>
              <w:t>90</w:t>
            </w:r>
          </w:p>
        </w:tc>
        <w:tc>
          <w:tcPr>
            <w:tcW w:w="1592" w:type="dxa"/>
            <w:noWrap w:val="0"/>
            <w:vAlign w:val="center"/>
          </w:tcPr>
          <w:p w14:paraId="33667F8F">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lang w:val="en-US" w:eastAsia="zh-CN"/>
              </w:rPr>
              <w:t>90</w:t>
            </w:r>
            <w:r>
              <w:rPr>
                <w:rFonts w:hint="eastAsia" w:ascii="仿宋" w:hAnsi="仿宋" w:eastAsia="仿宋" w:cs="仿宋"/>
                <w:b/>
                <w:color w:val="000000"/>
                <w:kern w:val="0"/>
                <w:sz w:val="28"/>
                <w:szCs w:val="28"/>
                <w:highlight w:val="none"/>
              </w:rPr>
              <w:t>%</w:t>
            </w:r>
          </w:p>
        </w:tc>
        <w:tc>
          <w:tcPr>
            <w:tcW w:w="1592" w:type="dxa"/>
            <w:noWrap w:val="0"/>
            <w:vAlign w:val="center"/>
          </w:tcPr>
          <w:p w14:paraId="3E4A9138">
            <w:pPr>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优</w:t>
            </w:r>
          </w:p>
        </w:tc>
      </w:tr>
    </w:tbl>
    <w:p w14:paraId="1570EBDB">
      <w:pPr>
        <w:pStyle w:val="3"/>
        <w:pageBreakBefore w:val="0"/>
        <w:kinsoku/>
        <w:wordWrap/>
        <w:overflowPunct/>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bookmarkStart w:id="68" w:name="_Toc26485"/>
      <w:bookmarkStart w:id="69" w:name="_Toc11868"/>
      <w:r>
        <w:rPr>
          <w:rFonts w:hint="eastAsia" w:ascii="楷体" w:hAnsi="楷体" w:eastAsia="楷体" w:cs="楷体"/>
          <w:sz w:val="32"/>
          <w:szCs w:val="32"/>
          <w:lang w:val="en-US" w:eastAsia="zh-CN"/>
        </w:rPr>
        <w:t>1.2绩效指标完成情况分析</w:t>
      </w:r>
      <w:bookmarkEnd w:id="68"/>
      <w:bookmarkEnd w:id="69"/>
    </w:p>
    <w:p w14:paraId="22633B8A">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本项目主要对鄂州市辖区范围内生活垃圾（不含建筑垃圾、关于垃圾及其他有毒、有害、易燃易爆炸等危险物品）进行处置而支付的垃圾处置费。年初预算为2100万元，实际支出2121.63万元 ，预算执行率为101.03%。</w:t>
      </w:r>
    </w:p>
    <w:p w14:paraId="76EDE799">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2019年度设定的绩效指标主要有：全市清扫面积400万㎡；全市生活垃圾处理100%覆盖率；全市生活垃圾处理完成量</w:t>
      </w:r>
      <w:r>
        <w:rPr>
          <w:rFonts w:hint="eastAsia" w:ascii="仿宋" w:hAnsi="仿宋" w:eastAsia="仿宋" w:cs="仿宋"/>
          <w:sz w:val="32"/>
          <w:szCs w:val="32"/>
          <w:lang w:val="en-US" w:eastAsia="zh-CN"/>
        </w:rPr>
        <w:t>500-700吨/日</w:t>
      </w:r>
      <w:r>
        <w:rPr>
          <w:rFonts w:hint="eastAsia" w:ascii="仿宋" w:hAnsi="仿宋" w:eastAsia="仿宋" w:cs="仿宋"/>
          <w:sz w:val="32"/>
          <w:szCs w:val="32"/>
        </w:rPr>
        <w:t>；垃圾处置符合鄂州市城市环境卫生质量标准；生活垃圾日产日清</w:t>
      </w:r>
      <w:r>
        <w:rPr>
          <w:rFonts w:hint="eastAsia" w:ascii="仿宋" w:hAnsi="仿宋" w:eastAsia="仿宋" w:cs="仿宋"/>
          <w:sz w:val="32"/>
          <w:szCs w:val="32"/>
          <w:lang w:eastAsia="zh-CN"/>
        </w:rPr>
        <w:t>及时</w:t>
      </w:r>
      <w:r>
        <w:rPr>
          <w:rFonts w:hint="eastAsia" w:ascii="仿宋" w:hAnsi="仿宋" w:eastAsia="仿宋" w:cs="仿宋"/>
          <w:sz w:val="32"/>
          <w:szCs w:val="32"/>
        </w:rPr>
        <w:t>；</w:t>
      </w:r>
      <w:r>
        <w:rPr>
          <w:rFonts w:hint="eastAsia" w:ascii="仿宋" w:hAnsi="仿宋" w:eastAsia="仿宋" w:cs="仿宋"/>
          <w:sz w:val="32"/>
          <w:szCs w:val="32"/>
          <w:highlight w:val="none"/>
        </w:rPr>
        <w:t>达到第六届全国文明城市的考核目标并入选第六届全国文明城市；显</w:t>
      </w:r>
      <w:r>
        <w:rPr>
          <w:rFonts w:hint="eastAsia" w:ascii="仿宋" w:hAnsi="仿宋" w:eastAsia="仿宋" w:cs="仿宋"/>
          <w:sz w:val="32"/>
          <w:szCs w:val="32"/>
        </w:rPr>
        <w:t>著改善市容环境卫生；保障本项目运行经费有持续保障；使公众的满意程度达到90%。</w:t>
      </w:r>
    </w:p>
    <w:p w14:paraId="6D912BC9">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以上指标除公众满意度未达到目标值（目标值90%，实际为86%）外，其他均达到2019年的目标值。</w:t>
      </w:r>
    </w:p>
    <w:p w14:paraId="4AF02C8E">
      <w:pPr>
        <w:pStyle w:val="3"/>
        <w:pageBreakBefore w:val="0"/>
        <w:kinsoku/>
        <w:wordWrap/>
        <w:overflowPunct/>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bookmarkStart w:id="70" w:name="_Toc15677"/>
      <w:bookmarkStart w:id="71" w:name="_Toc13570"/>
      <w:r>
        <w:rPr>
          <w:rFonts w:hint="eastAsia" w:ascii="楷体" w:hAnsi="楷体" w:eastAsia="楷体" w:cs="楷体"/>
          <w:sz w:val="32"/>
          <w:szCs w:val="32"/>
          <w:lang w:val="en-US" w:eastAsia="zh-CN"/>
        </w:rPr>
        <w:t>1.3存在的问题</w:t>
      </w:r>
      <w:bookmarkEnd w:id="70"/>
      <w:bookmarkEnd w:id="71"/>
    </w:p>
    <w:p w14:paraId="659A8E5B">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绩效指标体系有待完善。项目虽设立了相应的绩效目标和绩效指标，但指标体系覆盖面尚不够全面，如按《鄂州市生活垃圾处置合作协议》，</w:t>
      </w:r>
      <w:r>
        <w:rPr>
          <w:rFonts w:hint="eastAsia" w:ascii="仿宋" w:hAnsi="仿宋" w:eastAsia="仿宋" w:cs="仿宋"/>
          <w:sz w:val="32"/>
          <w:szCs w:val="32"/>
          <w:lang w:eastAsia="zh-CN"/>
        </w:rPr>
        <w:t>市环卫局</w:t>
      </w:r>
      <w:r>
        <w:rPr>
          <w:rFonts w:hint="eastAsia" w:ascii="仿宋" w:hAnsi="仿宋" w:eastAsia="仿宋" w:cs="仿宋"/>
          <w:sz w:val="32"/>
          <w:szCs w:val="32"/>
        </w:rPr>
        <w:t>应按国家、湖北省关于生活垃圾处置有关的法律、法规以及相关的环保规定进行监督和管理，实现垃圾处置无害化、减量化、资源化的目标，但没有设定相应的绩效指标以确保目标的实现。</w:t>
      </w:r>
    </w:p>
    <w:p w14:paraId="73D3209B">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财务核算上未对本项目进行独立核算，不符合项目资金管理要求。</w:t>
      </w:r>
    </w:p>
    <w:p w14:paraId="3A5F0E70">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项目实施的事前、事中、事后的绩效运行监管需要加强；</w:t>
      </w:r>
    </w:p>
    <w:p w14:paraId="260CF7FE">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未对项目实施情况进行全面、深刻的总结。</w:t>
      </w:r>
    </w:p>
    <w:p w14:paraId="0443540B">
      <w:pPr>
        <w:pStyle w:val="3"/>
        <w:pageBreakBefore w:val="0"/>
        <w:kinsoku/>
        <w:wordWrap/>
        <w:overflowPunct/>
        <w:autoSpaceDE/>
        <w:autoSpaceDN/>
        <w:bidi w:val="0"/>
        <w:adjustRightInd/>
        <w:snapToGrid/>
        <w:spacing w:line="560" w:lineRule="exact"/>
        <w:ind w:firstLine="643"/>
        <w:textAlignment w:val="auto"/>
        <w:rPr>
          <w:rFonts w:hint="eastAsia" w:ascii="楷体" w:hAnsi="楷体" w:eastAsia="楷体" w:cs="楷体"/>
          <w:bCs w:val="0"/>
          <w:kern w:val="2"/>
          <w:sz w:val="32"/>
          <w:szCs w:val="32"/>
          <w:lang w:val="en-US" w:eastAsia="zh-CN"/>
        </w:rPr>
      </w:pPr>
      <w:bookmarkStart w:id="72" w:name="_Toc25986"/>
      <w:bookmarkStart w:id="73" w:name="_Toc15759"/>
      <w:r>
        <w:rPr>
          <w:rFonts w:hint="eastAsia" w:ascii="楷体" w:hAnsi="楷体" w:eastAsia="楷体" w:cs="楷体"/>
          <w:bCs w:val="0"/>
          <w:kern w:val="2"/>
          <w:sz w:val="32"/>
          <w:szCs w:val="32"/>
          <w:lang w:val="en-US" w:eastAsia="zh-CN"/>
        </w:rPr>
        <w:t>1.4建议</w:t>
      </w:r>
      <w:bookmarkEnd w:id="72"/>
      <w:bookmarkEnd w:id="73"/>
    </w:p>
    <w:p w14:paraId="3437A9FF">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逐步完善项目绩效指标体系，</w:t>
      </w:r>
      <w:r>
        <w:rPr>
          <w:rFonts w:hint="eastAsia" w:ascii="仿宋" w:hAnsi="仿宋" w:eastAsia="仿宋" w:cs="仿宋"/>
          <w:sz w:val="32"/>
          <w:szCs w:val="32"/>
          <w:lang w:eastAsia="zh-CN"/>
        </w:rPr>
        <w:t>使指标与项目目标更相关，并获取、保留相关佐证资料。如市环保局</w:t>
      </w:r>
      <w:r>
        <w:rPr>
          <w:rFonts w:hint="eastAsia" w:ascii="仿宋" w:hAnsi="仿宋" w:eastAsia="仿宋" w:cs="仿宋"/>
          <w:sz w:val="32"/>
          <w:szCs w:val="32"/>
        </w:rPr>
        <w:t>对本项目负有监督和管理的责任，</w:t>
      </w:r>
      <w:r>
        <w:rPr>
          <w:rFonts w:hint="eastAsia" w:ascii="仿宋" w:hAnsi="仿宋" w:eastAsia="仿宋" w:cs="仿宋"/>
          <w:sz w:val="32"/>
          <w:szCs w:val="32"/>
          <w:lang w:eastAsia="zh-CN"/>
        </w:rPr>
        <w:t>应</w:t>
      </w:r>
      <w:r>
        <w:rPr>
          <w:rFonts w:hint="eastAsia" w:ascii="仿宋" w:hAnsi="仿宋" w:eastAsia="仿宋" w:cs="仿宋"/>
          <w:sz w:val="32"/>
          <w:szCs w:val="32"/>
        </w:rPr>
        <w:t>建立对此相应的指标体系以全面反映项目所取得的绩效成果。</w:t>
      </w:r>
    </w:p>
    <w:p w14:paraId="58667314">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根据项目资金管理要求，对本项目支出独立核算。</w:t>
      </w:r>
    </w:p>
    <w:p w14:paraId="1C18F544">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加强项目的事前、事中、事后的绩效运行跟踪监管，确保项目的后续实施进度可控可调；</w:t>
      </w:r>
    </w:p>
    <w:p w14:paraId="13823A86">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组织项目实施后的总结探讨，为未来政策性项目提供决策参考及政策制定依据。</w:t>
      </w:r>
    </w:p>
    <w:p w14:paraId="5F410786">
      <w:pPr>
        <w:pageBreakBefore w:val="0"/>
        <w:kinsoku/>
        <w:wordWrap/>
        <w:overflowPunct/>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根据现场了解情况，鄂州市生活垃圾呈现逐年增长趋势，为了降低垃圾处置成本，控制垃圾量，建议推广城市垃圾分类；统筹规划，合理安排收购网点，促进废弃物的回收利用；向市民宣传鄂州市垃圾量及其处置成本，倡导市民低碳生活。</w:t>
      </w:r>
    </w:p>
    <w:p w14:paraId="0EBFE14A">
      <w:pPr>
        <w:pStyle w:val="2"/>
        <w:keepNext w:val="0"/>
        <w:keepLines w:val="0"/>
        <w:pageBreakBefore w:val="0"/>
        <w:kinsoku/>
        <w:wordWrap/>
        <w:overflowPunct/>
        <w:autoSpaceDE/>
        <w:autoSpaceDN/>
        <w:bidi w:val="0"/>
        <w:adjustRightInd/>
        <w:snapToGrid/>
        <w:spacing w:line="560" w:lineRule="exact"/>
        <w:rPr>
          <w:rFonts w:hint="eastAsia" w:ascii="黑体" w:hAnsi="黑体" w:eastAsia="黑体" w:cs="黑体"/>
          <w:sz w:val="32"/>
          <w:szCs w:val="32"/>
          <w:lang w:val="en-US" w:eastAsia="zh-CN"/>
        </w:rPr>
      </w:pPr>
      <w:bookmarkStart w:id="74" w:name="_Toc31676"/>
      <w:bookmarkStart w:id="75" w:name="_Toc31659"/>
      <w:r>
        <w:rPr>
          <w:rFonts w:hint="eastAsia" w:ascii="黑体" w:hAnsi="黑体" w:eastAsia="黑体" w:cs="黑体"/>
          <w:sz w:val="32"/>
          <w:szCs w:val="32"/>
          <w:lang w:val="en-US" w:eastAsia="zh-CN"/>
        </w:rPr>
        <w:t>2.佐证材料</w:t>
      </w:r>
      <w:bookmarkEnd w:id="74"/>
      <w:bookmarkEnd w:id="75"/>
    </w:p>
    <w:p w14:paraId="431F14E9">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bookmarkStart w:id="76" w:name="_Toc30568"/>
      <w:bookmarkStart w:id="77" w:name="_Toc9011"/>
      <w:r>
        <w:rPr>
          <w:rStyle w:val="16"/>
          <w:rFonts w:hint="eastAsia" w:ascii="楷体" w:hAnsi="楷体" w:eastAsia="楷体" w:cs="楷体"/>
          <w:sz w:val="32"/>
          <w:szCs w:val="32"/>
        </w:rPr>
        <w:t>2.1项目基本情况</w:t>
      </w:r>
      <w:bookmarkEnd w:id="76"/>
      <w:bookmarkEnd w:id="77"/>
      <w:r>
        <w:rPr>
          <w:rFonts w:hint="eastAsia" w:ascii="楷体" w:hAnsi="楷体" w:eastAsia="楷体" w:cs="楷体"/>
          <w:b/>
          <w:bCs/>
          <w:sz w:val="32"/>
          <w:szCs w:val="32"/>
        </w:rPr>
        <w:t xml:space="preserve"> </w:t>
      </w:r>
    </w:p>
    <w:p w14:paraId="76F6E11E">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2.1.1项目立项目的</w:t>
      </w:r>
    </w:p>
    <w:p w14:paraId="083973DA">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为促进鄂州市经济社会可持续发展，构建资源节约型和环境友好型社会，更好的履行企业的社会责任，本着消除污染、美化环境和对生活垃圾无害化处理、资源化利用的处置原则，鄂州市人民政府与华新环境工程（鄂州）有限公司（以下简称“华新公司”）于2013年4月2日签订《鄂州市生活垃圾处置》合作协议。协议规定本项目主要对鄂州市辖区范围内生活垃圾（不含建筑垃圾、关于垃圾及其他有毒、有害、易燃易爆炸等危险物品）进行干化、分化等预处理工艺的安全、无害和资源化处理设施，项目不再新建渗滤液处理厂。项目采取BOO合作模式，特许经营权限25年，处置价格52元/吨，按月结算。</w:t>
      </w:r>
    </w:p>
    <w:p w14:paraId="5BDA4DCF">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2019年3月签订《鄂州市生活垃圾处置合作协议补充协议》，垃圾处理价格调整为75/吨，从2018年1月1日起执行。</w:t>
      </w:r>
    </w:p>
    <w:p w14:paraId="10CC08B0">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2.1.2年度绩效目标</w:t>
      </w:r>
    </w:p>
    <w:tbl>
      <w:tblPr>
        <w:tblStyle w:val="11"/>
        <w:tblpPr w:leftFromText="180" w:rightFromText="180" w:vertAnchor="text" w:horzAnchor="page" w:tblpX="1438" w:tblpY="1680"/>
        <w:tblOverlap w:val="never"/>
        <w:tblW w:w="4997" w:type="pct"/>
        <w:tblInd w:w="0" w:type="dxa"/>
        <w:tblLayout w:type="autofit"/>
        <w:tblCellMar>
          <w:top w:w="0" w:type="dxa"/>
          <w:left w:w="0" w:type="dxa"/>
          <w:bottom w:w="0" w:type="dxa"/>
          <w:right w:w="0" w:type="dxa"/>
        </w:tblCellMar>
      </w:tblPr>
      <w:tblGrid>
        <w:gridCol w:w="973"/>
        <w:gridCol w:w="1799"/>
        <w:gridCol w:w="3553"/>
        <w:gridCol w:w="2006"/>
      </w:tblGrid>
      <w:tr w14:paraId="62357FCE">
        <w:tblPrEx>
          <w:tblCellMar>
            <w:top w:w="0" w:type="dxa"/>
            <w:left w:w="0" w:type="dxa"/>
            <w:bottom w:w="0" w:type="dxa"/>
            <w:right w:w="0" w:type="dxa"/>
          </w:tblCellMar>
        </w:tblPrEx>
        <w:trPr>
          <w:cantSplit/>
          <w:trHeight w:val="650" w:hRule="atLeast"/>
          <w:tblHeader/>
        </w:trPr>
        <w:tc>
          <w:tcPr>
            <w:tcW w:w="584"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8187EE">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b/>
                <w:color w:val="000000"/>
                <w:sz w:val="24"/>
                <w:szCs w:val="24"/>
              </w:rPr>
            </w:pPr>
          </w:p>
        </w:tc>
        <w:tc>
          <w:tcPr>
            <w:tcW w:w="1079"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B8EFAD">
            <w:pPr>
              <w:keepNext w:val="0"/>
              <w:keepLines w:val="0"/>
              <w:pageBreakBefore w:val="0"/>
              <w:widowControl/>
              <w:kinsoku/>
              <w:wordWrap/>
              <w:overflowPunct/>
              <w:autoSpaceDE/>
              <w:autoSpaceDN/>
              <w:bidi w:val="0"/>
              <w:adjustRightInd/>
              <w:snapToGrid/>
              <w:spacing w:line="560" w:lineRule="exact"/>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二级指标</w:t>
            </w: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A8EDC3">
            <w:pPr>
              <w:keepNext w:val="0"/>
              <w:keepLines w:val="0"/>
              <w:pageBreakBefore w:val="0"/>
              <w:widowControl/>
              <w:kinsoku/>
              <w:wordWrap/>
              <w:overflowPunct/>
              <w:autoSpaceDE/>
              <w:autoSpaceDN/>
              <w:bidi w:val="0"/>
              <w:adjustRightInd/>
              <w:snapToGrid/>
              <w:spacing w:line="560" w:lineRule="exact"/>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三级指标</w:t>
            </w:r>
          </w:p>
        </w:tc>
        <w:tc>
          <w:tcPr>
            <w:tcW w:w="120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90B56C">
            <w:pPr>
              <w:keepNext w:val="0"/>
              <w:keepLines w:val="0"/>
              <w:pageBreakBefore w:val="0"/>
              <w:widowControl/>
              <w:kinsoku/>
              <w:wordWrap/>
              <w:overflowPunct/>
              <w:autoSpaceDE/>
              <w:autoSpaceDN/>
              <w:bidi w:val="0"/>
              <w:adjustRightInd/>
              <w:snapToGrid/>
              <w:spacing w:line="560" w:lineRule="exact"/>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绩效目标值</w:t>
            </w:r>
          </w:p>
        </w:tc>
      </w:tr>
      <w:tr w14:paraId="026EE636">
        <w:tblPrEx>
          <w:tblCellMar>
            <w:top w:w="0" w:type="dxa"/>
            <w:left w:w="0" w:type="dxa"/>
            <w:bottom w:w="0" w:type="dxa"/>
            <w:right w:w="0" w:type="dxa"/>
          </w:tblCellMar>
        </w:tblPrEx>
        <w:trPr>
          <w:trHeight w:val="424" w:hRule="atLeast"/>
        </w:trPr>
        <w:tc>
          <w:tcPr>
            <w:tcW w:w="584" w:type="pct"/>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C5A616">
            <w:pPr>
              <w:keepNext w:val="0"/>
              <w:keepLines w:val="0"/>
              <w:pageBreakBefore w:val="0"/>
              <w:widowControl/>
              <w:kinsoku/>
              <w:wordWrap/>
              <w:overflowPunct/>
              <w:autoSpaceDE/>
              <w:autoSpaceDN/>
              <w:bidi w:val="0"/>
              <w:adjustRightInd/>
              <w:snapToGrid/>
              <w:spacing w:line="560" w:lineRule="exact"/>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产出</w:t>
            </w:r>
          </w:p>
          <w:p w14:paraId="0519A2E6">
            <w:pPr>
              <w:keepNext w:val="0"/>
              <w:keepLines w:val="0"/>
              <w:pageBreakBefore w:val="0"/>
              <w:widowControl/>
              <w:kinsoku/>
              <w:wordWrap/>
              <w:overflowPunct/>
              <w:autoSpaceDE/>
              <w:autoSpaceDN/>
              <w:bidi w:val="0"/>
              <w:adjustRightInd/>
              <w:snapToGrid/>
              <w:spacing w:line="560" w:lineRule="exact"/>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（50分）</w:t>
            </w:r>
          </w:p>
        </w:tc>
        <w:tc>
          <w:tcPr>
            <w:tcW w:w="1079" w:type="pct"/>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5405C9">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数量指标(</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8分)</w:t>
            </w: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540F97">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每日清扫路面，维护道路整洁</w:t>
            </w:r>
          </w:p>
        </w:tc>
        <w:tc>
          <w:tcPr>
            <w:tcW w:w="12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2AF0E6D">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400万</w:t>
            </w:r>
            <w:r>
              <w:rPr>
                <w:rStyle w:val="17"/>
                <w:rFonts w:hint="eastAsia" w:ascii="仿宋" w:hAnsi="仿宋" w:eastAsia="仿宋" w:cs="仿宋"/>
                <w:sz w:val="24"/>
                <w:szCs w:val="24"/>
                <w:lang w:bidi="ar"/>
              </w:rPr>
              <w:t>㎡</w:t>
            </w:r>
          </w:p>
        </w:tc>
      </w:tr>
      <w:tr w14:paraId="77F481EA">
        <w:tblPrEx>
          <w:tblCellMar>
            <w:top w:w="0" w:type="dxa"/>
            <w:left w:w="0" w:type="dxa"/>
            <w:bottom w:w="0" w:type="dxa"/>
            <w:right w:w="0" w:type="dxa"/>
          </w:tblCellMar>
        </w:tblPrEx>
        <w:trPr>
          <w:trHeight w:val="475"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13F932">
            <w:pPr>
              <w:keepNext w:val="0"/>
              <w:keepLines w:val="0"/>
              <w:pageBreakBefore w:val="0"/>
              <w:kinsoku/>
              <w:wordWrap/>
              <w:overflowPunct/>
              <w:autoSpaceDE/>
              <w:autoSpaceDN/>
              <w:bidi w:val="0"/>
              <w:adjustRightInd/>
              <w:snapToGrid/>
              <w:spacing w:line="560" w:lineRule="exact"/>
              <w:ind w:firstLine="400"/>
              <w:jc w:val="center"/>
              <w:rPr>
                <w:rFonts w:hint="eastAsia" w:ascii="仿宋" w:hAnsi="仿宋" w:eastAsia="仿宋" w:cs="仿宋"/>
                <w:color w:val="000000"/>
                <w:sz w:val="24"/>
                <w:szCs w:val="24"/>
              </w:rPr>
            </w:pPr>
          </w:p>
        </w:tc>
        <w:tc>
          <w:tcPr>
            <w:tcW w:w="1079"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9F146E">
            <w:pPr>
              <w:keepNext w:val="0"/>
              <w:keepLines w:val="0"/>
              <w:pageBreakBefore w:val="0"/>
              <w:kinsoku/>
              <w:wordWrap/>
              <w:overflowPunct/>
              <w:autoSpaceDE/>
              <w:autoSpaceDN/>
              <w:bidi w:val="0"/>
              <w:adjustRightInd/>
              <w:snapToGrid/>
              <w:spacing w:line="560" w:lineRule="exact"/>
              <w:ind w:firstLine="400"/>
              <w:rPr>
                <w:rFonts w:hint="eastAsia" w:ascii="仿宋" w:hAnsi="仿宋" w:eastAsia="仿宋" w:cs="仿宋"/>
                <w:color w:val="000000"/>
                <w:sz w:val="24"/>
                <w:szCs w:val="24"/>
              </w:rPr>
            </w:pP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7051EA">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全市生活垃圾处理覆盖率</w:t>
            </w:r>
          </w:p>
        </w:tc>
        <w:tc>
          <w:tcPr>
            <w:tcW w:w="120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AD8187">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r>
      <w:tr w14:paraId="1DD1F1C7">
        <w:tblPrEx>
          <w:tblCellMar>
            <w:top w:w="0" w:type="dxa"/>
            <w:left w:w="0" w:type="dxa"/>
            <w:bottom w:w="0" w:type="dxa"/>
            <w:right w:w="0" w:type="dxa"/>
          </w:tblCellMar>
        </w:tblPrEx>
        <w:trPr>
          <w:trHeight w:val="460"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5C6224">
            <w:pPr>
              <w:keepNext w:val="0"/>
              <w:keepLines w:val="0"/>
              <w:pageBreakBefore w:val="0"/>
              <w:kinsoku/>
              <w:wordWrap/>
              <w:overflowPunct/>
              <w:autoSpaceDE/>
              <w:autoSpaceDN/>
              <w:bidi w:val="0"/>
              <w:adjustRightInd/>
              <w:snapToGrid/>
              <w:spacing w:line="560" w:lineRule="exact"/>
              <w:ind w:firstLine="400"/>
              <w:jc w:val="center"/>
              <w:rPr>
                <w:rFonts w:hint="eastAsia" w:ascii="仿宋" w:hAnsi="仿宋" w:eastAsia="仿宋" w:cs="仿宋"/>
                <w:color w:val="000000"/>
                <w:sz w:val="24"/>
                <w:szCs w:val="24"/>
              </w:rPr>
            </w:pPr>
          </w:p>
        </w:tc>
        <w:tc>
          <w:tcPr>
            <w:tcW w:w="1079"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71586">
            <w:pPr>
              <w:keepNext w:val="0"/>
              <w:keepLines w:val="0"/>
              <w:pageBreakBefore w:val="0"/>
              <w:kinsoku/>
              <w:wordWrap/>
              <w:overflowPunct/>
              <w:autoSpaceDE/>
              <w:autoSpaceDN/>
              <w:bidi w:val="0"/>
              <w:adjustRightInd/>
              <w:snapToGrid/>
              <w:spacing w:line="560" w:lineRule="exact"/>
              <w:ind w:firstLine="400"/>
              <w:rPr>
                <w:rFonts w:hint="eastAsia" w:ascii="仿宋" w:hAnsi="仿宋" w:eastAsia="仿宋" w:cs="仿宋"/>
                <w:color w:val="000000"/>
                <w:sz w:val="24"/>
                <w:szCs w:val="24"/>
              </w:rPr>
            </w:pP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62C5C4">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全市生活垃圾处理完成数量</w:t>
            </w:r>
          </w:p>
        </w:tc>
        <w:tc>
          <w:tcPr>
            <w:tcW w:w="120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2F9E19">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w:t>
            </w:r>
            <w:r>
              <w:rPr>
                <w:rStyle w:val="17"/>
                <w:rFonts w:hint="eastAsia" w:ascii="仿宋" w:hAnsi="仿宋" w:eastAsia="仿宋" w:cs="仿宋"/>
                <w:sz w:val="24"/>
                <w:szCs w:val="24"/>
                <w:lang w:bidi="ar"/>
              </w:rPr>
              <w:t>－</w:t>
            </w:r>
            <w:r>
              <w:rPr>
                <w:rStyle w:val="18"/>
                <w:rFonts w:hint="eastAsia" w:ascii="仿宋" w:hAnsi="仿宋" w:eastAsia="仿宋" w:cs="仿宋"/>
                <w:sz w:val="24"/>
                <w:szCs w:val="24"/>
                <w:lang w:bidi="ar"/>
              </w:rPr>
              <w:t>700</w:t>
            </w:r>
            <w:r>
              <w:rPr>
                <w:rStyle w:val="17"/>
                <w:rFonts w:hint="eastAsia" w:ascii="仿宋" w:hAnsi="仿宋" w:eastAsia="仿宋" w:cs="仿宋"/>
                <w:sz w:val="24"/>
                <w:szCs w:val="24"/>
                <w:lang w:bidi="ar"/>
              </w:rPr>
              <w:t>吨</w:t>
            </w:r>
            <w:r>
              <w:rPr>
                <w:rStyle w:val="18"/>
                <w:rFonts w:hint="eastAsia" w:ascii="仿宋" w:hAnsi="仿宋" w:eastAsia="仿宋" w:cs="仿宋"/>
                <w:sz w:val="24"/>
                <w:szCs w:val="24"/>
                <w:lang w:bidi="ar"/>
              </w:rPr>
              <w:t>/</w:t>
            </w:r>
            <w:r>
              <w:rPr>
                <w:rStyle w:val="17"/>
                <w:rFonts w:hint="eastAsia" w:ascii="仿宋" w:hAnsi="仿宋" w:eastAsia="仿宋" w:cs="仿宋"/>
                <w:sz w:val="24"/>
                <w:szCs w:val="24"/>
                <w:lang w:bidi="ar"/>
              </w:rPr>
              <w:t>日</w:t>
            </w:r>
          </w:p>
        </w:tc>
      </w:tr>
      <w:tr w14:paraId="256AD1F8">
        <w:tblPrEx>
          <w:tblCellMar>
            <w:top w:w="0" w:type="dxa"/>
            <w:left w:w="0" w:type="dxa"/>
            <w:bottom w:w="0" w:type="dxa"/>
            <w:right w:w="0" w:type="dxa"/>
          </w:tblCellMar>
        </w:tblPrEx>
        <w:trPr>
          <w:trHeight w:val="379"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D28380">
            <w:pPr>
              <w:keepNext w:val="0"/>
              <w:keepLines w:val="0"/>
              <w:pageBreakBefore w:val="0"/>
              <w:kinsoku/>
              <w:wordWrap/>
              <w:overflowPunct/>
              <w:autoSpaceDE/>
              <w:autoSpaceDN/>
              <w:bidi w:val="0"/>
              <w:adjustRightInd/>
              <w:snapToGrid/>
              <w:spacing w:line="560" w:lineRule="exact"/>
              <w:ind w:firstLine="400"/>
              <w:jc w:val="center"/>
              <w:rPr>
                <w:rFonts w:hint="eastAsia" w:ascii="仿宋" w:hAnsi="仿宋" w:eastAsia="仿宋" w:cs="仿宋"/>
                <w:color w:val="000000"/>
                <w:sz w:val="24"/>
                <w:szCs w:val="24"/>
              </w:rPr>
            </w:pPr>
          </w:p>
        </w:tc>
        <w:tc>
          <w:tcPr>
            <w:tcW w:w="1079" w:type="pct"/>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4C2B8B">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质量指标（</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2分）</w:t>
            </w: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40B0C">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符合鄂州市城市环境卫生质量标准</w:t>
            </w:r>
          </w:p>
        </w:tc>
        <w:tc>
          <w:tcPr>
            <w:tcW w:w="120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E1E49">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符合</w:t>
            </w:r>
          </w:p>
        </w:tc>
      </w:tr>
      <w:tr w14:paraId="292E9E74">
        <w:tblPrEx>
          <w:tblCellMar>
            <w:top w:w="0" w:type="dxa"/>
            <w:left w:w="0" w:type="dxa"/>
            <w:bottom w:w="0" w:type="dxa"/>
            <w:right w:w="0" w:type="dxa"/>
          </w:tblCellMar>
        </w:tblPrEx>
        <w:trPr>
          <w:trHeight w:val="424"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F5C2D6">
            <w:pPr>
              <w:keepNext w:val="0"/>
              <w:keepLines w:val="0"/>
              <w:pageBreakBefore w:val="0"/>
              <w:kinsoku/>
              <w:wordWrap/>
              <w:overflowPunct/>
              <w:autoSpaceDE/>
              <w:autoSpaceDN/>
              <w:bidi w:val="0"/>
              <w:adjustRightInd/>
              <w:snapToGrid/>
              <w:spacing w:line="560" w:lineRule="exact"/>
              <w:ind w:firstLine="400"/>
              <w:jc w:val="center"/>
              <w:rPr>
                <w:rFonts w:hint="eastAsia" w:ascii="仿宋" w:hAnsi="仿宋" w:eastAsia="仿宋" w:cs="仿宋"/>
                <w:color w:val="000000"/>
                <w:sz w:val="24"/>
                <w:szCs w:val="24"/>
              </w:rPr>
            </w:pPr>
          </w:p>
        </w:tc>
        <w:tc>
          <w:tcPr>
            <w:tcW w:w="1079"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3FE425">
            <w:pPr>
              <w:keepNext w:val="0"/>
              <w:keepLines w:val="0"/>
              <w:pageBreakBefore w:val="0"/>
              <w:kinsoku/>
              <w:wordWrap/>
              <w:overflowPunct/>
              <w:autoSpaceDE/>
              <w:autoSpaceDN/>
              <w:bidi w:val="0"/>
              <w:adjustRightInd/>
              <w:snapToGrid/>
              <w:spacing w:line="560" w:lineRule="exact"/>
              <w:ind w:firstLine="400"/>
              <w:rPr>
                <w:rFonts w:hint="eastAsia" w:ascii="仿宋" w:hAnsi="仿宋" w:eastAsia="仿宋" w:cs="仿宋"/>
                <w:color w:val="000000"/>
                <w:sz w:val="24"/>
                <w:szCs w:val="24"/>
              </w:rPr>
            </w:pP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07D45B">
            <w:pPr>
              <w:keepNext w:val="0"/>
              <w:keepLines w:val="0"/>
              <w:pageBreakBefore w:val="0"/>
              <w:widowControl/>
              <w:suppressLineNumbers w:val="0"/>
              <w:kinsoku/>
              <w:wordWrap/>
              <w:overflowPunct/>
              <w:autoSpaceDE/>
              <w:autoSpaceDN/>
              <w:bidi w:val="0"/>
              <w:adjustRightInd/>
              <w:snapToGrid/>
              <w:spacing w:line="560" w:lineRule="exact"/>
              <w:ind w:left="0" w:leftChars="0" w:firstLine="0" w:firstLineChars="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生活垃圾日产日清</w:t>
            </w:r>
          </w:p>
        </w:tc>
        <w:tc>
          <w:tcPr>
            <w:tcW w:w="120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941CD9">
            <w:pPr>
              <w:keepNext w:val="0"/>
              <w:keepLines w:val="0"/>
              <w:pageBreakBefore w:val="0"/>
              <w:widowControl/>
              <w:suppressLineNumbers w:val="0"/>
              <w:kinsoku/>
              <w:wordWrap/>
              <w:overflowPunct/>
              <w:autoSpaceDE/>
              <w:autoSpaceDN/>
              <w:bidi w:val="0"/>
              <w:adjustRightInd/>
              <w:snapToGrid/>
              <w:spacing w:line="560" w:lineRule="exact"/>
              <w:ind w:firstLine="480" w:firstLineChars="20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及时</w:t>
            </w:r>
          </w:p>
        </w:tc>
      </w:tr>
      <w:tr w14:paraId="4988E8BB">
        <w:tblPrEx>
          <w:tblCellMar>
            <w:top w:w="0" w:type="dxa"/>
            <w:left w:w="0" w:type="dxa"/>
            <w:bottom w:w="0" w:type="dxa"/>
            <w:right w:w="0" w:type="dxa"/>
          </w:tblCellMar>
        </w:tblPrEx>
        <w:trPr>
          <w:trHeight w:val="424"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0454F7">
            <w:pPr>
              <w:keepNext w:val="0"/>
              <w:keepLines w:val="0"/>
              <w:pageBreakBefore w:val="0"/>
              <w:kinsoku/>
              <w:wordWrap/>
              <w:overflowPunct/>
              <w:autoSpaceDE/>
              <w:autoSpaceDN/>
              <w:bidi w:val="0"/>
              <w:adjustRightInd/>
              <w:snapToGrid/>
              <w:spacing w:line="560" w:lineRule="exact"/>
              <w:ind w:firstLine="400"/>
              <w:jc w:val="center"/>
              <w:rPr>
                <w:rFonts w:hint="eastAsia" w:ascii="仿宋" w:hAnsi="仿宋" w:eastAsia="仿宋" w:cs="仿宋"/>
                <w:color w:val="000000"/>
                <w:sz w:val="24"/>
                <w:szCs w:val="24"/>
              </w:rPr>
            </w:pPr>
          </w:p>
        </w:tc>
        <w:tc>
          <w:tcPr>
            <w:tcW w:w="1079"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1FEA88">
            <w:pPr>
              <w:keepNext w:val="0"/>
              <w:keepLines w:val="0"/>
              <w:pageBreakBefore w:val="0"/>
              <w:kinsoku/>
              <w:wordWrap/>
              <w:overflowPunct/>
              <w:autoSpaceDE/>
              <w:autoSpaceDN/>
              <w:bidi w:val="0"/>
              <w:adjustRightInd/>
              <w:snapToGrid/>
              <w:spacing w:line="560" w:lineRule="exact"/>
              <w:ind w:firstLine="400"/>
              <w:rPr>
                <w:rFonts w:hint="eastAsia" w:ascii="仿宋" w:hAnsi="仿宋" w:eastAsia="仿宋" w:cs="仿宋"/>
                <w:color w:val="000000"/>
                <w:sz w:val="24"/>
                <w:szCs w:val="24"/>
              </w:rPr>
            </w:pP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AC3EFC">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第六届全国文明城市迎检</w:t>
            </w:r>
          </w:p>
        </w:tc>
        <w:tc>
          <w:tcPr>
            <w:tcW w:w="120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2DBC7C">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优良</w:t>
            </w:r>
          </w:p>
        </w:tc>
      </w:tr>
      <w:tr w14:paraId="43214E6B">
        <w:tblPrEx>
          <w:tblCellMar>
            <w:top w:w="0" w:type="dxa"/>
            <w:left w:w="0" w:type="dxa"/>
            <w:bottom w:w="0" w:type="dxa"/>
            <w:right w:w="0" w:type="dxa"/>
          </w:tblCellMar>
        </w:tblPrEx>
        <w:trPr>
          <w:trHeight w:val="469" w:hRule="atLeast"/>
        </w:trPr>
        <w:tc>
          <w:tcPr>
            <w:tcW w:w="584" w:type="pct"/>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ACC940">
            <w:pPr>
              <w:keepNext w:val="0"/>
              <w:keepLines w:val="0"/>
              <w:pageBreakBefore w:val="0"/>
              <w:widowControl/>
              <w:kinsoku/>
              <w:wordWrap/>
              <w:overflowPunct/>
              <w:autoSpaceDE/>
              <w:autoSpaceDN/>
              <w:bidi w:val="0"/>
              <w:adjustRightInd/>
              <w:snapToGrid/>
              <w:spacing w:line="560" w:lineRule="exact"/>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效益</w:t>
            </w:r>
          </w:p>
          <w:p w14:paraId="00F457CE">
            <w:pPr>
              <w:keepNext w:val="0"/>
              <w:keepLines w:val="0"/>
              <w:pageBreakBefore w:val="0"/>
              <w:widowControl/>
              <w:kinsoku/>
              <w:wordWrap/>
              <w:overflowPunct/>
              <w:autoSpaceDE/>
              <w:autoSpaceDN/>
              <w:bidi w:val="0"/>
              <w:adjustRightInd/>
              <w:snapToGrid/>
              <w:spacing w:line="560" w:lineRule="exact"/>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(23分)</w:t>
            </w:r>
          </w:p>
        </w:tc>
        <w:tc>
          <w:tcPr>
            <w:tcW w:w="1079" w:type="pct"/>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8437F6">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社会效益指标</w:t>
            </w:r>
          </w:p>
          <w:p w14:paraId="1708256C">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(8分)</w:t>
            </w: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34835D">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入选第六届全国文明城市</w:t>
            </w:r>
          </w:p>
        </w:tc>
        <w:tc>
          <w:tcPr>
            <w:tcW w:w="12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4122D11">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入选</w:t>
            </w:r>
          </w:p>
        </w:tc>
      </w:tr>
      <w:tr w14:paraId="04FE422B">
        <w:tblPrEx>
          <w:tblCellMar>
            <w:top w:w="0" w:type="dxa"/>
            <w:left w:w="0" w:type="dxa"/>
            <w:bottom w:w="0" w:type="dxa"/>
            <w:right w:w="0" w:type="dxa"/>
          </w:tblCellMar>
        </w:tblPrEx>
        <w:trPr>
          <w:trHeight w:val="450"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12806C">
            <w:pPr>
              <w:keepNext w:val="0"/>
              <w:keepLines w:val="0"/>
              <w:pageBreakBefore w:val="0"/>
              <w:kinsoku/>
              <w:wordWrap/>
              <w:overflowPunct/>
              <w:autoSpaceDE/>
              <w:autoSpaceDN/>
              <w:bidi w:val="0"/>
              <w:adjustRightInd/>
              <w:snapToGrid/>
              <w:spacing w:line="560" w:lineRule="exact"/>
              <w:ind w:firstLine="440"/>
              <w:jc w:val="center"/>
              <w:rPr>
                <w:rFonts w:hint="eastAsia" w:ascii="仿宋" w:hAnsi="仿宋" w:eastAsia="仿宋" w:cs="仿宋"/>
                <w:color w:val="000000"/>
                <w:sz w:val="24"/>
                <w:szCs w:val="24"/>
              </w:rPr>
            </w:pPr>
          </w:p>
        </w:tc>
        <w:tc>
          <w:tcPr>
            <w:tcW w:w="1079"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0594A8">
            <w:pPr>
              <w:keepNext w:val="0"/>
              <w:keepLines w:val="0"/>
              <w:pageBreakBefore w:val="0"/>
              <w:kinsoku/>
              <w:wordWrap/>
              <w:overflowPunct/>
              <w:autoSpaceDE/>
              <w:autoSpaceDN/>
              <w:bidi w:val="0"/>
              <w:adjustRightInd/>
              <w:snapToGrid/>
              <w:spacing w:line="560" w:lineRule="exact"/>
              <w:ind w:firstLine="400"/>
              <w:rPr>
                <w:rFonts w:hint="eastAsia" w:ascii="仿宋" w:hAnsi="仿宋" w:eastAsia="仿宋" w:cs="仿宋"/>
                <w:color w:val="000000"/>
                <w:sz w:val="24"/>
                <w:szCs w:val="24"/>
              </w:rPr>
            </w:pP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80B0ED">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改善市容环境卫生，为城市提供优美招商环境</w:t>
            </w:r>
          </w:p>
        </w:tc>
        <w:tc>
          <w:tcPr>
            <w:tcW w:w="12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20B233B">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显著改善</w:t>
            </w:r>
          </w:p>
        </w:tc>
      </w:tr>
      <w:tr w14:paraId="0252EAF2">
        <w:tblPrEx>
          <w:tblCellMar>
            <w:top w:w="0" w:type="dxa"/>
            <w:left w:w="0" w:type="dxa"/>
            <w:bottom w:w="0" w:type="dxa"/>
            <w:right w:w="0" w:type="dxa"/>
          </w:tblCellMar>
        </w:tblPrEx>
        <w:trPr>
          <w:trHeight w:val="430"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EE71F8">
            <w:pPr>
              <w:keepNext w:val="0"/>
              <w:keepLines w:val="0"/>
              <w:pageBreakBefore w:val="0"/>
              <w:kinsoku/>
              <w:wordWrap/>
              <w:overflowPunct/>
              <w:autoSpaceDE/>
              <w:autoSpaceDN/>
              <w:bidi w:val="0"/>
              <w:adjustRightInd/>
              <w:snapToGrid/>
              <w:spacing w:line="560" w:lineRule="exact"/>
              <w:ind w:firstLine="440"/>
              <w:jc w:val="center"/>
              <w:rPr>
                <w:rFonts w:hint="eastAsia" w:ascii="仿宋" w:hAnsi="仿宋" w:eastAsia="仿宋" w:cs="仿宋"/>
                <w:color w:val="000000"/>
                <w:sz w:val="24"/>
                <w:szCs w:val="24"/>
              </w:rPr>
            </w:pPr>
          </w:p>
        </w:tc>
        <w:tc>
          <w:tcPr>
            <w:tcW w:w="1079"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EEE011">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可持续影响（5分）</w:t>
            </w: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C39C77">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项目经费保障</w:t>
            </w:r>
          </w:p>
        </w:tc>
        <w:tc>
          <w:tcPr>
            <w:tcW w:w="12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3D5FBF4">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有持续保障</w:t>
            </w:r>
          </w:p>
        </w:tc>
      </w:tr>
      <w:tr w14:paraId="4ACF8BAC">
        <w:tblPrEx>
          <w:tblCellMar>
            <w:top w:w="0" w:type="dxa"/>
            <w:left w:w="0" w:type="dxa"/>
            <w:bottom w:w="0" w:type="dxa"/>
            <w:right w:w="0" w:type="dxa"/>
          </w:tblCellMar>
        </w:tblPrEx>
        <w:trPr>
          <w:trHeight w:val="450" w:hRule="atLeast"/>
        </w:trPr>
        <w:tc>
          <w:tcPr>
            <w:tcW w:w="584" w:type="pct"/>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25B99F">
            <w:pPr>
              <w:keepNext w:val="0"/>
              <w:keepLines w:val="0"/>
              <w:pageBreakBefore w:val="0"/>
              <w:kinsoku/>
              <w:wordWrap/>
              <w:overflowPunct/>
              <w:autoSpaceDE/>
              <w:autoSpaceDN/>
              <w:bidi w:val="0"/>
              <w:adjustRightInd/>
              <w:snapToGrid/>
              <w:spacing w:line="560" w:lineRule="exact"/>
              <w:ind w:firstLine="440"/>
              <w:jc w:val="center"/>
              <w:rPr>
                <w:rFonts w:hint="eastAsia" w:ascii="仿宋" w:hAnsi="仿宋" w:eastAsia="仿宋" w:cs="仿宋"/>
                <w:color w:val="000000"/>
                <w:sz w:val="24"/>
                <w:szCs w:val="24"/>
              </w:rPr>
            </w:pPr>
          </w:p>
        </w:tc>
        <w:tc>
          <w:tcPr>
            <w:tcW w:w="1079"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70061E">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满意度指标</w:t>
            </w:r>
          </w:p>
          <w:p w14:paraId="38D7DF42">
            <w:pPr>
              <w:keepNext w:val="0"/>
              <w:keepLines w:val="0"/>
              <w:pageBreakBefore w:val="0"/>
              <w:widowControl/>
              <w:kinsoku/>
              <w:wordWrap/>
              <w:overflowPunct/>
              <w:autoSpaceDE/>
              <w:autoSpaceDN/>
              <w:bidi w:val="0"/>
              <w:adjustRightInd/>
              <w:snapToGrid/>
              <w:spacing w:line="560" w:lineRule="exact"/>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(10分)</w:t>
            </w:r>
          </w:p>
        </w:tc>
        <w:tc>
          <w:tcPr>
            <w:tcW w:w="213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EA9F65">
            <w:pPr>
              <w:keepNext w:val="0"/>
              <w:keepLines w:val="0"/>
              <w:pageBreakBefore w:val="0"/>
              <w:widowControl/>
              <w:kinsoku/>
              <w:wordWrap/>
              <w:overflowPunct/>
              <w:autoSpaceDE/>
              <w:autoSpaceDN/>
              <w:bidi w:val="0"/>
              <w:adjustRightInd/>
              <w:snapToGrid/>
              <w:spacing w:line="560" w:lineRule="exact"/>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社会问卷调查满意度</w:t>
            </w:r>
          </w:p>
        </w:tc>
        <w:tc>
          <w:tcPr>
            <w:tcW w:w="12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C854EB8">
            <w:pPr>
              <w:keepNext w:val="0"/>
              <w:keepLines w:val="0"/>
              <w:pageBreakBefore w:val="0"/>
              <w:widowControl/>
              <w:kinsoku/>
              <w:wordWrap/>
              <w:overflowPunct/>
              <w:autoSpaceDE/>
              <w:autoSpaceDN/>
              <w:bidi w:val="0"/>
              <w:adjustRightInd/>
              <w:snapToGrid/>
              <w:spacing w:line="560" w:lineRule="exact"/>
              <w:ind w:firstLine="4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90%</w:t>
            </w:r>
          </w:p>
        </w:tc>
      </w:tr>
    </w:tbl>
    <w:p w14:paraId="53EF6181">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本项目2019年的绩效目标10个，其中数量指标</w:t>
      </w:r>
      <w:r>
        <w:rPr>
          <w:rFonts w:hint="eastAsia" w:ascii="仿宋" w:hAnsi="仿宋" w:eastAsia="仿宋" w:cs="仿宋"/>
          <w:sz w:val="32"/>
          <w:szCs w:val="32"/>
          <w:lang w:val="en-US" w:eastAsia="zh-CN"/>
        </w:rPr>
        <w:t>3</w:t>
      </w:r>
      <w:r>
        <w:rPr>
          <w:rFonts w:hint="eastAsia" w:ascii="仿宋" w:hAnsi="仿宋" w:eastAsia="仿宋" w:cs="仿宋"/>
          <w:sz w:val="32"/>
          <w:szCs w:val="32"/>
        </w:rPr>
        <w:t>个，质量指标</w:t>
      </w:r>
      <w:r>
        <w:rPr>
          <w:rFonts w:hint="eastAsia" w:ascii="仿宋" w:hAnsi="仿宋" w:eastAsia="仿宋" w:cs="仿宋"/>
          <w:sz w:val="32"/>
          <w:szCs w:val="32"/>
          <w:lang w:val="en-US" w:eastAsia="zh-CN"/>
        </w:rPr>
        <w:t>3</w:t>
      </w:r>
      <w:r>
        <w:rPr>
          <w:rFonts w:hint="eastAsia" w:ascii="仿宋" w:hAnsi="仿宋" w:eastAsia="仿宋" w:cs="仿宋"/>
          <w:sz w:val="32"/>
          <w:szCs w:val="32"/>
        </w:rPr>
        <w:t>个，社会效益指标2个，可持续影响指标1个，满意度指标1个，指标具体情况详见下表：</w:t>
      </w:r>
    </w:p>
    <w:p w14:paraId="26C3B1F7">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2.1.3项目资金情况</w:t>
      </w:r>
      <w:bookmarkStart w:id="78" w:name="_Toc17305"/>
      <w:bookmarkStart w:id="79" w:name="_Toc20848"/>
      <w:bookmarkStart w:id="80" w:name="_Toc16140"/>
      <w:bookmarkStart w:id="81" w:name="_Toc19404"/>
      <w:bookmarkStart w:id="82" w:name="_Toc26083"/>
    </w:p>
    <w:p w14:paraId="1C479AA4">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2.1.3.1项目资金来源、用途及分配情况</w:t>
      </w:r>
    </w:p>
    <w:bookmarkEnd w:id="78"/>
    <w:bookmarkEnd w:id="79"/>
    <w:bookmarkEnd w:id="80"/>
    <w:bookmarkEnd w:id="81"/>
    <w:bookmarkEnd w:id="82"/>
    <w:p w14:paraId="3ECFD851">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2019年项目年初预算2100万元，经费来源于一般行政管理事务预算财政拨款，主要用于城区运往百洪垃圾场的生活垃圾交由第三方公司（华新公司）进行无害化处理费用。</w:t>
      </w:r>
    </w:p>
    <w:p w14:paraId="2794B730">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2.1.3.2项目资金使用情况</w:t>
      </w:r>
    </w:p>
    <w:p w14:paraId="09F3232A">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2019年项目实际支出2121.63万元，预算执行率为101.03%。其中含补付2018年1－12月调价差额4,360,408.54元。</w:t>
      </w:r>
    </w:p>
    <w:p w14:paraId="20FE5B1E">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因每月垃圾处置费于次月支付，故2019年实际支付的垃圾处置费对应的结算期为2018年12月－2019年11月。</w:t>
      </w:r>
    </w:p>
    <w:p w14:paraId="421187E8">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2019年1－12月实际处置垃圾23.18万吨</w:t>
      </w:r>
      <w:r>
        <w:rPr>
          <w:rFonts w:hint="eastAsia" w:ascii="仿宋" w:hAnsi="仿宋" w:eastAsia="仿宋" w:cs="仿宋"/>
          <w:sz w:val="32"/>
          <w:szCs w:val="32"/>
          <w:lang w:eastAsia="zh-CN"/>
        </w:rPr>
        <w:t>（日均</w:t>
      </w:r>
      <w:r>
        <w:rPr>
          <w:rFonts w:hint="eastAsia" w:ascii="仿宋" w:hAnsi="仿宋" w:eastAsia="仿宋" w:cs="仿宋"/>
          <w:sz w:val="32"/>
          <w:szCs w:val="32"/>
          <w:lang w:val="en-US" w:eastAsia="zh-CN"/>
        </w:rPr>
        <w:t>635吨</w:t>
      </w:r>
      <w:r>
        <w:rPr>
          <w:rFonts w:hint="eastAsia" w:ascii="仿宋" w:hAnsi="仿宋" w:eastAsia="仿宋" w:cs="仿宋"/>
          <w:sz w:val="32"/>
          <w:szCs w:val="32"/>
          <w:lang w:eastAsia="zh-CN"/>
        </w:rPr>
        <w:t>）</w:t>
      </w:r>
      <w:r>
        <w:rPr>
          <w:rFonts w:hint="eastAsia" w:ascii="仿宋" w:hAnsi="仿宋" w:eastAsia="仿宋" w:cs="仿宋"/>
          <w:sz w:val="32"/>
          <w:szCs w:val="32"/>
        </w:rPr>
        <w:t>。</w:t>
      </w:r>
    </w:p>
    <w:bookmarkEnd w:id="55"/>
    <w:bookmarkEnd w:id="56"/>
    <w:bookmarkEnd w:id="57"/>
    <w:bookmarkEnd w:id="58"/>
    <w:bookmarkEnd w:id="59"/>
    <w:bookmarkEnd w:id="60"/>
    <w:bookmarkEnd w:id="61"/>
    <w:bookmarkEnd w:id="62"/>
    <w:bookmarkEnd w:id="63"/>
    <w:bookmarkEnd w:id="64"/>
    <w:p w14:paraId="34DB4891">
      <w:pPr>
        <w:keepNext w:val="0"/>
        <w:keepLines w:val="0"/>
        <w:pageBreakBefore w:val="0"/>
        <w:kinsoku/>
        <w:wordWrap/>
        <w:overflowPunct/>
        <w:autoSpaceDE/>
        <w:autoSpaceDN/>
        <w:bidi w:val="0"/>
        <w:adjustRightInd/>
        <w:snapToGrid/>
        <w:spacing w:line="560" w:lineRule="exact"/>
        <w:ind w:firstLine="640"/>
        <w:rPr>
          <w:rStyle w:val="16"/>
          <w:rFonts w:hint="eastAsia" w:ascii="楷体" w:hAnsi="楷体" w:eastAsia="楷体" w:cs="楷体"/>
          <w:sz w:val="32"/>
          <w:szCs w:val="32"/>
        </w:rPr>
      </w:pPr>
      <w:bookmarkStart w:id="83" w:name="_Toc26806"/>
      <w:bookmarkStart w:id="84" w:name="_Toc26964"/>
      <w:bookmarkStart w:id="85" w:name="_Toc22229"/>
      <w:bookmarkStart w:id="86" w:name="_Toc480457303"/>
      <w:bookmarkStart w:id="87" w:name="_Toc27069"/>
      <w:bookmarkStart w:id="88" w:name="_Toc480762047"/>
      <w:bookmarkStart w:id="89" w:name="_Toc480761836"/>
      <w:bookmarkStart w:id="90" w:name="_Toc480761471"/>
      <w:bookmarkStart w:id="91" w:name="_Toc479169676"/>
      <w:bookmarkStart w:id="92" w:name="_Toc480761932"/>
      <w:r>
        <w:rPr>
          <w:rStyle w:val="16"/>
          <w:rFonts w:hint="eastAsia" w:ascii="楷体" w:hAnsi="楷体" w:eastAsia="楷体" w:cs="楷体"/>
          <w:sz w:val="32"/>
          <w:szCs w:val="32"/>
        </w:rPr>
        <w:t>2.2绩效评价工作开展情况</w:t>
      </w:r>
      <w:bookmarkEnd w:id="83"/>
      <w:bookmarkEnd w:id="84"/>
      <w:bookmarkEnd w:id="85"/>
      <w:bookmarkEnd w:id="86"/>
    </w:p>
    <w:bookmarkEnd w:id="87"/>
    <w:p w14:paraId="4AF2DE3A">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bookmarkStart w:id="93" w:name="_Toc31679"/>
      <w:bookmarkStart w:id="94" w:name="_Toc19"/>
      <w:bookmarkStart w:id="95" w:name="_Toc3064"/>
      <w:bookmarkStart w:id="96" w:name="_Toc7704"/>
      <w:r>
        <w:rPr>
          <w:rFonts w:hint="eastAsia" w:ascii="楷体" w:hAnsi="楷体" w:eastAsia="楷体" w:cs="楷体"/>
          <w:b/>
          <w:bCs/>
          <w:sz w:val="32"/>
          <w:szCs w:val="32"/>
        </w:rPr>
        <w:t>2.2.1绩效评价目的</w:t>
      </w:r>
      <w:bookmarkEnd w:id="93"/>
      <w:bookmarkEnd w:id="94"/>
      <w:bookmarkEnd w:id="95"/>
      <w:bookmarkEnd w:id="96"/>
    </w:p>
    <w:bookmarkEnd w:id="88"/>
    <w:bookmarkEnd w:id="89"/>
    <w:bookmarkEnd w:id="90"/>
    <w:bookmarkEnd w:id="91"/>
    <w:bookmarkEnd w:id="92"/>
    <w:p w14:paraId="46E0BA5A">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bookmarkStart w:id="97" w:name="_Toc12707"/>
      <w:bookmarkStart w:id="98" w:name="_Toc20036"/>
      <w:bookmarkStart w:id="99" w:name="_Toc480457305"/>
      <w:r>
        <w:rPr>
          <w:rFonts w:hint="eastAsia" w:ascii="仿宋" w:hAnsi="仿宋" w:eastAsia="仿宋" w:cs="仿宋"/>
          <w:sz w:val="32"/>
          <w:szCs w:val="32"/>
        </w:rPr>
        <w:t>一是通过计算、分析和评价项目管理、产出、效果各项指标，客观公正地反映市环卫局2019年项目投入资金的实际使用和产出状况，预期绩效目标是否实现，为财政部门及市环卫局制定项目政策和编制项目预算时提供决策参考及依据。二是通过总结项目实施的做法、经验和教训，提出改进措施和建设性意见，为市环卫部门日后项目实施方向及后续管理方式的改进提供指导，逐步树立以结果为导向、讲求绩效的观念。三是通过绩效评价工作，清晰地界定各项工作内容及需要达到的绩效标准，明确绩效监控管理方式，促进市环卫局构建项目绩效考评机制，全面提升项目绩效管理水平。</w:t>
      </w:r>
    </w:p>
    <w:p w14:paraId="184BF21F">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b/>
          <w:bCs/>
          <w:sz w:val="32"/>
          <w:szCs w:val="32"/>
        </w:rPr>
      </w:pPr>
      <w:r>
        <w:rPr>
          <w:rFonts w:hint="eastAsia" w:ascii="楷体" w:hAnsi="楷体" w:eastAsia="楷体" w:cs="楷体"/>
          <w:b/>
          <w:bCs/>
          <w:sz w:val="32"/>
          <w:szCs w:val="32"/>
        </w:rPr>
        <w:t>2.2.2绩效评价框架</w:t>
      </w:r>
      <w:bookmarkEnd w:id="97"/>
      <w:bookmarkEnd w:id="98"/>
      <w:bookmarkEnd w:id="99"/>
    </w:p>
    <w:p w14:paraId="0ED8944A">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对指标体系的设计有四个步骤:</w:t>
      </w:r>
    </w:p>
    <w:p w14:paraId="14F1A6F5">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第一通过财政厅项目支出绩效评价共性指标体系框架和市环卫局的实际情况确定基本的指标体系框架;</w:t>
      </w:r>
      <w:r>
        <w:rPr>
          <w:rFonts w:hint="eastAsia" w:ascii="仿宋" w:hAnsi="仿宋" w:eastAsia="仿宋" w:cs="仿宋"/>
          <w:sz w:val="32"/>
          <w:szCs w:val="32"/>
        </w:rPr>
        <w:br w:type="textWrapping"/>
      </w:r>
      <w:r>
        <w:rPr>
          <w:rFonts w:hint="eastAsia" w:ascii="仿宋" w:hAnsi="仿宋" w:eastAsia="仿宋" w:cs="仿宋"/>
          <w:sz w:val="32"/>
          <w:szCs w:val="32"/>
        </w:rPr>
        <w:t xml:space="preserve">    第二确立权重。在该项目指标体系中,项目管理权重值为27,项目产出权重值为50,项目效益权重值为13，满意度权重值为10；</w:t>
      </w:r>
    </w:p>
    <w:p w14:paraId="7B1E8D13">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第三确立指标标准值。指标标准值是绩效评价指标的尺度,既要反映同类项目的先进水平,又要符合项目的实际绩效水平。具体采用计划标准、历史标准、经验标准等确定此次绩效评价指标标准值;</w:t>
      </w:r>
      <w:r>
        <w:rPr>
          <w:rFonts w:hint="eastAsia" w:ascii="仿宋" w:hAnsi="仿宋" w:eastAsia="仿宋" w:cs="仿宋"/>
          <w:sz w:val="32"/>
          <w:szCs w:val="32"/>
        </w:rPr>
        <w:br w:type="textWrapping"/>
      </w:r>
      <w:r>
        <w:rPr>
          <w:rFonts w:hint="eastAsia" w:ascii="仿宋" w:hAnsi="仿宋" w:eastAsia="仿宋" w:cs="仿宋"/>
          <w:sz w:val="32"/>
          <w:szCs w:val="32"/>
        </w:rPr>
        <w:t xml:space="preserve">   第四项目的绩效评价体系框架包括一级指标、二级指标、三级指标、权重、指标解释、指标说明、标准值（参考值）、绩效评价标准、评分细则，总分为100分。90分（含）～100分对应的评价结果级别为优；80分（含）～90分对应的评价结果级别为良；60分（含）～80分对应的评价结果级别为中；60分以下对应的评价结果级别为差。</w:t>
      </w:r>
      <w:bookmarkStart w:id="100" w:name="_Toc479169692"/>
      <w:bookmarkStart w:id="101" w:name="_Toc480761946"/>
      <w:bookmarkStart w:id="102" w:name="_Toc480771647"/>
      <w:bookmarkStart w:id="103" w:name="_Toc480770663"/>
      <w:bookmarkStart w:id="104" w:name="_Toc480762061"/>
      <w:bookmarkStart w:id="105" w:name="_Toc482634637"/>
      <w:bookmarkStart w:id="106" w:name="_Toc480770557"/>
      <w:bookmarkStart w:id="107" w:name="_Toc480770845"/>
      <w:bookmarkStart w:id="108" w:name="_Toc480761487"/>
      <w:bookmarkStart w:id="109" w:name="_Toc480761850"/>
    </w:p>
    <w:bookmarkEnd w:id="100"/>
    <w:bookmarkEnd w:id="101"/>
    <w:bookmarkEnd w:id="102"/>
    <w:bookmarkEnd w:id="103"/>
    <w:bookmarkEnd w:id="104"/>
    <w:bookmarkEnd w:id="105"/>
    <w:bookmarkEnd w:id="106"/>
    <w:bookmarkEnd w:id="107"/>
    <w:bookmarkEnd w:id="108"/>
    <w:bookmarkEnd w:id="109"/>
    <w:p w14:paraId="1354BC35">
      <w:pPr>
        <w:keepNext w:val="0"/>
        <w:keepLines w:val="0"/>
        <w:pageBreakBefore w:val="0"/>
        <w:kinsoku/>
        <w:wordWrap/>
        <w:overflowPunct/>
        <w:autoSpaceDE/>
        <w:autoSpaceDN/>
        <w:bidi w:val="0"/>
        <w:adjustRightInd/>
        <w:snapToGrid/>
        <w:spacing w:line="560" w:lineRule="exact"/>
        <w:ind w:firstLine="643"/>
        <w:rPr>
          <w:rFonts w:hint="eastAsia" w:ascii="楷体" w:hAnsi="楷体" w:eastAsia="楷体" w:cs="楷体"/>
          <w:b/>
          <w:bCs/>
          <w:sz w:val="32"/>
          <w:szCs w:val="32"/>
        </w:rPr>
      </w:pPr>
      <w:r>
        <w:rPr>
          <w:rFonts w:hint="eastAsia" w:ascii="楷体" w:hAnsi="楷体" w:eastAsia="楷体" w:cs="楷体"/>
          <w:b/>
          <w:bCs/>
          <w:sz w:val="32"/>
          <w:szCs w:val="32"/>
        </w:rPr>
        <w:t>三级指标权重的确定方法</w:t>
      </w:r>
    </w:p>
    <w:p w14:paraId="34D769B4">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三级指标权重根据项目具体情况，结合层次分析法、主要成分分析法以及重要性确定。</w:t>
      </w:r>
    </w:p>
    <w:p w14:paraId="2A5AD230">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2.2.3评价方法</w:t>
      </w:r>
    </w:p>
    <w:p w14:paraId="4738714B">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本次绩效评价采用目标比较法、实地调研法、定性与定量相结合的方法。</w:t>
      </w:r>
    </w:p>
    <w:p w14:paraId="288B52E8">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bookmarkStart w:id="110" w:name="_Hlk479930963"/>
      <w:r>
        <w:rPr>
          <w:rFonts w:hint="eastAsia" w:ascii="楷体" w:hAnsi="楷体" w:eastAsia="楷体" w:cs="楷体"/>
          <w:b/>
          <w:bCs/>
          <w:sz w:val="32"/>
          <w:szCs w:val="32"/>
        </w:rPr>
        <w:t>2.2.4评价抽样情况概述</w:t>
      </w:r>
    </w:p>
    <w:p w14:paraId="5A174294">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kern w:val="0"/>
          <w:sz w:val="32"/>
          <w:szCs w:val="32"/>
        </w:rPr>
        <w:t>本项目评价抽样主要通过收集和查阅项目预算、决算文本、资金拨付凭证、项目实施材料、工作计划、合同、工作记录、项目管理制度等资料，结合实地调研、座谈会等手段进行评价抽样。在社会调查方面，</w:t>
      </w:r>
      <w:r>
        <w:rPr>
          <w:rFonts w:hint="eastAsia" w:ascii="仿宋" w:hAnsi="仿宋" w:eastAsia="仿宋" w:cs="仿宋"/>
          <w:sz w:val="32"/>
          <w:szCs w:val="32"/>
        </w:rPr>
        <w:t>此次评价向涉及的公众对象发放调查问卷，了解其对该项目社会效益的总体评价情况。样本数量合计为</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rPr>
        <w:t>个,</w:t>
      </w:r>
      <w:r>
        <w:rPr>
          <w:rFonts w:hint="eastAsia" w:ascii="仿宋" w:hAnsi="仿宋" w:eastAsia="仿宋" w:cs="仿宋"/>
          <w:sz w:val="32"/>
          <w:szCs w:val="32"/>
        </w:rPr>
        <w:t>具有一定的代表性。</w:t>
      </w:r>
    </w:p>
    <w:bookmarkEnd w:id="110"/>
    <w:p w14:paraId="24734124">
      <w:pPr>
        <w:keepNext w:val="0"/>
        <w:keepLines w:val="0"/>
        <w:pageBreakBefore w:val="0"/>
        <w:kinsoku/>
        <w:wordWrap/>
        <w:overflowPunct/>
        <w:autoSpaceDE/>
        <w:autoSpaceDN/>
        <w:bidi w:val="0"/>
        <w:adjustRightInd/>
        <w:snapToGrid/>
        <w:spacing w:line="560" w:lineRule="exact"/>
        <w:ind w:firstLine="640"/>
        <w:rPr>
          <w:rStyle w:val="16"/>
          <w:rFonts w:hint="eastAsia" w:ascii="楷体" w:hAnsi="楷体" w:eastAsia="楷体" w:cs="楷体"/>
          <w:sz w:val="32"/>
          <w:szCs w:val="32"/>
        </w:rPr>
      </w:pPr>
      <w:bookmarkStart w:id="111" w:name="_Toc4875"/>
      <w:bookmarkStart w:id="112" w:name="_Toc11565"/>
      <w:bookmarkStart w:id="113" w:name="_Toc482634639"/>
      <w:bookmarkStart w:id="114" w:name="_Toc480761852"/>
      <w:bookmarkStart w:id="115" w:name="_Toc480761948"/>
      <w:bookmarkStart w:id="116" w:name="_Toc480770665"/>
      <w:bookmarkStart w:id="117" w:name="_Toc479169696"/>
      <w:bookmarkStart w:id="118" w:name="_Toc480762063"/>
      <w:bookmarkStart w:id="119" w:name="_Toc480771649"/>
      <w:bookmarkStart w:id="120" w:name="_Toc480761491"/>
      <w:bookmarkStart w:id="121" w:name="_Toc480770847"/>
      <w:bookmarkStart w:id="122" w:name="_Toc480770559"/>
      <w:r>
        <w:rPr>
          <w:rStyle w:val="16"/>
          <w:rFonts w:hint="eastAsia" w:ascii="楷体" w:hAnsi="楷体" w:eastAsia="楷体" w:cs="楷体"/>
          <w:sz w:val="32"/>
          <w:szCs w:val="32"/>
        </w:rPr>
        <w:t>2.3</w:t>
      </w:r>
      <w:bookmarkEnd w:id="111"/>
      <w:r>
        <w:rPr>
          <w:rStyle w:val="16"/>
          <w:rFonts w:hint="eastAsia" w:ascii="楷体" w:hAnsi="楷体" w:eastAsia="楷体" w:cs="楷体"/>
          <w:sz w:val="32"/>
          <w:szCs w:val="32"/>
        </w:rPr>
        <w:t>绩效指标完成情况分析</w:t>
      </w:r>
    </w:p>
    <w:bookmarkEnd w:id="112"/>
    <w:p w14:paraId="303177A2">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2.3.1预算执行情况分析</w:t>
      </w:r>
    </w:p>
    <w:p w14:paraId="038D5346">
      <w:pPr>
        <w:keepNext w:val="0"/>
        <w:keepLines w:val="0"/>
        <w:pageBreakBefore w:val="0"/>
        <w:kinsoku/>
        <w:wordWrap/>
        <w:overflowPunct/>
        <w:autoSpaceDE/>
        <w:autoSpaceDN/>
        <w:bidi w:val="0"/>
        <w:adjustRightInd/>
        <w:snapToGrid/>
        <w:spacing w:line="560" w:lineRule="exact"/>
        <w:ind w:firstLine="640" w:firstLineChars="0"/>
        <w:rPr>
          <w:rFonts w:hint="eastAsia" w:ascii="仿宋" w:hAnsi="仿宋" w:eastAsia="仿宋" w:cs="仿宋"/>
          <w:sz w:val="32"/>
          <w:szCs w:val="32"/>
        </w:rPr>
      </w:pPr>
      <w:r>
        <w:rPr>
          <w:rFonts w:hint="eastAsia" w:ascii="仿宋" w:hAnsi="仿宋" w:eastAsia="仿宋" w:cs="仿宋"/>
          <w:sz w:val="32"/>
          <w:szCs w:val="32"/>
        </w:rPr>
        <w:t>2019年项目实际支出2121.63万元，预算执行率为101.03%。项目</w:t>
      </w:r>
      <w:r>
        <w:rPr>
          <w:rFonts w:hint="eastAsia" w:ascii="仿宋" w:hAnsi="仿宋" w:eastAsia="仿宋" w:cs="仿宋"/>
          <w:kern w:val="0"/>
          <w:sz w:val="32"/>
          <w:szCs w:val="32"/>
        </w:rPr>
        <w:t>具体执行情况</w:t>
      </w:r>
      <w:r>
        <w:rPr>
          <w:rFonts w:hint="eastAsia" w:ascii="仿宋" w:hAnsi="仿宋" w:eastAsia="仿宋" w:cs="仿宋"/>
          <w:sz w:val="32"/>
          <w:szCs w:val="32"/>
        </w:rPr>
        <w:t xml:space="preserve">详见下表：      </w:t>
      </w:r>
    </w:p>
    <w:p w14:paraId="2D0CBADF">
      <w:pPr>
        <w:keepNext w:val="0"/>
        <w:keepLines w:val="0"/>
        <w:pageBreakBefore w:val="0"/>
        <w:kinsoku/>
        <w:wordWrap/>
        <w:overflowPunct/>
        <w:autoSpaceDE/>
        <w:autoSpaceDN/>
        <w:bidi w:val="0"/>
        <w:adjustRightInd/>
        <w:snapToGrid/>
        <w:spacing w:line="560" w:lineRule="exact"/>
        <w:ind w:firstLine="560"/>
        <w:jc w:val="center"/>
        <w:rPr>
          <w:rFonts w:hint="eastAsia" w:ascii="仿宋" w:hAnsi="仿宋" w:eastAsia="仿宋" w:cs="仿宋"/>
          <w:b/>
          <w:bCs/>
          <w:sz w:val="30"/>
          <w:szCs w:val="30"/>
        </w:rPr>
      </w:pPr>
    </w:p>
    <w:p w14:paraId="2FD78DB6">
      <w:pPr>
        <w:keepNext w:val="0"/>
        <w:keepLines w:val="0"/>
        <w:pageBreakBefore w:val="0"/>
        <w:kinsoku/>
        <w:wordWrap/>
        <w:overflowPunct/>
        <w:autoSpaceDE/>
        <w:autoSpaceDN/>
        <w:bidi w:val="0"/>
        <w:adjustRightInd/>
        <w:snapToGrid/>
        <w:spacing w:line="560" w:lineRule="exact"/>
        <w:ind w:firstLine="560"/>
        <w:jc w:val="center"/>
        <w:rPr>
          <w:rFonts w:hint="eastAsia" w:ascii="仿宋" w:hAnsi="仿宋" w:eastAsia="仿宋" w:cs="仿宋"/>
          <w:b/>
          <w:bCs/>
          <w:sz w:val="30"/>
          <w:szCs w:val="30"/>
        </w:rPr>
      </w:pPr>
    </w:p>
    <w:p w14:paraId="0B3994F7">
      <w:pPr>
        <w:keepNext w:val="0"/>
        <w:keepLines w:val="0"/>
        <w:pageBreakBefore w:val="0"/>
        <w:kinsoku/>
        <w:wordWrap/>
        <w:overflowPunct/>
        <w:autoSpaceDE/>
        <w:autoSpaceDN/>
        <w:bidi w:val="0"/>
        <w:adjustRightInd/>
        <w:snapToGrid/>
        <w:spacing w:line="560" w:lineRule="exact"/>
        <w:jc w:val="center"/>
        <w:rPr>
          <w:rFonts w:hint="eastAsia" w:ascii="仿宋" w:hAnsi="仿宋" w:eastAsia="仿宋" w:cs="仿宋"/>
          <w:sz w:val="32"/>
          <w:szCs w:val="32"/>
        </w:rPr>
      </w:pPr>
      <w:r>
        <w:rPr>
          <w:rFonts w:hint="eastAsia" w:ascii="仿宋" w:hAnsi="仿宋" w:eastAsia="仿宋" w:cs="仿宋"/>
          <w:b/>
          <w:bCs/>
          <w:sz w:val="30"/>
          <w:szCs w:val="30"/>
        </w:rPr>
        <w:t>项目支出明细表</w:t>
      </w:r>
    </w:p>
    <w:p w14:paraId="6EB91F34">
      <w:pPr>
        <w:keepNext w:val="0"/>
        <w:keepLines w:val="0"/>
        <w:pageBreakBefore w:val="0"/>
        <w:kinsoku/>
        <w:wordWrap/>
        <w:overflowPunct/>
        <w:autoSpaceDE/>
        <w:autoSpaceDN/>
        <w:bidi w:val="0"/>
        <w:adjustRightInd/>
        <w:snapToGrid/>
        <w:spacing w:line="560" w:lineRule="exact"/>
        <w:ind w:firstLine="560"/>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24"/>
          <w:szCs w:val="24"/>
        </w:rPr>
        <w:t>单位：万元</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731"/>
        <w:gridCol w:w="1375"/>
        <w:gridCol w:w="1388"/>
        <w:gridCol w:w="1335"/>
        <w:gridCol w:w="982"/>
        <w:gridCol w:w="1043"/>
      </w:tblGrid>
      <w:tr w14:paraId="6F7B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3" w:type="pct"/>
            <w:noWrap w:val="0"/>
            <w:vAlign w:val="center"/>
          </w:tcPr>
          <w:p w14:paraId="041E5F25">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仿宋" w:hAnsi="仿宋" w:eastAsia="仿宋" w:cs="仿宋"/>
                <w:b/>
                <w:sz w:val="24"/>
                <w:szCs w:val="24"/>
              </w:rPr>
            </w:pPr>
            <w:r>
              <w:rPr>
                <w:rFonts w:hint="eastAsia" w:ascii="仿宋" w:hAnsi="仿宋" w:eastAsia="仿宋" w:cs="仿宋"/>
                <w:b/>
                <w:sz w:val="24"/>
                <w:szCs w:val="24"/>
              </w:rPr>
              <w:t>序号</w:t>
            </w:r>
          </w:p>
        </w:tc>
        <w:tc>
          <w:tcPr>
            <w:tcW w:w="1021" w:type="pct"/>
            <w:noWrap w:val="0"/>
            <w:vAlign w:val="center"/>
          </w:tcPr>
          <w:p w14:paraId="3DADF68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812" w:type="pct"/>
            <w:noWrap w:val="0"/>
            <w:vAlign w:val="center"/>
          </w:tcPr>
          <w:p w14:paraId="2AC0C40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年初预算数</w:t>
            </w:r>
          </w:p>
        </w:tc>
        <w:tc>
          <w:tcPr>
            <w:tcW w:w="820" w:type="pct"/>
            <w:noWrap w:val="0"/>
            <w:vAlign w:val="center"/>
          </w:tcPr>
          <w:p w14:paraId="013ACC1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调整预算数</w:t>
            </w:r>
          </w:p>
        </w:tc>
        <w:tc>
          <w:tcPr>
            <w:tcW w:w="789" w:type="pct"/>
            <w:noWrap w:val="0"/>
            <w:vAlign w:val="center"/>
          </w:tcPr>
          <w:p w14:paraId="0C85EA0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实际执行数</w:t>
            </w:r>
          </w:p>
        </w:tc>
        <w:tc>
          <w:tcPr>
            <w:tcW w:w="581" w:type="pct"/>
            <w:noWrap w:val="0"/>
            <w:vAlign w:val="center"/>
          </w:tcPr>
          <w:p w14:paraId="06E6AA6E">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差异数</w:t>
            </w:r>
          </w:p>
        </w:tc>
        <w:tc>
          <w:tcPr>
            <w:tcW w:w="581" w:type="pct"/>
            <w:noWrap w:val="0"/>
            <w:vAlign w:val="center"/>
          </w:tcPr>
          <w:p w14:paraId="077037C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执行率</w:t>
            </w:r>
          </w:p>
        </w:tc>
      </w:tr>
      <w:tr w14:paraId="6033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3" w:type="pct"/>
            <w:noWrap w:val="0"/>
            <w:vAlign w:val="center"/>
          </w:tcPr>
          <w:p w14:paraId="140BF4CA">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021" w:type="pct"/>
            <w:noWrap w:val="0"/>
            <w:vAlign w:val="center"/>
          </w:tcPr>
          <w:p w14:paraId="5298AAD4">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垃圾处置费</w:t>
            </w:r>
          </w:p>
        </w:tc>
        <w:tc>
          <w:tcPr>
            <w:tcW w:w="812" w:type="pct"/>
            <w:noWrap w:val="0"/>
            <w:vAlign w:val="center"/>
          </w:tcPr>
          <w:p w14:paraId="6542FC7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2100</w:t>
            </w:r>
          </w:p>
        </w:tc>
        <w:tc>
          <w:tcPr>
            <w:tcW w:w="820" w:type="pct"/>
            <w:noWrap w:val="0"/>
            <w:vAlign w:val="center"/>
          </w:tcPr>
          <w:p w14:paraId="7B1B3C55">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仿宋" w:hAnsi="仿宋" w:eastAsia="仿宋" w:cs="仿宋"/>
                <w:sz w:val="24"/>
                <w:szCs w:val="24"/>
              </w:rPr>
            </w:pPr>
          </w:p>
        </w:tc>
        <w:tc>
          <w:tcPr>
            <w:tcW w:w="789" w:type="pct"/>
            <w:noWrap w:val="0"/>
            <w:vAlign w:val="center"/>
          </w:tcPr>
          <w:p w14:paraId="13B688A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2121.63</w:t>
            </w:r>
          </w:p>
        </w:tc>
        <w:tc>
          <w:tcPr>
            <w:tcW w:w="581" w:type="pct"/>
            <w:noWrap w:val="0"/>
            <w:vAlign w:val="center"/>
          </w:tcPr>
          <w:p w14:paraId="4992A08E">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仿宋" w:hAnsi="仿宋" w:eastAsia="仿宋" w:cs="仿宋"/>
                <w:sz w:val="24"/>
                <w:szCs w:val="24"/>
              </w:rPr>
            </w:pPr>
            <w:r>
              <w:rPr>
                <w:rFonts w:hint="eastAsia" w:ascii="仿宋" w:hAnsi="仿宋" w:eastAsia="仿宋" w:cs="仿宋"/>
                <w:sz w:val="24"/>
                <w:szCs w:val="24"/>
              </w:rPr>
              <w:t>121.63</w:t>
            </w:r>
          </w:p>
        </w:tc>
        <w:tc>
          <w:tcPr>
            <w:tcW w:w="581" w:type="pct"/>
            <w:noWrap w:val="0"/>
            <w:vAlign w:val="center"/>
          </w:tcPr>
          <w:p w14:paraId="62DB4222">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仿宋" w:hAnsi="仿宋" w:eastAsia="仿宋" w:cs="仿宋"/>
                <w:sz w:val="24"/>
                <w:szCs w:val="24"/>
              </w:rPr>
            </w:pPr>
            <w:r>
              <w:rPr>
                <w:rFonts w:hint="eastAsia" w:ascii="仿宋" w:hAnsi="仿宋" w:eastAsia="仿宋" w:cs="仿宋"/>
                <w:sz w:val="24"/>
                <w:szCs w:val="24"/>
              </w:rPr>
              <w:t>101.03%</w:t>
            </w:r>
          </w:p>
        </w:tc>
      </w:tr>
      <w:tr w14:paraId="0524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4" w:type="pct"/>
            <w:gridSpan w:val="2"/>
            <w:noWrap w:val="0"/>
            <w:vAlign w:val="center"/>
          </w:tcPr>
          <w:p w14:paraId="4626CF9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合计</w:t>
            </w:r>
          </w:p>
        </w:tc>
        <w:tc>
          <w:tcPr>
            <w:tcW w:w="812" w:type="pct"/>
            <w:noWrap w:val="0"/>
            <w:vAlign w:val="center"/>
          </w:tcPr>
          <w:p w14:paraId="11CA122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sz w:val="24"/>
                <w:szCs w:val="24"/>
              </w:rPr>
              <w:t>2100</w:t>
            </w:r>
          </w:p>
        </w:tc>
        <w:tc>
          <w:tcPr>
            <w:tcW w:w="820" w:type="pct"/>
            <w:noWrap w:val="0"/>
            <w:vAlign w:val="center"/>
          </w:tcPr>
          <w:p w14:paraId="2BBB6A9F">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仿宋" w:hAnsi="仿宋" w:eastAsia="仿宋" w:cs="仿宋"/>
                <w:b/>
                <w:sz w:val="24"/>
                <w:szCs w:val="24"/>
              </w:rPr>
            </w:pPr>
          </w:p>
        </w:tc>
        <w:tc>
          <w:tcPr>
            <w:tcW w:w="789" w:type="pct"/>
            <w:noWrap w:val="0"/>
            <w:vAlign w:val="center"/>
          </w:tcPr>
          <w:p w14:paraId="2A49127E">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2121.63</w:t>
            </w:r>
          </w:p>
        </w:tc>
        <w:tc>
          <w:tcPr>
            <w:tcW w:w="581" w:type="pct"/>
            <w:noWrap w:val="0"/>
            <w:vAlign w:val="center"/>
          </w:tcPr>
          <w:p w14:paraId="0397C977">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仿宋" w:hAnsi="仿宋" w:eastAsia="仿宋" w:cs="仿宋"/>
                <w:sz w:val="24"/>
                <w:szCs w:val="24"/>
              </w:rPr>
            </w:pPr>
            <w:r>
              <w:rPr>
                <w:rFonts w:hint="eastAsia" w:ascii="仿宋" w:hAnsi="仿宋" w:eastAsia="仿宋" w:cs="仿宋"/>
                <w:sz w:val="24"/>
                <w:szCs w:val="24"/>
              </w:rPr>
              <w:t>121.63</w:t>
            </w:r>
          </w:p>
        </w:tc>
        <w:tc>
          <w:tcPr>
            <w:tcW w:w="581" w:type="pct"/>
            <w:noWrap w:val="0"/>
            <w:vAlign w:val="center"/>
          </w:tcPr>
          <w:p w14:paraId="27809979">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仿宋" w:hAnsi="仿宋" w:eastAsia="仿宋" w:cs="仿宋"/>
                <w:sz w:val="24"/>
                <w:szCs w:val="24"/>
              </w:rPr>
            </w:pPr>
            <w:r>
              <w:rPr>
                <w:rFonts w:hint="eastAsia" w:ascii="仿宋" w:hAnsi="仿宋" w:eastAsia="仿宋" w:cs="仿宋"/>
                <w:sz w:val="24"/>
                <w:szCs w:val="24"/>
              </w:rPr>
              <w:t>101.03%</w:t>
            </w:r>
          </w:p>
        </w:tc>
      </w:tr>
    </w:tbl>
    <w:p w14:paraId="09B3552C">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2.3.2</w:t>
      </w:r>
      <w:bookmarkEnd w:id="113"/>
      <w:bookmarkEnd w:id="114"/>
      <w:bookmarkEnd w:id="115"/>
      <w:bookmarkEnd w:id="116"/>
      <w:bookmarkEnd w:id="117"/>
      <w:bookmarkEnd w:id="118"/>
      <w:bookmarkEnd w:id="119"/>
      <w:bookmarkEnd w:id="120"/>
      <w:bookmarkEnd w:id="121"/>
      <w:bookmarkEnd w:id="122"/>
      <w:r>
        <w:rPr>
          <w:rFonts w:hint="eastAsia" w:ascii="楷体" w:hAnsi="楷体" w:eastAsia="楷体" w:cs="楷体"/>
          <w:b/>
          <w:bCs/>
          <w:sz w:val="32"/>
          <w:szCs w:val="32"/>
        </w:rPr>
        <w:t>绩效目标完成情况分析</w:t>
      </w:r>
    </w:p>
    <w:p w14:paraId="26EC0BD1">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kern w:val="0"/>
          <w:sz w:val="32"/>
          <w:szCs w:val="32"/>
        </w:rPr>
        <w:t>2019年项目</w:t>
      </w:r>
      <w:r>
        <w:rPr>
          <w:rFonts w:hint="eastAsia" w:ascii="仿宋" w:hAnsi="仿宋" w:eastAsia="仿宋" w:cs="仿宋"/>
          <w:sz w:val="32"/>
          <w:szCs w:val="32"/>
        </w:rPr>
        <w:t>产出、效果绩效指标的完成情况如下表所示：</w:t>
      </w:r>
    </w:p>
    <w:p w14:paraId="35440426">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p>
    <w:p w14:paraId="77CA12F0">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32"/>
          <w:szCs w:val="32"/>
        </w:rPr>
      </w:pPr>
      <w:r>
        <w:rPr>
          <w:rFonts w:hint="eastAsia" w:ascii="仿宋" w:hAnsi="仿宋" w:eastAsia="仿宋" w:cs="仿宋"/>
          <w:b w:val="0"/>
          <w:bCs w:val="0"/>
          <w:spacing w:val="-20"/>
          <w:sz w:val="28"/>
          <w:szCs w:val="28"/>
        </w:rPr>
        <w:t>2019年度“</w:t>
      </w:r>
      <w:r>
        <w:rPr>
          <w:rFonts w:hint="eastAsia" w:ascii="仿宋" w:hAnsi="仿宋" w:eastAsia="仿宋" w:cs="仿宋"/>
          <w:b w:val="0"/>
          <w:bCs w:val="0"/>
          <w:spacing w:val="-20"/>
          <w:kern w:val="0"/>
          <w:sz w:val="28"/>
          <w:szCs w:val="28"/>
        </w:rPr>
        <w:t>垃圾处置项目</w:t>
      </w:r>
      <w:r>
        <w:rPr>
          <w:rFonts w:hint="eastAsia" w:ascii="仿宋" w:hAnsi="仿宋" w:eastAsia="仿宋" w:cs="仿宋"/>
          <w:b w:val="0"/>
          <w:bCs w:val="0"/>
          <w:spacing w:val="-20"/>
          <w:sz w:val="28"/>
          <w:szCs w:val="28"/>
        </w:rPr>
        <w:t>”绩效目标完成情况对比表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09"/>
        <w:gridCol w:w="2947"/>
        <w:gridCol w:w="1321"/>
        <w:gridCol w:w="1776"/>
        <w:gridCol w:w="867"/>
      </w:tblGrid>
      <w:tr w14:paraId="40EB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blHeader/>
          <w:jc w:val="center"/>
        </w:trPr>
        <w:tc>
          <w:tcPr>
            <w:tcW w:w="412" w:type="pct"/>
            <w:noWrap w:val="0"/>
            <w:vAlign w:val="center"/>
          </w:tcPr>
          <w:p w14:paraId="2BC4EF7E">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一级</w:t>
            </w:r>
          </w:p>
          <w:p w14:paraId="55BAD1CA">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指标</w:t>
            </w:r>
          </w:p>
        </w:tc>
        <w:tc>
          <w:tcPr>
            <w:tcW w:w="533" w:type="pct"/>
            <w:noWrap w:val="0"/>
            <w:vAlign w:val="center"/>
          </w:tcPr>
          <w:p w14:paraId="013C46D4">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二级</w:t>
            </w:r>
          </w:p>
          <w:p w14:paraId="4E5FC563">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指标</w:t>
            </w:r>
          </w:p>
        </w:tc>
        <w:tc>
          <w:tcPr>
            <w:tcW w:w="1728" w:type="pct"/>
            <w:noWrap w:val="0"/>
            <w:vAlign w:val="center"/>
          </w:tcPr>
          <w:p w14:paraId="5BCEE238">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774" w:type="pct"/>
            <w:noWrap w:val="0"/>
            <w:vAlign w:val="center"/>
          </w:tcPr>
          <w:p w14:paraId="37A14093">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年初目标值</w:t>
            </w:r>
          </w:p>
        </w:tc>
        <w:tc>
          <w:tcPr>
            <w:tcW w:w="1041" w:type="pct"/>
            <w:noWrap w:val="0"/>
            <w:vAlign w:val="center"/>
          </w:tcPr>
          <w:p w14:paraId="1A206665">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实际完成值</w:t>
            </w:r>
          </w:p>
        </w:tc>
        <w:tc>
          <w:tcPr>
            <w:tcW w:w="508" w:type="pct"/>
            <w:noWrap w:val="0"/>
            <w:vAlign w:val="center"/>
          </w:tcPr>
          <w:p w14:paraId="1EBD532D">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完成率</w:t>
            </w:r>
          </w:p>
        </w:tc>
      </w:tr>
      <w:tr w14:paraId="2425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12" w:type="pct"/>
            <w:vMerge w:val="restart"/>
            <w:noWrap w:val="0"/>
            <w:vAlign w:val="center"/>
          </w:tcPr>
          <w:p w14:paraId="60331F64">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p w14:paraId="790DDE97">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p w14:paraId="02F238C5">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p w14:paraId="22D4983F">
            <w:pPr>
              <w:keepNext w:val="0"/>
              <w:keepLines w:val="0"/>
              <w:pageBreakBefore w:val="0"/>
              <w:kinsoku/>
              <w:wordWrap/>
              <w:overflowPunct/>
              <w:topLinePunct w:val="0"/>
              <w:autoSpaceDE/>
              <w:autoSpaceDN/>
              <w:bidi w:val="0"/>
              <w:adjustRightInd/>
              <w:snapToGrid/>
              <w:spacing w:line="560" w:lineRule="exact"/>
              <w:ind w:firstLine="0" w:firstLineChars="0"/>
              <w:jc w:val="both"/>
              <w:rPr>
                <w:rFonts w:hint="eastAsia" w:ascii="仿宋" w:hAnsi="仿宋" w:eastAsia="仿宋" w:cs="仿宋"/>
                <w:sz w:val="24"/>
                <w:szCs w:val="24"/>
              </w:rPr>
            </w:pPr>
          </w:p>
          <w:p w14:paraId="4E8DEC8A">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产出</w:t>
            </w:r>
          </w:p>
          <w:p w14:paraId="51DB9E92">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指标</w:t>
            </w:r>
          </w:p>
          <w:p w14:paraId="6140D777">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 w:hAnsi="仿宋" w:eastAsia="仿宋" w:cs="仿宋"/>
                <w:sz w:val="24"/>
                <w:szCs w:val="24"/>
              </w:rPr>
            </w:pPr>
          </w:p>
          <w:p w14:paraId="0388BC58">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 w:hAnsi="仿宋" w:eastAsia="仿宋" w:cs="仿宋"/>
                <w:sz w:val="24"/>
                <w:szCs w:val="24"/>
              </w:rPr>
            </w:pPr>
          </w:p>
          <w:p w14:paraId="55D51358">
            <w:pPr>
              <w:keepNext w:val="0"/>
              <w:keepLines w:val="0"/>
              <w:pageBreakBefore w:val="0"/>
              <w:kinsoku/>
              <w:wordWrap/>
              <w:overflowPunct/>
              <w:topLinePunct w:val="0"/>
              <w:autoSpaceDE/>
              <w:autoSpaceDN/>
              <w:bidi w:val="0"/>
              <w:adjustRightInd/>
              <w:snapToGrid/>
              <w:spacing w:line="560" w:lineRule="exact"/>
              <w:ind w:firstLine="120" w:firstLineChars="50"/>
              <w:jc w:val="center"/>
              <w:rPr>
                <w:rFonts w:hint="eastAsia" w:ascii="仿宋" w:hAnsi="仿宋" w:eastAsia="仿宋" w:cs="仿宋"/>
                <w:sz w:val="24"/>
                <w:szCs w:val="24"/>
              </w:rPr>
            </w:pPr>
          </w:p>
          <w:p w14:paraId="23A2E30D">
            <w:pPr>
              <w:keepNext w:val="0"/>
              <w:keepLines w:val="0"/>
              <w:pageBreakBefore w:val="0"/>
              <w:kinsoku/>
              <w:wordWrap/>
              <w:overflowPunct/>
              <w:topLinePunct w:val="0"/>
              <w:autoSpaceDE/>
              <w:autoSpaceDN/>
              <w:bidi w:val="0"/>
              <w:adjustRightInd/>
              <w:snapToGrid/>
              <w:spacing w:line="560" w:lineRule="exact"/>
              <w:ind w:firstLine="120" w:firstLineChars="50"/>
              <w:jc w:val="center"/>
              <w:rPr>
                <w:rFonts w:hint="eastAsia" w:ascii="仿宋" w:hAnsi="仿宋" w:eastAsia="仿宋" w:cs="仿宋"/>
                <w:sz w:val="24"/>
                <w:szCs w:val="24"/>
              </w:rPr>
            </w:pPr>
          </w:p>
          <w:p w14:paraId="73A3317D">
            <w:pPr>
              <w:keepNext w:val="0"/>
              <w:keepLines w:val="0"/>
              <w:pageBreakBefore w:val="0"/>
              <w:kinsoku/>
              <w:wordWrap/>
              <w:overflowPunct/>
              <w:topLinePunct w:val="0"/>
              <w:autoSpaceDE/>
              <w:autoSpaceDN/>
              <w:bidi w:val="0"/>
              <w:adjustRightInd/>
              <w:snapToGrid/>
              <w:spacing w:line="560" w:lineRule="exact"/>
              <w:ind w:firstLine="120" w:firstLineChars="50"/>
              <w:jc w:val="center"/>
              <w:rPr>
                <w:rFonts w:hint="eastAsia" w:ascii="仿宋" w:hAnsi="仿宋" w:eastAsia="仿宋" w:cs="仿宋"/>
                <w:sz w:val="24"/>
                <w:szCs w:val="24"/>
              </w:rPr>
            </w:pPr>
          </w:p>
          <w:p w14:paraId="3A8650DD">
            <w:pPr>
              <w:keepNext w:val="0"/>
              <w:keepLines w:val="0"/>
              <w:pageBreakBefore w:val="0"/>
              <w:kinsoku/>
              <w:wordWrap/>
              <w:overflowPunct/>
              <w:topLinePunct w:val="0"/>
              <w:autoSpaceDE/>
              <w:autoSpaceDN/>
              <w:bidi w:val="0"/>
              <w:adjustRightInd/>
              <w:snapToGrid/>
              <w:spacing w:line="560" w:lineRule="exact"/>
              <w:ind w:firstLine="120" w:firstLineChars="50"/>
              <w:jc w:val="center"/>
              <w:rPr>
                <w:rFonts w:hint="eastAsia" w:ascii="仿宋" w:hAnsi="仿宋" w:eastAsia="仿宋" w:cs="仿宋"/>
                <w:sz w:val="24"/>
                <w:szCs w:val="24"/>
              </w:rPr>
            </w:pPr>
          </w:p>
          <w:p w14:paraId="17E7A9D0">
            <w:pPr>
              <w:keepNext w:val="0"/>
              <w:keepLines w:val="0"/>
              <w:pageBreakBefore w:val="0"/>
              <w:kinsoku/>
              <w:wordWrap/>
              <w:overflowPunct/>
              <w:topLinePunct w:val="0"/>
              <w:autoSpaceDE/>
              <w:autoSpaceDN/>
              <w:bidi w:val="0"/>
              <w:adjustRightInd/>
              <w:snapToGrid/>
              <w:spacing w:line="560" w:lineRule="exact"/>
              <w:ind w:firstLine="120" w:firstLineChars="50"/>
              <w:jc w:val="center"/>
              <w:rPr>
                <w:rFonts w:hint="eastAsia" w:ascii="仿宋" w:hAnsi="仿宋" w:eastAsia="仿宋" w:cs="仿宋"/>
                <w:sz w:val="24"/>
                <w:szCs w:val="24"/>
              </w:rPr>
            </w:pPr>
          </w:p>
          <w:p w14:paraId="5A83BF20">
            <w:pPr>
              <w:keepNext w:val="0"/>
              <w:keepLines w:val="0"/>
              <w:pageBreakBefore w:val="0"/>
              <w:kinsoku/>
              <w:wordWrap/>
              <w:overflowPunct/>
              <w:topLinePunct w:val="0"/>
              <w:autoSpaceDE/>
              <w:autoSpaceDN/>
              <w:bidi w:val="0"/>
              <w:adjustRightInd/>
              <w:snapToGrid/>
              <w:spacing w:line="560" w:lineRule="exact"/>
              <w:ind w:firstLine="120" w:firstLineChars="50"/>
              <w:jc w:val="center"/>
              <w:rPr>
                <w:rFonts w:hint="eastAsia" w:ascii="仿宋" w:hAnsi="仿宋" w:eastAsia="仿宋" w:cs="仿宋"/>
                <w:sz w:val="24"/>
                <w:szCs w:val="24"/>
              </w:rPr>
            </w:pPr>
          </w:p>
          <w:p w14:paraId="08782A0F">
            <w:pPr>
              <w:keepNext w:val="0"/>
              <w:keepLines w:val="0"/>
              <w:pageBreakBefore w:val="0"/>
              <w:kinsoku/>
              <w:wordWrap/>
              <w:overflowPunct/>
              <w:autoSpaceDE/>
              <w:autoSpaceDN/>
              <w:bidi w:val="0"/>
              <w:adjustRightInd/>
              <w:snapToGrid/>
              <w:spacing w:line="560" w:lineRule="exact"/>
              <w:ind w:left="0" w:leftChars="0" w:firstLine="0" w:firstLineChars="0"/>
              <w:jc w:val="both"/>
              <w:rPr>
                <w:rFonts w:hint="eastAsia" w:ascii="仿宋" w:hAnsi="仿宋" w:eastAsia="仿宋" w:cs="仿宋"/>
                <w:sz w:val="24"/>
                <w:szCs w:val="24"/>
              </w:rPr>
            </w:pPr>
          </w:p>
        </w:tc>
        <w:tc>
          <w:tcPr>
            <w:tcW w:w="533" w:type="pct"/>
            <w:vMerge w:val="restart"/>
            <w:noWrap w:val="0"/>
            <w:vAlign w:val="center"/>
          </w:tcPr>
          <w:p w14:paraId="5E4BC799">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数量</w:t>
            </w:r>
          </w:p>
          <w:p w14:paraId="5AE35F55">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指标</w:t>
            </w:r>
          </w:p>
          <w:p w14:paraId="50F76C3C">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1728" w:type="pct"/>
            <w:noWrap w:val="0"/>
            <w:vAlign w:val="center"/>
          </w:tcPr>
          <w:p w14:paraId="0E3E693E">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每日清扫路面，维护道路整洁</w:t>
            </w:r>
          </w:p>
        </w:tc>
        <w:tc>
          <w:tcPr>
            <w:tcW w:w="774" w:type="pct"/>
            <w:noWrap w:val="0"/>
            <w:vAlign w:val="center"/>
          </w:tcPr>
          <w:p w14:paraId="47361B70">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400万平米</w:t>
            </w:r>
          </w:p>
        </w:tc>
        <w:tc>
          <w:tcPr>
            <w:tcW w:w="1041" w:type="pct"/>
            <w:noWrap w:val="0"/>
            <w:vAlign w:val="center"/>
          </w:tcPr>
          <w:p w14:paraId="78EBC0E5">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400</w:t>
            </w:r>
            <w:r>
              <w:rPr>
                <w:rFonts w:hint="eastAsia" w:ascii="仿宋" w:hAnsi="仿宋" w:eastAsia="仿宋" w:cs="仿宋"/>
                <w:sz w:val="24"/>
                <w:szCs w:val="24"/>
                <w:lang w:eastAsia="zh-CN"/>
              </w:rPr>
              <w:t>多</w:t>
            </w:r>
            <w:r>
              <w:rPr>
                <w:rFonts w:hint="eastAsia" w:ascii="仿宋" w:hAnsi="仿宋" w:eastAsia="仿宋" w:cs="仿宋"/>
                <w:sz w:val="24"/>
                <w:szCs w:val="24"/>
              </w:rPr>
              <w:t>万平米</w:t>
            </w:r>
          </w:p>
        </w:tc>
        <w:tc>
          <w:tcPr>
            <w:tcW w:w="508" w:type="pct"/>
            <w:noWrap w:val="0"/>
            <w:vAlign w:val="center"/>
          </w:tcPr>
          <w:p w14:paraId="77096DB9">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6AFB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12" w:type="pct"/>
            <w:vMerge w:val="continue"/>
            <w:noWrap w:val="0"/>
            <w:vAlign w:val="center"/>
          </w:tcPr>
          <w:p w14:paraId="58BAEE87">
            <w:pPr>
              <w:keepNext w:val="0"/>
              <w:keepLines w:val="0"/>
              <w:pageBreakBefore w:val="0"/>
              <w:kinsoku/>
              <w:wordWrap/>
              <w:overflowPunct/>
              <w:autoSpaceDE/>
              <w:autoSpaceDN/>
              <w:bidi w:val="0"/>
              <w:adjustRightInd/>
              <w:snapToGrid/>
              <w:spacing w:line="560" w:lineRule="exact"/>
              <w:ind w:firstLine="120" w:firstLineChars="50"/>
              <w:jc w:val="center"/>
              <w:rPr>
                <w:rFonts w:hint="eastAsia" w:ascii="仿宋" w:hAnsi="仿宋" w:eastAsia="仿宋" w:cs="仿宋"/>
                <w:sz w:val="24"/>
                <w:szCs w:val="24"/>
              </w:rPr>
            </w:pPr>
          </w:p>
        </w:tc>
        <w:tc>
          <w:tcPr>
            <w:tcW w:w="533" w:type="pct"/>
            <w:vMerge w:val="continue"/>
            <w:noWrap w:val="0"/>
            <w:vAlign w:val="center"/>
          </w:tcPr>
          <w:p w14:paraId="76DA6BE2">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1728" w:type="pct"/>
            <w:noWrap w:val="0"/>
            <w:vAlign w:val="center"/>
          </w:tcPr>
          <w:p w14:paraId="35F190F7">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全市生活垃圾处理覆盖率</w:t>
            </w:r>
          </w:p>
        </w:tc>
        <w:tc>
          <w:tcPr>
            <w:tcW w:w="774" w:type="pct"/>
            <w:noWrap w:val="0"/>
            <w:vAlign w:val="center"/>
          </w:tcPr>
          <w:p w14:paraId="27653195">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1041" w:type="pct"/>
            <w:noWrap w:val="0"/>
            <w:vAlign w:val="center"/>
          </w:tcPr>
          <w:p w14:paraId="1CFD4227">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508" w:type="pct"/>
            <w:noWrap w:val="0"/>
            <w:vAlign w:val="center"/>
          </w:tcPr>
          <w:p w14:paraId="065084BB">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2DF6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412" w:type="pct"/>
            <w:vMerge w:val="continue"/>
            <w:noWrap w:val="0"/>
            <w:vAlign w:val="center"/>
          </w:tcPr>
          <w:p w14:paraId="7AB2283F">
            <w:pPr>
              <w:keepNext w:val="0"/>
              <w:keepLines w:val="0"/>
              <w:pageBreakBefore w:val="0"/>
              <w:kinsoku/>
              <w:wordWrap/>
              <w:overflowPunct/>
              <w:autoSpaceDE/>
              <w:autoSpaceDN/>
              <w:bidi w:val="0"/>
              <w:adjustRightInd/>
              <w:snapToGrid/>
              <w:spacing w:line="560" w:lineRule="exact"/>
              <w:ind w:firstLine="120" w:firstLineChars="50"/>
              <w:jc w:val="center"/>
              <w:rPr>
                <w:rFonts w:hint="eastAsia" w:ascii="仿宋" w:hAnsi="仿宋" w:eastAsia="仿宋" w:cs="仿宋"/>
                <w:sz w:val="24"/>
                <w:szCs w:val="24"/>
              </w:rPr>
            </w:pPr>
          </w:p>
        </w:tc>
        <w:tc>
          <w:tcPr>
            <w:tcW w:w="533" w:type="pct"/>
            <w:vMerge w:val="continue"/>
            <w:noWrap w:val="0"/>
            <w:vAlign w:val="center"/>
          </w:tcPr>
          <w:p w14:paraId="18844E44">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1728" w:type="pct"/>
            <w:noWrap w:val="0"/>
            <w:vAlign w:val="center"/>
          </w:tcPr>
          <w:p w14:paraId="7D8250D1">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全市生活垃圾处理完成数量</w:t>
            </w:r>
          </w:p>
        </w:tc>
        <w:tc>
          <w:tcPr>
            <w:tcW w:w="774" w:type="pct"/>
            <w:noWrap w:val="0"/>
            <w:vAlign w:val="center"/>
          </w:tcPr>
          <w:p w14:paraId="57774930">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500－700</w:t>
            </w:r>
            <w:r>
              <w:rPr>
                <w:rFonts w:hint="eastAsia" w:ascii="仿宋" w:hAnsi="仿宋" w:eastAsia="仿宋" w:cs="仿宋"/>
                <w:sz w:val="24"/>
                <w:szCs w:val="24"/>
              </w:rPr>
              <w:br w:type="textWrapping"/>
            </w:r>
            <w:r>
              <w:rPr>
                <w:rFonts w:hint="eastAsia" w:ascii="仿宋" w:hAnsi="仿宋" w:eastAsia="仿宋" w:cs="仿宋"/>
                <w:sz w:val="24"/>
                <w:szCs w:val="24"/>
              </w:rPr>
              <w:t>吨/日</w:t>
            </w:r>
          </w:p>
        </w:tc>
        <w:tc>
          <w:tcPr>
            <w:tcW w:w="1041" w:type="pct"/>
            <w:noWrap w:val="0"/>
            <w:vAlign w:val="center"/>
          </w:tcPr>
          <w:p w14:paraId="59AA7495">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635吨/日</w:t>
            </w:r>
          </w:p>
          <w:p w14:paraId="0615E32D">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（23.18万</w:t>
            </w:r>
            <w:r>
              <w:rPr>
                <w:rFonts w:hint="eastAsia" w:ascii="仿宋" w:hAnsi="仿宋" w:eastAsia="仿宋" w:cs="仿宋"/>
                <w:sz w:val="24"/>
                <w:szCs w:val="24"/>
              </w:rPr>
              <w:t>吨</w:t>
            </w:r>
            <w:r>
              <w:rPr>
                <w:rFonts w:hint="eastAsia" w:ascii="仿宋" w:hAnsi="仿宋" w:eastAsia="仿宋" w:cs="仿宋"/>
                <w:sz w:val="24"/>
                <w:szCs w:val="24"/>
                <w:lang w:val="en-US" w:eastAsia="zh-CN"/>
              </w:rPr>
              <w:t>/年）</w:t>
            </w:r>
          </w:p>
        </w:tc>
        <w:tc>
          <w:tcPr>
            <w:tcW w:w="508" w:type="pct"/>
            <w:noWrap w:val="0"/>
            <w:vAlign w:val="center"/>
          </w:tcPr>
          <w:p w14:paraId="55D639DA">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34D3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412" w:type="pct"/>
            <w:vMerge w:val="continue"/>
            <w:noWrap w:val="0"/>
            <w:vAlign w:val="center"/>
          </w:tcPr>
          <w:p w14:paraId="69FA05C2">
            <w:pPr>
              <w:keepNext w:val="0"/>
              <w:keepLines w:val="0"/>
              <w:pageBreakBefore w:val="0"/>
              <w:kinsoku/>
              <w:wordWrap/>
              <w:overflowPunct/>
              <w:topLinePunct w:val="0"/>
              <w:autoSpaceDE/>
              <w:autoSpaceDN/>
              <w:bidi w:val="0"/>
              <w:adjustRightInd/>
              <w:snapToGrid/>
              <w:spacing w:line="560" w:lineRule="exact"/>
              <w:ind w:firstLine="120" w:firstLineChars="50"/>
              <w:jc w:val="center"/>
              <w:rPr>
                <w:rFonts w:hint="eastAsia" w:ascii="仿宋" w:hAnsi="仿宋" w:eastAsia="仿宋" w:cs="仿宋"/>
                <w:sz w:val="24"/>
                <w:szCs w:val="24"/>
              </w:rPr>
            </w:pPr>
          </w:p>
        </w:tc>
        <w:tc>
          <w:tcPr>
            <w:tcW w:w="533" w:type="pct"/>
            <w:vMerge w:val="restart"/>
            <w:noWrap w:val="0"/>
            <w:vAlign w:val="center"/>
          </w:tcPr>
          <w:p w14:paraId="2AB6F1E9">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质量</w:t>
            </w:r>
          </w:p>
          <w:p w14:paraId="6BBDBD29">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指标</w:t>
            </w:r>
          </w:p>
        </w:tc>
        <w:tc>
          <w:tcPr>
            <w:tcW w:w="1728" w:type="pct"/>
            <w:noWrap w:val="0"/>
            <w:vAlign w:val="center"/>
          </w:tcPr>
          <w:p w14:paraId="0A5D0E2D">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符合鄂州市城市环境卫生质量标准</w:t>
            </w:r>
          </w:p>
        </w:tc>
        <w:tc>
          <w:tcPr>
            <w:tcW w:w="774" w:type="pct"/>
            <w:noWrap w:val="0"/>
            <w:vAlign w:val="center"/>
          </w:tcPr>
          <w:p w14:paraId="094BB652">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符合</w:t>
            </w:r>
          </w:p>
        </w:tc>
        <w:tc>
          <w:tcPr>
            <w:tcW w:w="1041" w:type="pct"/>
            <w:noWrap w:val="0"/>
            <w:vAlign w:val="center"/>
          </w:tcPr>
          <w:p w14:paraId="0ABCBF2B">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符合</w:t>
            </w:r>
          </w:p>
        </w:tc>
        <w:tc>
          <w:tcPr>
            <w:tcW w:w="508" w:type="pct"/>
            <w:noWrap w:val="0"/>
            <w:vAlign w:val="center"/>
          </w:tcPr>
          <w:p w14:paraId="597871CA">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5256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412" w:type="pct"/>
            <w:vMerge w:val="continue"/>
            <w:noWrap w:val="0"/>
            <w:vAlign w:val="center"/>
          </w:tcPr>
          <w:p w14:paraId="64B19E78">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533" w:type="pct"/>
            <w:vMerge w:val="continue"/>
            <w:noWrap w:val="0"/>
            <w:vAlign w:val="center"/>
          </w:tcPr>
          <w:p w14:paraId="4EB740E0">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1728" w:type="pct"/>
            <w:noWrap w:val="0"/>
            <w:vAlign w:val="center"/>
          </w:tcPr>
          <w:p w14:paraId="53999981">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生活垃圾日产日清</w:t>
            </w:r>
          </w:p>
        </w:tc>
        <w:tc>
          <w:tcPr>
            <w:tcW w:w="774" w:type="pct"/>
            <w:noWrap w:val="0"/>
            <w:vAlign w:val="center"/>
          </w:tcPr>
          <w:p w14:paraId="1EAC4ADE">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及时</w:t>
            </w:r>
          </w:p>
        </w:tc>
        <w:tc>
          <w:tcPr>
            <w:tcW w:w="1041" w:type="pct"/>
            <w:noWrap w:val="0"/>
            <w:vAlign w:val="center"/>
          </w:tcPr>
          <w:p w14:paraId="2F631A3D">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及时</w:t>
            </w:r>
          </w:p>
        </w:tc>
        <w:tc>
          <w:tcPr>
            <w:tcW w:w="508" w:type="pct"/>
            <w:noWrap w:val="0"/>
            <w:vAlign w:val="center"/>
          </w:tcPr>
          <w:p w14:paraId="1A91571A">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14:paraId="2A59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2" w:type="pct"/>
            <w:vMerge w:val="continue"/>
            <w:noWrap w:val="0"/>
            <w:vAlign w:val="center"/>
          </w:tcPr>
          <w:p w14:paraId="53F878E7">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533" w:type="pct"/>
            <w:vMerge w:val="continue"/>
            <w:noWrap w:val="0"/>
            <w:vAlign w:val="center"/>
          </w:tcPr>
          <w:p w14:paraId="67327683">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1728" w:type="pct"/>
            <w:noWrap w:val="0"/>
            <w:vAlign w:val="center"/>
          </w:tcPr>
          <w:p w14:paraId="7C002EF1">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第六届全国文明城市迎检</w:t>
            </w:r>
          </w:p>
        </w:tc>
        <w:tc>
          <w:tcPr>
            <w:tcW w:w="774" w:type="pct"/>
            <w:noWrap w:val="0"/>
            <w:vAlign w:val="center"/>
          </w:tcPr>
          <w:p w14:paraId="6FE2CCC8">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优良</w:t>
            </w:r>
          </w:p>
        </w:tc>
        <w:tc>
          <w:tcPr>
            <w:tcW w:w="1041" w:type="pct"/>
            <w:noWrap w:val="0"/>
            <w:vAlign w:val="center"/>
          </w:tcPr>
          <w:p w14:paraId="619E2659">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良</w:t>
            </w:r>
          </w:p>
        </w:tc>
        <w:tc>
          <w:tcPr>
            <w:tcW w:w="508" w:type="pct"/>
            <w:noWrap w:val="0"/>
            <w:vAlign w:val="center"/>
          </w:tcPr>
          <w:p w14:paraId="6D30AC84">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5A61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12" w:type="pct"/>
            <w:vMerge w:val="restart"/>
            <w:noWrap w:val="0"/>
            <w:vAlign w:val="center"/>
          </w:tcPr>
          <w:p w14:paraId="18BC4706">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效益</w:t>
            </w:r>
          </w:p>
          <w:p w14:paraId="1D65CD2A">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指标</w:t>
            </w:r>
          </w:p>
        </w:tc>
        <w:tc>
          <w:tcPr>
            <w:tcW w:w="533" w:type="pct"/>
            <w:vMerge w:val="restart"/>
            <w:noWrap w:val="0"/>
            <w:vAlign w:val="center"/>
          </w:tcPr>
          <w:p w14:paraId="60D14809">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社会效</w:t>
            </w:r>
          </w:p>
          <w:p w14:paraId="459E99F0">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益指标</w:t>
            </w:r>
          </w:p>
          <w:p w14:paraId="1028C684">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1728" w:type="pct"/>
            <w:noWrap w:val="0"/>
            <w:vAlign w:val="center"/>
          </w:tcPr>
          <w:p w14:paraId="08FB3C8E">
            <w:pPr>
              <w:keepNext w:val="0"/>
              <w:keepLines w:val="0"/>
              <w:pageBreakBefore w:val="0"/>
              <w:kinsoku/>
              <w:wordWrap/>
              <w:overflowPunct/>
              <w:autoSpaceDE/>
              <w:autoSpaceDN/>
              <w:bidi w:val="0"/>
              <w:adjustRightInd/>
              <w:snapToGrid/>
              <w:spacing w:line="560" w:lineRule="exact"/>
              <w:ind w:firstLine="0" w:firstLineChars="0"/>
              <w:jc w:val="left"/>
              <w:rPr>
                <w:rFonts w:hint="eastAsia" w:ascii="仿宋" w:hAnsi="仿宋" w:eastAsia="仿宋" w:cs="仿宋"/>
                <w:w w:val="80"/>
                <w:sz w:val="24"/>
                <w:szCs w:val="24"/>
              </w:rPr>
            </w:pPr>
            <w:r>
              <w:rPr>
                <w:rFonts w:hint="eastAsia" w:ascii="仿宋" w:hAnsi="仿宋" w:eastAsia="仿宋" w:cs="仿宋"/>
                <w:sz w:val="24"/>
                <w:szCs w:val="24"/>
              </w:rPr>
              <w:t>入选第六届全国文明城市</w:t>
            </w:r>
          </w:p>
        </w:tc>
        <w:tc>
          <w:tcPr>
            <w:tcW w:w="774" w:type="pct"/>
            <w:noWrap w:val="0"/>
            <w:vAlign w:val="center"/>
          </w:tcPr>
          <w:p w14:paraId="4BFEA7BA">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入选</w:t>
            </w:r>
          </w:p>
        </w:tc>
        <w:tc>
          <w:tcPr>
            <w:tcW w:w="1041" w:type="pct"/>
            <w:noWrap w:val="0"/>
            <w:vAlign w:val="center"/>
          </w:tcPr>
          <w:p w14:paraId="27A6D52D">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已入选</w:t>
            </w:r>
          </w:p>
        </w:tc>
        <w:tc>
          <w:tcPr>
            <w:tcW w:w="508" w:type="pct"/>
            <w:noWrap w:val="0"/>
            <w:vAlign w:val="center"/>
          </w:tcPr>
          <w:p w14:paraId="06C39B4B">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239D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412" w:type="pct"/>
            <w:vMerge w:val="continue"/>
            <w:noWrap w:val="0"/>
            <w:vAlign w:val="top"/>
          </w:tcPr>
          <w:p w14:paraId="250CFF0B">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p>
        </w:tc>
        <w:tc>
          <w:tcPr>
            <w:tcW w:w="533" w:type="pct"/>
            <w:vMerge w:val="continue"/>
            <w:noWrap w:val="0"/>
            <w:vAlign w:val="top"/>
          </w:tcPr>
          <w:p w14:paraId="0E1CD6CD">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sz w:val="24"/>
                <w:szCs w:val="24"/>
              </w:rPr>
            </w:pPr>
          </w:p>
        </w:tc>
        <w:tc>
          <w:tcPr>
            <w:tcW w:w="1728" w:type="pct"/>
            <w:noWrap w:val="0"/>
            <w:vAlign w:val="center"/>
          </w:tcPr>
          <w:p w14:paraId="3801CDF9">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改善市容环境卫生，为城市提供优美招商环境</w:t>
            </w:r>
          </w:p>
        </w:tc>
        <w:tc>
          <w:tcPr>
            <w:tcW w:w="774" w:type="pct"/>
            <w:noWrap w:val="0"/>
            <w:vAlign w:val="center"/>
          </w:tcPr>
          <w:p w14:paraId="522F7B7E">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显著改善</w:t>
            </w:r>
          </w:p>
        </w:tc>
        <w:tc>
          <w:tcPr>
            <w:tcW w:w="1041" w:type="pct"/>
            <w:noWrap w:val="0"/>
            <w:vAlign w:val="center"/>
          </w:tcPr>
          <w:p w14:paraId="31A59E9A">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较大改善</w:t>
            </w:r>
          </w:p>
        </w:tc>
        <w:tc>
          <w:tcPr>
            <w:tcW w:w="508" w:type="pct"/>
            <w:noWrap w:val="0"/>
            <w:vAlign w:val="center"/>
          </w:tcPr>
          <w:p w14:paraId="7C5FD83E">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90%</w:t>
            </w:r>
          </w:p>
        </w:tc>
      </w:tr>
      <w:tr w14:paraId="6B9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2" w:type="pct"/>
            <w:vMerge w:val="continue"/>
            <w:noWrap w:val="0"/>
            <w:vAlign w:val="center"/>
          </w:tcPr>
          <w:p w14:paraId="5C6D199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kern w:val="0"/>
                <w:sz w:val="24"/>
                <w:szCs w:val="24"/>
              </w:rPr>
            </w:pPr>
          </w:p>
        </w:tc>
        <w:tc>
          <w:tcPr>
            <w:tcW w:w="533" w:type="pct"/>
            <w:noWrap w:val="0"/>
            <w:vAlign w:val="center"/>
          </w:tcPr>
          <w:p w14:paraId="634A2AD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可持续</w:t>
            </w:r>
          </w:p>
          <w:p w14:paraId="4B391FB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影响</w:t>
            </w:r>
          </w:p>
        </w:tc>
        <w:tc>
          <w:tcPr>
            <w:tcW w:w="1728" w:type="pct"/>
            <w:noWrap w:val="0"/>
            <w:vAlign w:val="center"/>
          </w:tcPr>
          <w:p w14:paraId="0FD67F0D">
            <w:pPr>
              <w:keepNext w:val="0"/>
              <w:keepLines w:val="0"/>
              <w:pageBreakBefore w:val="0"/>
              <w:kinsoku/>
              <w:wordWrap/>
              <w:overflowPunct/>
              <w:topLinePunct w:val="0"/>
              <w:autoSpaceDE/>
              <w:autoSpaceDN/>
              <w:bidi w:val="0"/>
              <w:adjustRightInd/>
              <w:snapToGrid/>
              <w:spacing w:line="56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项目经费保障</w:t>
            </w:r>
          </w:p>
        </w:tc>
        <w:tc>
          <w:tcPr>
            <w:tcW w:w="774" w:type="pct"/>
            <w:noWrap w:val="0"/>
            <w:vAlign w:val="center"/>
          </w:tcPr>
          <w:p w14:paraId="504CE27E">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有持续保障</w:t>
            </w:r>
          </w:p>
        </w:tc>
        <w:tc>
          <w:tcPr>
            <w:tcW w:w="1041" w:type="pct"/>
            <w:noWrap w:val="0"/>
            <w:vAlign w:val="center"/>
          </w:tcPr>
          <w:p w14:paraId="5274252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有持续保障</w:t>
            </w:r>
          </w:p>
        </w:tc>
        <w:tc>
          <w:tcPr>
            <w:tcW w:w="508" w:type="pct"/>
            <w:noWrap w:val="0"/>
            <w:vAlign w:val="center"/>
          </w:tcPr>
          <w:p w14:paraId="451A8B74">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454E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412" w:type="pct"/>
            <w:noWrap w:val="0"/>
            <w:vAlign w:val="center"/>
          </w:tcPr>
          <w:p w14:paraId="6538048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533" w:type="pct"/>
            <w:noWrap w:val="0"/>
            <w:vAlign w:val="center"/>
          </w:tcPr>
          <w:p w14:paraId="6F47D4C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公众</w:t>
            </w:r>
          </w:p>
          <w:p w14:paraId="58B6D7D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满意度</w:t>
            </w:r>
          </w:p>
        </w:tc>
        <w:tc>
          <w:tcPr>
            <w:tcW w:w="1728" w:type="pct"/>
            <w:noWrap w:val="0"/>
            <w:vAlign w:val="center"/>
          </w:tcPr>
          <w:p w14:paraId="1517383B">
            <w:pPr>
              <w:keepNext w:val="0"/>
              <w:keepLines w:val="0"/>
              <w:pageBreakBefore w:val="0"/>
              <w:kinsoku/>
              <w:wordWrap/>
              <w:overflowPunct/>
              <w:autoSpaceDE/>
              <w:autoSpaceDN/>
              <w:bidi w:val="0"/>
              <w:adjustRightInd/>
              <w:snapToGrid/>
              <w:spacing w:line="56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公众满意度</w:t>
            </w:r>
          </w:p>
        </w:tc>
        <w:tc>
          <w:tcPr>
            <w:tcW w:w="774" w:type="pct"/>
            <w:noWrap w:val="0"/>
            <w:vAlign w:val="center"/>
          </w:tcPr>
          <w:p w14:paraId="57B9CBC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w:t>
            </w:r>
          </w:p>
        </w:tc>
        <w:tc>
          <w:tcPr>
            <w:tcW w:w="1041" w:type="pct"/>
            <w:noWrap w:val="0"/>
            <w:vAlign w:val="center"/>
          </w:tcPr>
          <w:p w14:paraId="2B2485E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508" w:type="pct"/>
            <w:noWrap w:val="0"/>
            <w:vAlign w:val="center"/>
          </w:tcPr>
          <w:p w14:paraId="40257F9F">
            <w:pPr>
              <w:keepNext w:val="0"/>
              <w:keepLines w:val="0"/>
              <w:pageBreakBefore w:val="0"/>
              <w:kinsoku/>
              <w:wordWrap/>
              <w:overflowPunct/>
              <w:autoSpaceDE/>
              <w:autoSpaceDN/>
              <w:bidi w:val="0"/>
              <w:adjustRightInd/>
              <w:snapToGrid/>
              <w:spacing w:line="5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95.56%</w:t>
            </w:r>
          </w:p>
        </w:tc>
      </w:tr>
    </w:tbl>
    <w:p w14:paraId="7D517D5C">
      <w:pPr>
        <w:keepNext w:val="0"/>
        <w:keepLines w:val="0"/>
        <w:pageBreakBefore w:val="0"/>
        <w:kinsoku/>
        <w:wordWrap/>
        <w:overflowPunct/>
        <w:autoSpaceDE/>
        <w:autoSpaceDN/>
        <w:bidi w:val="0"/>
        <w:adjustRightInd/>
        <w:snapToGrid/>
        <w:spacing w:before="100" w:beforeAutospacing="1" w:line="560" w:lineRule="exact"/>
        <w:ind w:firstLine="640"/>
        <w:rPr>
          <w:rFonts w:hint="eastAsia" w:ascii="仿宋" w:hAnsi="仿宋" w:eastAsia="仿宋" w:cs="仿宋"/>
          <w:kern w:val="0"/>
          <w:sz w:val="32"/>
          <w:szCs w:val="32"/>
        </w:rPr>
      </w:pPr>
      <w:r>
        <w:rPr>
          <w:rFonts w:hint="eastAsia" w:ascii="仿宋" w:hAnsi="仿宋" w:eastAsia="仿宋" w:cs="仿宋"/>
          <w:sz w:val="32"/>
          <w:szCs w:val="32"/>
        </w:rPr>
        <w:t>从上表可以看出，2019年项目产出数量、效益指标除公众满意度指标未达到年初目标值，其他指标</w:t>
      </w:r>
      <w:r>
        <w:rPr>
          <w:rFonts w:hint="eastAsia" w:ascii="仿宋" w:hAnsi="仿宋" w:eastAsia="仿宋" w:cs="仿宋"/>
          <w:sz w:val="32"/>
          <w:szCs w:val="32"/>
          <w:lang w:eastAsia="zh-CN"/>
        </w:rPr>
        <w:t>均</w:t>
      </w:r>
      <w:r>
        <w:rPr>
          <w:rFonts w:hint="eastAsia" w:ascii="仿宋" w:hAnsi="仿宋" w:eastAsia="仿宋" w:cs="仿宋"/>
          <w:sz w:val="32"/>
          <w:szCs w:val="32"/>
        </w:rPr>
        <w:t>达到或超过绩效目标。项目的有序推进、实施为确保市环卫局工作高效、稳定运行提供了保障，项目具有可持续性。</w:t>
      </w:r>
      <w:r>
        <w:rPr>
          <w:rFonts w:hint="eastAsia" w:ascii="仿宋" w:hAnsi="仿宋" w:eastAsia="仿宋" w:cs="仿宋"/>
          <w:kern w:val="0"/>
          <w:sz w:val="32"/>
          <w:szCs w:val="32"/>
        </w:rPr>
        <w:t>详细分析如下所述：</w:t>
      </w:r>
    </w:p>
    <w:p w14:paraId="21800F7D">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2.3.2.1项目管理</w:t>
      </w:r>
    </w:p>
    <w:p w14:paraId="6A352593">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项目管理评价主要是评价绩效目标、资金管理、组织实施。评价设定分值27分，实得</w:t>
      </w:r>
      <w:r>
        <w:rPr>
          <w:rFonts w:hint="eastAsia" w:ascii="仿宋" w:hAnsi="仿宋" w:eastAsia="仿宋" w:cs="仿宋"/>
          <w:sz w:val="32"/>
          <w:szCs w:val="32"/>
          <w:lang w:val="en-US" w:eastAsia="zh-CN"/>
        </w:rPr>
        <w:t>20</w:t>
      </w:r>
      <w:r>
        <w:rPr>
          <w:rFonts w:hint="eastAsia" w:ascii="仿宋" w:hAnsi="仿宋" w:eastAsia="仿宋" w:cs="仿宋"/>
          <w:sz w:val="32"/>
          <w:szCs w:val="32"/>
        </w:rPr>
        <w:t>分。</w:t>
      </w:r>
    </w:p>
    <w:p w14:paraId="525E964F">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2.3.2.1.1绩效目标</w:t>
      </w:r>
    </w:p>
    <w:p w14:paraId="45CEACFB">
      <w:pPr>
        <w:keepNext w:val="0"/>
        <w:keepLines w:val="0"/>
        <w:pageBreakBefore w:val="0"/>
        <w:kinsoku/>
        <w:wordWrap/>
        <w:overflowPunct/>
        <w:autoSpaceDE/>
        <w:autoSpaceDN/>
        <w:bidi w:val="0"/>
        <w:adjustRightInd/>
        <w:snapToGrid/>
        <w:spacing w:line="560" w:lineRule="exact"/>
        <w:ind w:left="730" w:leftChars="228" w:firstLine="0" w:firstLineChars="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绩效目标合理性</w:t>
      </w:r>
    </w:p>
    <w:p w14:paraId="1E61E327">
      <w:pPr>
        <w:keepNext w:val="0"/>
        <w:keepLines w:val="0"/>
        <w:pageBreakBefore w:val="0"/>
        <w:kinsoku/>
        <w:wordWrap/>
        <w:overflowPunct/>
        <w:autoSpaceDE/>
        <w:autoSpaceDN/>
        <w:bidi w:val="0"/>
        <w:adjustRightInd/>
        <w:snapToGrid/>
        <w:spacing w:line="560" w:lineRule="exact"/>
        <w:ind w:left="730" w:leftChars="228" w:firstLine="0" w:firstLineChars="0"/>
        <w:rPr>
          <w:rFonts w:hint="eastAsia" w:ascii="仿宋" w:hAnsi="仿宋" w:eastAsia="仿宋" w:cs="仿宋"/>
          <w:sz w:val="32"/>
          <w:szCs w:val="32"/>
        </w:rPr>
      </w:pPr>
      <w:r>
        <w:rPr>
          <w:rFonts w:hint="eastAsia" w:ascii="仿宋" w:hAnsi="仿宋" w:eastAsia="仿宋" w:cs="仿宋"/>
          <w:sz w:val="32"/>
          <w:szCs w:val="32"/>
        </w:rPr>
        <w:t>项目有绩效目标，且绩效目标与实际工作内容具有相关性。评价设定分值2分，实得2分。</w:t>
      </w:r>
    </w:p>
    <w:p w14:paraId="74B23978">
      <w:pPr>
        <w:keepNext w:val="0"/>
        <w:keepLines w:val="0"/>
        <w:pageBreakBefore w:val="0"/>
        <w:widowControl w:val="0"/>
        <w:kinsoku/>
        <w:wordWrap/>
        <w:overflowPunct/>
        <w:topLinePunct/>
        <w:autoSpaceDE/>
        <w:autoSpaceDN/>
        <w:bidi w:val="0"/>
        <w:adjustRightInd/>
        <w:snapToGrid/>
        <w:spacing w:beforeAutospacing="0" w:line="560" w:lineRule="exact"/>
        <w:ind w:left="730" w:leftChars="228" w:firstLine="0" w:firstLineChars="0"/>
        <w:textAlignment w:val="auto"/>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绩效指标明确性</w:t>
      </w:r>
    </w:p>
    <w:p w14:paraId="2F6D80CC">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项目设定了年度绩效目标，项目绩效目标</w:t>
      </w:r>
      <w:bookmarkStart w:id="123" w:name="_Hlk479590797"/>
      <w:r>
        <w:rPr>
          <w:rFonts w:hint="eastAsia" w:ascii="仿宋" w:hAnsi="仿宋" w:eastAsia="仿宋" w:cs="仿宋"/>
          <w:sz w:val="32"/>
          <w:szCs w:val="32"/>
        </w:rPr>
        <w:t>任务数与计划数相互对应。</w:t>
      </w:r>
    </w:p>
    <w:bookmarkEnd w:id="123"/>
    <w:p w14:paraId="183B2617">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但是绩效指标设置无细化分解，对产出数量指标基本设定为定性指标，未体现可衡量的量化的目标值。扣2分。</w:t>
      </w:r>
    </w:p>
    <w:p w14:paraId="64C738A8">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bookmarkStart w:id="124" w:name="_Toc16659"/>
      <w:r>
        <w:rPr>
          <w:rFonts w:hint="eastAsia" w:ascii="楷体" w:hAnsi="楷体" w:eastAsia="楷体" w:cs="楷体"/>
          <w:b/>
          <w:bCs/>
          <w:sz w:val="32"/>
          <w:szCs w:val="32"/>
        </w:rPr>
        <w:t>2.3.2.</w:t>
      </w:r>
      <w:bookmarkEnd w:id="124"/>
      <w:r>
        <w:rPr>
          <w:rFonts w:hint="eastAsia" w:ascii="楷体" w:hAnsi="楷体" w:eastAsia="楷体" w:cs="楷体"/>
          <w:b/>
          <w:bCs/>
          <w:sz w:val="32"/>
          <w:szCs w:val="32"/>
        </w:rPr>
        <w:t>1.2资金管理</w:t>
      </w:r>
    </w:p>
    <w:p w14:paraId="76855F98">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资金管理评价主要是评价项目预算编制科学性、资金到位率、预算执行率、支出进度率、资金使用合规性。评价设定分值16分，实得</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分。</w:t>
      </w:r>
    </w:p>
    <w:p w14:paraId="45A56D07">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（1）预算编制科学性</w:t>
      </w:r>
    </w:p>
    <w:p w14:paraId="6AF236E6">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预算编制的内容与项目内容匹配，项目投资额与工作任务匹配。但是预算编制未列报论证过程，预算额度未列出测算过程，无量化数据的计算来源，扣3分。</w:t>
      </w:r>
    </w:p>
    <w:p w14:paraId="6D4A8017">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（2）资金到位率</w:t>
      </w:r>
    </w:p>
    <w:p w14:paraId="52B935D4">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资金到位率反映实际到位资金与预算资金的比率，用以反映和考核资金落实情况对项目实施的总体保障程度。2019年项目预算2100万元，实际到位2121.63万元，资金到位率101.03%。评价设定分值2分</w:t>
      </w:r>
      <w:r>
        <w:rPr>
          <w:rFonts w:hint="eastAsia" w:ascii="仿宋" w:hAnsi="仿宋" w:eastAsia="仿宋" w:cs="仿宋"/>
          <w:sz w:val="32"/>
          <w:szCs w:val="32"/>
          <w:highlight w:val="none"/>
        </w:rPr>
        <w:t>，实得</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w:t>
      </w:r>
    </w:p>
    <w:p w14:paraId="4DF04342">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（3）预算执行率</w:t>
      </w:r>
    </w:p>
    <w:p w14:paraId="1F51846A">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预算执行率＝（实际支出资金/实际到位资金）×100%。反映预算执行情况，该项目由财政部门授权环卫部门支付给第三方华新公司，实际支出资金等于实际到位资金，预算执行率101.03%。评价设定分值2分，</w:t>
      </w:r>
      <w:r>
        <w:rPr>
          <w:rFonts w:hint="eastAsia" w:ascii="仿宋" w:hAnsi="仿宋" w:eastAsia="仿宋" w:cs="仿宋"/>
          <w:sz w:val="32"/>
          <w:szCs w:val="32"/>
          <w:highlight w:val="none"/>
        </w:rPr>
        <w:t>实得0分</w:t>
      </w:r>
      <w:r>
        <w:rPr>
          <w:rFonts w:hint="eastAsia" w:ascii="仿宋" w:hAnsi="仿宋" w:eastAsia="仿宋" w:cs="仿宋"/>
          <w:sz w:val="32"/>
          <w:szCs w:val="32"/>
        </w:rPr>
        <w:t>。</w:t>
      </w:r>
    </w:p>
    <w:p w14:paraId="163049CE">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（4）支出进度率</w:t>
      </w:r>
    </w:p>
    <w:p w14:paraId="3C95E344">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支出进度率＝（项目支出数/项目到位资金）×100%，该项目约定了每月结算期，每月支付上月垃圾处置费，由财政授权市环卫局，资金拨付后及时支付给第三方华新公司，支出进度率100%。评价设定分值2分，实得2分。</w:t>
      </w:r>
    </w:p>
    <w:p w14:paraId="31E78821">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（5）资金使用合规性</w:t>
      </w:r>
    </w:p>
    <w:p w14:paraId="5BC44C38">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项目符合国家财经法规和财务管理制度的规定；资金的拨付有完整的审批程序和手续；符合项目预算批复或合同规定的用途；不存在截留、挤占、挪用、虚列支出等情况。评价设定分值4分，实得4分。</w:t>
      </w:r>
    </w:p>
    <w:p w14:paraId="19D14197">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楷体" w:hAnsi="楷体" w:eastAsia="楷体" w:cs="楷体"/>
          <w:b/>
          <w:bCs/>
          <w:sz w:val="32"/>
          <w:szCs w:val="32"/>
        </w:rPr>
      </w:pPr>
      <w:r>
        <w:rPr>
          <w:rFonts w:hint="eastAsia" w:ascii="楷体" w:hAnsi="楷体" w:eastAsia="楷体" w:cs="楷体"/>
          <w:b/>
          <w:bCs/>
          <w:sz w:val="32"/>
          <w:szCs w:val="32"/>
        </w:rPr>
        <w:t>2.3.2.1.3组织实施</w:t>
      </w:r>
    </w:p>
    <w:p w14:paraId="67D583F9">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组织实施评价主要是评价项目管理制度健全性、制度执行有效性。评价设定分值6分，实得6分。</w:t>
      </w:r>
    </w:p>
    <w:p w14:paraId="2AC3CD17">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（1）管理制度健全性</w:t>
      </w:r>
    </w:p>
    <w:p w14:paraId="21145E42">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项目已制定或具有相应的财务和业务管理制度；财务和业务管理制度合法、合规。评价设定分值2分，实得2分。</w:t>
      </w:r>
    </w:p>
    <w:p w14:paraId="60F4EB35">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（2）制度执行有效性</w:t>
      </w:r>
    </w:p>
    <w:p w14:paraId="2FFD9375">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遵守相关法律法规和相关管理规定；项目调整及支出调整手续完备；项目合同书、技术鉴定等资料齐全并及时归档；项目实施的人员条件、场地设备、信息支撑等落实到位。评价设定分值4分，实得4分。</w:t>
      </w:r>
    </w:p>
    <w:p w14:paraId="2543E1D7">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楷体" w:hAnsi="楷体" w:eastAsia="楷体" w:cs="楷体"/>
          <w:sz w:val="32"/>
          <w:szCs w:val="32"/>
        </w:rPr>
      </w:pPr>
      <w:r>
        <w:rPr>
          <w:rFonts w:hint="eastAsia" w:ascii="楷体" w:hAnsi="楷体" w:eastAsia="楷体" w:cs="楷体"/>
          <w:b/>
          <w:bCs/>
          <w:sz w:val="32"/>
          <w:szCs w:val="32"/>
        </w:rPr>
        <w:t>2.3.2.2项目产出</w:t>
      </w:r>
    </w:p>
    <w:p w14:paraId="0D9D1767">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rPr>
        <w:t>项目产出主要评价数量指标和质量指标。评价设定分值50分，</w:t>
      </w:r>
      <w:r>
        <w:rPr>
          <w:rFonts w:hint="eastAsia" w:ascii="仿宋" w:hAnsi="仿宋" w:eastAsia="仿宋" w:cs="仿宋"/>
          <w:sz w:val="32"/>
          <w:szCs w:val="32"/>
          <w:highlight w:val="none"/>
        </w:rPr>
        <w:t>实得</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highlight w:val="none"/>
        </w:rPr>
        <w:t>分。</w:t>
      </w:r>
    </w:p>
    <w:p w14:paraId="5EE00D11">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（1）数量指标</w:t>
      </w:r>
    </w:p>
    <w:p w14:paraId="70190CA2">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2019年项目产出数量指标均完成或超额完成年度目标。本年数量指标完成率100%。评价设定分值</w:t>
      </w:r>
      <w:r>
        <w:rPr>
          <w:rFonts w:hint="eastAsia" w:ascii="仿宋" w:hAnsi="仿宋" w:eastAsia="仿宋" w:cs="仿宋"/>
          <w:sz w:val="32"/>
          <w:szCs w:val="32"/>
          <w:lang w:val="en-US" w:eastAsia="zh-CN"/>
        </w:rPr>
        <w:t>2</w:t>
      </w:r>
      <w:r>
        <w:rPr>
          <w:rFonts w:hint="eastAsia" w:ascii="仿宋" w:hAnsi="仿宋" w:eastAsia="仿宋" w:cs="仿宋"/>
          <w:sz w:val="32"/>
          <w:szCs w:val="32"/>
        </w:rPr>
        <w:t>8分，实得</w:t>
      </w:r>
      <w:r>
        <w:rPr>
          <w:rFonts w:hint="eastAsia" w:ascii="仿宋" w:hAnsi="仿宋" w:eastAsia="仿宋" w:cs="仿宋"/>
          <w:sz w:val="32"/>
          <w:szCs w:val="32"/>
          <w:lang w:val="en-US" w:eastAsia="zh-CN"/>
        </w:rPr>
        <w:t>2</w:t>
      </w:r>
      <w:r>
        <w:rPr>
          <w:rFonts w:hint="eastAsia" w:ascii="仿宋" w:hAnsi="仿宋" w:eastAsia="仿宋" w:cs="仿宋"/>
          <w:sz w:val="32"/>
          <w:szCs w:val="32"/>
        </w:rPr>
        <w:t>8分。</w:t>
      </w:r>
    </w:p>
    <w:p w14:paraId="5CA1402D">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①每日清扫路面，维护道路整洁</w:t>
      </w:r>
    </w:p>
    <w:p w14:paraId="4869DBF3">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2019年全市清扫面积400多万平方米，已完成年度目标。评价设定分值10分，实得10分。</w:t>
      </w:r>
    </w:p>
    <w:p w14:paraId="14D59B08">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②全市生活垃圾处理覆盖率</w:t>
      </w:r>
    </w:p>
    <w:p w14:paraId="6640F515">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2019年全市生活垃圾处理覆盖主城区、鄂城区、华容区及梁子湖区、葛店经济开发区，覆盖率100%。评价设定分值8分，实得8分。</w:t>
      </w:r>
    </w:p>
    <w:p w14:paraId="6BBAF694">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③全市生活垃圾处理完成数量</w:t>
      </w:r>
    </w:p>
    <w:p w14:paraId="66B3C2DF">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2019年全市生活垃圾处理完成数量</w:t>
      </w:r>
      <w:r>
        <w:rPr>
          <w:rFonts w:hint="eastAsia" w:ascii="仿宋" w:hAnsi="仿宋" w:eastAsia="仿宋" w:cs="仿宋"/>
          <w:sz w:val="32"/>
          <w:szCs w:val="32"/>
          <w:lang w:val="en-US" w:eastAsia="zh-CN"/>
        </w:rPr>
        <w:t>635吨/日（</w:t>
      </w:r>
      <w:r>
        <w:rPr>
          <w:rFonts w:hint="eastAsia" w:ascii="仿宋" w:hAnsi="仿宋" w:eastAsia="仿宋" w:cs="仿宋"/>
          <w:sz w:val="32"/>
          <w:szCs w:val="32"/>
        </w:rPr>
        <w:t>23</w:t>
      </w:r>
      <w:r>
        <w:rPr>
          <w:rFonts w:hint="eastAsia" w:ascii="仿宋" w:hAnsi="仿宋" w:eastAsia="仿宋" w:cs="仿宋"/>
          <w:sz w:val="32"/>
          <w:szCs w:val="32"/>
          <w:lang w:val="en-US" w:eastAsia="zh-CN"/>
        </w:rPr>
        <w:t>.</w:t>
      </w:r>
      <w:r>
        <w:rPr>
          <w:rFonts w:hint="eastAsia" w:ascii="仿宋" w:hAnsi="仿宋" w:eastAsia="仿宋" w:cs="仿宋"/>
          <w:sz w:val="32"/>
          <w:szCs w:val="32"/>
        </w:rPr>
        <w:t>18</w:t>
      </w:r>
      <w:r>
        <w:rPr>
          <w:rFonts w:hint="eastAsia" w:ascii="仿宋" w:hAnsi="仿宋" w:eastAsia="仿宋" w:cs="仿宋"/>
          <w:sz w:val="32"/>
          <w:szCs w:val="32"/>
          <w:lang w:eastAsia="zh-CN"/>
        </w:rPr>
        <w:t>万</w:t>
      </w:r>
      <w:r>
        <w:rPr>
          <w:rFonts w:hint="eastAsia" w:ascii="仿宋" w:hAnsi="仿宋" w:eastAsia="仿宋" w:cs="仿宋"/>
          <w:sz w:val="32"/>
          <w:szCs w:val="32"/>
        </w:rPr>
        <w:t>吨</w:t>
      </w:r>
      <w:r>
        <w:rPr>
          <w:rFonts w:hint="eastAsia" w:ascii="仿宋" w:hAnsi="仿宋" w:eastAsia="仿宋" w:cs="仿宋"/>
          <w:sz w:val="32"/>
          <w:szCs w:val="32"/>
          <w:lang w:val="en-US" w:eastAsia="zh-CN"/>
        </w:rPr>
        <w:t>/年）</w:t>
      </w:r>
      <w:r>
        <w:rPr>
          <w:rFonts w:hint="eastAsia" w:ascii="仿宋" w:hAnsi="仿宋" w:eastAsia="仿宋" w:cs="仿宋"/>
          <w:sz w:val="32"/>
          <w:szCs w:val="32"/>
        </w:rPr>
        <w:t>，完成年度目标。评价设定分值10分，实得10分。</w:t>
      </w:r>
    </w:p>
    <w:p w14:paraId="33666900">
      <w:pPr>
        <w:keepNext w:val="0"/>
        <w:keepLines w:val="0"/>
        <w:pageBreakBefore w:val="0"/>
        <w:widowControl w:val="0"/>
        <w:kinsoku/>
        <w:wordWrap/>
        <w:overflowPunct/>
        <w:topLinePunct/>
        <w:autoSpaceDE/>
        <w:autoSpaceDN/>
        <w:bidi w:val="0"/>
        <w:adjustRightInd/>
        <w:snapToGrid/>
        <w:spacing w:before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（2）质量指标</w:t>
      </w:r>
    </w:p>
    <w:p w14:paraId="044D82BD">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2019年项目产出质量指标均完成或超额完成年度目标。本年质量指标完成率100%。评价设定分值</w:t>
      </w:r>
      <w:r>
        <w:rPr>
          <w:rFonts w:hint="eastAsia" w:ascii="仿宋" w:hAnsi="仿宋" w:eastAsia="仿宋" w:cs="仿宋"/>
          <w:sz w:val="32"/>
          <w:szCs w:val="32"/>
          <w:lang w:val="en-US" w:eastAsia="zh-CN"/>
        </w:rPr>
        <w:t>2</w:t>
      </w:r>
      <w:r>
        <w:rPr>
          <w:rFonts w:hint="eastAsia" w:ascii="仿宋" w:hAnsi="仿宋" w:eastAsia="仿宋" w:cs="仿宋"/>
          <w:sz w:val="32"/>
          <w:szCs w:val="32"/>
        </w:rPr>
        <w:t>2分，实得</w:t>
      </w:r>
      <w:r>
        <w:rPr>
          <w:rFonts w:hint="eastAsia" w:ascii="仿宋" w:hAnsi="仿宋" w:eastAsia="仿宋" w:cs="仿宋"/>
          <w:sz w:val="32"/>
          <w:szCs w:val="32"/>
          <w:lang w:val="en-US" w:eastAsia="zh-CN"/>
        </w:rPr>
        <w:t>2</w:t>
      </w:r>
      <w:r>
        <w:rPr>
          <w:rFonts w:hint="eastAsia" w:ascii="仿宋" w:hAnsi="仿宋" w:eastAsia="仿宋" w:cs="仿宋"/>
          <w:sz w:val="32"/>
          <w:szCs w:val="32"/>
        </w:rPr>
        <w:t>2分。</w:t>
      </w:r>
    </w:p>
    <w:p w14:paraId="29270CCC">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①项目符合鄂州市城市城市环境卫生质量标准，评价设定分值6分，实得6分。</w:t>
      </w:r>
    </w:p>
    <w:p w14:paraId="6D172EE9">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②生活垃圾日产日清</w:t>
      </w:r>
    </w:p>
    <w:p w14:paraId="2F5D5790">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2019年全市生活垃圾清理数量累计23</w:t>
      </w:r>
      <w:r>
        <w:rPr>
          <w:rFonts w:hint="eastAsia" w:ascii="仿宋" w:hAnsi="仿宋" w:eastAsia="仿宋" w:cs="仿宋"/>
          <w:sz w:val="32"/>
          <w:szCs w:val="32"/>
          <w:lang w:val="en-US" w:eastAsia="zh-CN"/>
        </w:rPr>
        <w:t>.</w:t>
      </w:r>
      <w:r>
        <w:rPr>
          <w:rFonts w:hint="eastAsia" w:ascii="仿宋" w:hAnsi="仿宋" w:eastAsia="仿宋" w:cs="仿宋"/>
          <w:sz w:val="32"/>
          <w:szCs w:val="32"/>
        </w:rPr>
        <w:t>18</w:t>
      </w:r>
      <w:r>
        <w:rPr>
          <w:rFonts w:hint="eastAsia" w:ascii="仿宋" w:hAnsi="仿宋" w:eastAsia="仿宋" w:cs="仿宋"/>
          <w:sz w:val="32"/>
          <w:szCs w:val="32"/>
          <w:lang w:eastAsia="zh-CN"/>
        </w:rPr>
        <w:t>万</w:t>
      </w:r>
      <w:r>
        <w:rPr>
          <w:rFonts w:hint="eastAsia" w:ascii="仿宋" w:hAnsi="仿宋" w:eastAsia="仿宋" w:cs="仿宋"/>
          <w:sz w:val="32"/>
          <w:szCs w:val="32"/>
        </w:rPr>
        <w:t>吨，日均635吨，</w:t>
      </w:r>
      <w:r>
        <w:rPr>
          <w:rFonts w:hint="eastAsia" w:ascii="仿宋" w:hAnsi="仿宋" w:eastAsia="仿宋" w:cs="仿宋"/>
          <w:sz w:val="32"/>
          <w:szCs w:val="32"/>
          <w:lang w:eastAsia="zh-CN"/>
        </w:rPr>
        <w:t>基本做到垃圾处理日产日清</w:t>
      </w:r>
      <w:r>
        <w:rPr>
          <w:rFonts w:hint="eastAsia" w:ascii="仿宋" w:hAnsi="仿宋" w:eastAsia="仿宋" w:cs="仿宋"/>
          <w:sz w:val="32"/>
          <w:szCs w:val="32"/>
        </w:rPr>
        <w:t>。评价设定分值10分，实得10分。</w:t>
      </w:r>
    </w:p>
    <w:p w14:paraId="7E40DC4B">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③第六届全国文明城市迎检合格，评价设定分值6分，实得</w:t>
      </w:r>
      <w:r>
        <w:rPr>
          <w:rFonts w:hint="eastAsia" w:ascii="仿宋" w:hAnsi="仿宋" w:eastAsia="仿宋" w:cs="仿宋"/>
          <w:sz w:val="32"/>
          <w:szCs w:val="32"/>
          <w:lang w:val="en-US" w:eastAsia="zh-CN"/>
        </w:rPr>
        <w:t>6</w:t>
      </w:r>
      <w:r>
        <w:rPr>
          <w:rFonts w:hint="eastAsia" w:ascii="仿宋" w:hAnsi="仿宋" w:eastAsia="仿宋" w:cs="仿宋"/>
          <w:sz w:val="32"/>
          <w:szCs w:val="32"/>
        </w:rPr>
        <w:t>分。</w:t>
      </w:r>
    </w:p>
    <w:p w14:paraId="5474E725">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b/>
          <w:bCs/>
          <w:sz w:val="32"/>
          <w:szCs w:val="32"/>
        </w:rPr>
      </w:pPr>
      <w:bookmarkStart w:id="125" w:name="_Toc30132"/>
      <w:bookmarkStart w:id="126" w:name="_Toc23861"/>
      <w:bookmarkStart w:id="127" w:name="_Toc5223"/>
      <w:bookmarkStart w:id="128" w:name="_Toc12744"/>
      <w:bookmarkStart w:id="129" w:name="_Toc30271"/>
      <w:bookmarkStart w:id="130" w:name="_Toc5965"/>
      <w:r>
        <w:rPr>
          <w:rFonts w:hint="eastAsia" w:ascii="楷体" w:hAnsi="楷体" w:eastAsia="楷体" w:cs="楷体"/>
          <w:b/>
          <w:bCs/>
          <w:sz w:val="32"/>
          <w:szCs w:val="32"/>
        </w:rPr>
        <w:t>2.3.2.3效果</w:t>
      </w:r>
      <w:bookmarkEnd w:id="125"/>
      <w:bookmarkEnd w:id="126"/>
      <w:bookmarkEnd w:id="127"/>
      <w:bookmarkEnd w:id="128"/>
      <w:bookmarkEnd w:id="129"/>
      <w:bookmarkEnd w:id="130"/>
    </w:p>
    <w:p w14:paraId="4E69799F">
      <w:pPr>
        <w:keepNext w:val="0"/>
        <w:keepLines w:val="0"/>
        <w:pageBreakBefore w:val="0"/>
        <w:widowControl w:val="0"/>
        <w:kinsoku/>
        <w:wordWrap/>
        <w:overflowPunct/>
        <w:topLinePunct/>
        <w:autoSpaceDE/>
        <w:autoSpaceDN/>
        <w:bidi w:val="0"/>
        <w:adjustRightInd/>
        <w:snapToGrid/>
        <w:spacing w:beforeAutospacing="0"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项目效果主要评价其社会效益及可持续影响。评价设定分值</w:t>
      </w:r>
      <w:r>
        <w:rPr>
          <w:rFonts w:hint="eastAsia" w:ascii="仿宋" w:hAnsi="仿宋" w:eastAsia="仿宋" w:cs="仿宋"/>
          <w:sz w:val="32"/>
          <w:szCs w:val="32"/>
          <w:lang w:val="en-US" w:eastAsia="zh-CN"/>
        </w:rPr>
        <w:t>13</w:t>
      </w:r>
      <w:r>
        <w:rPr>
          <w:rFonts w:hint="eastAsia" w:ascii="仿宋" w:hAnsi="仿宋" w:eastAsia="仿宋" w:cs="仿宋"/>
          <w:sz w:val="32"/>
          <w:szCs w:val="32"/>
        </w:rPr>
        <w:t>分，实得</w:t>
      </w:r>
      <w:r>
        <w:rPr>
          <w:rFonts w:hint="eastAsia" w:ascii="仿宋" w:hAnsi="仿宋" w:eastAsia="仿宋" w:cs="仿宋"/>
          <w:sz w:val="32"/>
          <w:szCs w:val="32"/>
          <w:lang w:val="en-US" w:eastAsia="zh-CN"/>
        </w:rPr>
        <w:t>12</w:t>
      </w:r>
      <w:r>
        <w:rPr>
          <w:rFonts w:hint="eastAsia" w:ascii="仿宋" w:hAnsi="仿宋" w:eastAsia="仿宋" w:cs="仿宋"/>
          <w:sz w:val="32"/>
          <w:szCs w:val="32"/>
        </w:rPr>
        <w:t>分。</w:t>
      </w:r>
    </w:p>
    <w:p w14:paraId="62F15ACC">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①入选第六届全国文明城市</w:t>
      </w:r>
      <w:r>
        <w:rPr>
          <w:rFonts w:hint="eastAsia" w:ascii="仿宋" w:hAnsi="仿宋" w:eastAsia="仿宋" w:cs="仿宋"/>
          <w:sz w:val="32"/>
          <w:szCs w:val="32"/>
          <w:lang w:eastAsia="zh-CN"/>
        </w:rPr>
        <w:t>，根据第六届全国文明城市名单，鄂州市当选为全国文明城市，评价设定分值</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分，实得</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分。</w:t>
      </w:r>
    </w:p>
    <w:p w14:paraId="7FBA466C">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②改善市容环境卫生，为城市提供优美招商环境</w:t>
      </w:r>
      <w:r>
        <w:rPr>
          <w:rFonts w:hint="eastAsia" w:ascii="仿宋" w:hAnsi="仿宋" w:eastAsia="仿宋" w:cs="仿宋"/>
          <w:sz w:val="32"/>
          <w:szCs w:val="32"/>
          <w:lang w:eastAsia="zh-CN"/>
        </w:rPr>
        <w:t>，目标是显著改善，根据资料检查及实地考察，得到极大改善，有待进一步提高，评价设定分值</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分，实得</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分。</w:t>
      </w:r>
    </w:p>
    <w:p w14:paraId="13DF0317">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③项目经费保障，根据项目协议及申报文件，项目运行经费能得到持续保障，评价设定分值</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分，实得</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分。</w:t>
      </w:r>
    </w:p>
    <w:p w14:paraId="36CCDEFA">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2.3.2.4满意度</w:t>
      </w:r>
    </w:p>
    <w:p w14:paraId="0691F547">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rPr>
        <w:t>公众满意度评价设定分值10分，实得8分</w:t>
      </w:r>
      <w:r>
        <w:rPr>
          <w:rFonts w:hint="eastAsia" w:ascii="仿宋" w:hAnsi="仿宋" w:eastAsia="仿宋" w:cs="仿宋"/>
          <w:sz w:val="32"/>
          <w:szCs w:val="32"/>
          <w:lang w:eastAsia="zh-CN"/>
        </w:rPr>
        <w:t>。</w:t>
      </w:r>
    </w:p>
    <w:p w14:paraId="07875B70">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评价标准值为设定为≥90%，本次评价经向涉及的服务对象发布满意度调查问卷，收到有效问</w:t>
      </w:r>
      <w:r>
        <w:rPr>
          <w:rFonts w:hint="eastAsia" w:ascii="仿宋" w:hAnsi="仿宋" w:eastAsia="仿宋" w:cs="仿宋"/>
          <w:sz w:val="32"/>
          <w:szCs w:val="32"/>
          <w:highlight w:val="none"/>
        </w:rPr>
        <w:t>卷</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rPr>
        <w:t>份。</w:t>
      </w:r>
      <w:r>
        <w:rPr>
          <w:rFonts w:hint="eastAsia" w:ascii="仿宋" w:hAnsi="仿宋" w:eastAsia="仿宋" w:cs="仿宋"/>
          <w:sz w:val="32"/>
          <w:szCs w:val="32"/>
        </w:rPr>
        <w:t>经汇总计算调查结果，公众综合满意度率达到86%，反映公众对该项目总体上比较认可。因部分市民环境卫生意识不强，随地倾倒生活垃圾，排放生活污水，清扫保洁难度大；另城市基础设施建设滞后，功能不全，停车场等必需设施配备不足，有碍城市保洁及环卫工作的开展。</w:t>
      </w:r>
    </w:p>
    <w:p w14:paraId="41EBF45B">
      <w:pPr>
        <w:keepNext w:val="0"/>
        <w:keepLines w:val="0"/>
        <w:pageBreakBefore w:val="0"/>
        <w:kinsoku/>
        <w:wordWrap/>
        <w:overflowPunct/>
        <w:autoSpaceDE/>
        <w:autoSpaceDN/>
        <w:bidi w:val="0"/>
        <w:adjustRightInd/>
        <w:snapToGrid/>
        <w:spacing w:line="560" w:lineRule="exact"/>
        <w:ind w:firstLine="640"/>
        <w:rPr>
          <w:rStyle w:val="16"/>
          <w:rFonts w:hint="eastAsia" w:ascii="楷体" w:hAnsi="楷体" w:eastAsia="楷体" w:cs="楷体"/>
          <w:sz w:val="32"/>
          <w:szCs w:val="32"/>
        </w:rPr>
      </w:pPr>
      <w:bookmarkStart w:id="131" w:name="_Toc22469"/>
      <w:bookmarkStart w:id="132" w:name="_Toc29284"/>
      <w:r>
        <w:rPr>
          <w:rStyle w:val="16"/>
          <w:rFonts w:hint="eastAsia" w:ascii="楷体" w:hAnsi="楷体" w:eastAsia="楷体" w:cs="楷体"/>
          <w:sz w:val="32"/>
          <w:szCs w:val="32"/>
        </w:rPr>
        <w:t>2.4上年度评价结果应用情况</w:t>
      </w:r>
      <w:bookmarkEnd w:id="131"/>
    </w:p>
    <w:bookmarkEnd w:id="132"/>
    <w:p w14:paraId="425DC708">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bookmarkStart w:id="133" w:name="_Toc1306"/>
      <w:bookmarkStart w:id="134" w:name="_Toc17467"/>
      <w:bookmarkStart w:id="135" w:name="_Toc17177"/>
      <w:bookmarkStart w:id="136" w:name="_Toc13849"/>
      <w:r>
        <w:rPr>
          <w:rFonts w:hint="eastAsia" w:ascii="仿宋" w:hAnsi="仿宋" w:eastAsia="仿宋" w:cs="仿宋"/>
          <w:sz w:val="32"/>
          <w:szCs w:val="32"/>
        </w:rPr>
        <w:t>相关部门未提供上年度绩效评价结果公示资料和其他结果应用资料。</w:t>
      </w:r>
    </w:p>
    <w:p w14:paraId="15109D33">
      <w:pPr>
        <w:keepNext w:val="0"/>
        <w:keepLines w:val="0"/>
        <w:pageBreakBefore w:val="0"/>
        <w:kinsoku/>
        <w:wordWrap/>
        <w:overflowPunct/>
        <w:autoSpaceDE/>
        <w:autoSpaceDN/>
        <w:bidi w:val="0"/>
        <w:adjustRightInd/>
        <w:snapToGrid/>
        <w:spacing w:line="560" w:lineRule="exact"/>
        <w:ind w:firstLine="640"/>
        <w:rPr>
          <w:rStyle w:val="16"/>
          <w:rFonts w:hint="eastAsia" w:ascii="楷体" w:hAnsi="楷体" w:eastAsia="楷体" w:cs="楷体"/>
          <w:sz w:val="32"/>
          <w:szCs w:val="32"/>
        </w:rPr>
      </w:pPr>
      <w:r>
        <w:rPr>
          <w:rStyle w:val="16"/>
          <w:rFonts w:hint="eastAsia" w:ascii="楷体" w:hAnsi="楷体" w:eastAsia="楷体" w:cs="楷体"/>
          <w:sz w:val="32"/>
          <w:szCs w:val="32"/>
        </w:rPr>
        <w:t>2.</w:t>
      </w:r>
      <w:bookmarkEnd w:id="133"/>
      <w:bookmarkEnd w:id="134"/>
      <w:r>
        <w:rPr>
          <w:rStyle w:val="16"/>
          <w:rFonts w:hint="eastAsia" w:ascii="楷体" w:hAnsi="楷体" w:eastAsia="楷体" w:cs="楷体"/>
          <w:sz w:val="32"/>
          <w:szCs w:val="32"/>
        </w:rPr>
        <w:t>5其他佐证材料</w:t>
      </w:r>
      <w:bookmarkEnd w:id="135"/>
    </w:p>
    <w:bookmarkEnd w:id="136"/>
    <w:p w14:paraId="34A51C4F">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2.5.1 绩效评价评分明细表</w:t>
      </w:r>
    </w:p>
    <w:p w14:paraId="2921BDD9">
      <w:pPr>
        <w:keepNext w:val="0"/>
        <w:keepLines w:val="0"/>
        <w:pageBreakBefore w:val="0"/>
        <w:kinsoku/>
        <w:wordWrap/>
        <w:overflowPunct/>
        <w:autoSpaceDE/>
        <w:autoSpaceDN/>
        <w:bidi w:val="0"/>
        <w:adjustRightInd/>
        <w:snapToGrid/>
        <w:spacing w:line="560" w:lineRule="exact"/>
        <w:ind w:firstLine="640"/>
        <w:rPr>
          <w:rStyle w:val="16"/>
          <w:rFonts w:hint="eastAsia" w:ascii="楷体" w:hAnsi="楷体" w:eastAsia="楷体" w:cs="楷体"/>
          <w:sz w:val="32"/>
          <w:szCs w:val="32"/>
        </w:rPr>
      </w:pPr>
      <w:bookmarkStart w:id="137" w:name="_Toc1667"/>
      <w:bookmarkStart w:id="138" w:name="_Toc11039"/>
      <w:r>
        <w:rPr>
          <w:rStyle w:val="16"/>
          <w:rFonts w:hint="eastAsia" w:ascii="楷体" w:hAnsi="楷体" w:eastAsia="楷体" w:cs="楷体"/>
          <w:sz w:val="32"/>
          <w:szCs w:val="32"/>
        </w:rPr>
        <w:t>2.6其他说明事项</w:t>
      </w:r>
      <w:bookmarkEnd w:id="137"/>
    </w:p>
    <w:bookmarkEnd w:id="138"/>
    <w:p w14:paraId="12F5D6BD">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b/>
          <w:bCs/>
          <w:sz w:val="32"/>
          <w:szCs w:val="32"/>
        </w:rPr>
      </w:pPr>
      <w:bookmarkStart w:id="139" w:name="_Toc716"/>
      <w:bookmarkStart w:id="140" w:name="_Toc479170503"/>
      <w:bookmarkStart w:id="141" w:name="_Toc480740884"/>
      <w:bookmarkStart w:id="142" w:name="_Toc19151"/>
      <w:bookmarkStart w:id="143" w:name="_Toc479169703"/>
      <w:r>
        <w:rPr>
          <w:rFonts w:hint="eastAsia" w:ascii="楷体" w:hAnsi="楷体" w:eastAsia="楷体" w:cs="楷体"/>
          <w:b/>
          <w:bCs/>
          <w:sz w:val="32"/>
          <w:szCs w:val="32"/>
        </w:rPr>
        <w:t>2.6.1关于评价责任的说明</w:t>
      </w:r>
      <w:bookmarkEnd w:id="139"/>
      <w:bookmarkEnd w:id="140"/>
      <w:bookmarkEnd w:id="141"/>
      <w:bookmarkEnd w:id="142"/>
      <w:bookmarkEnd w:id="143"/>
    </w:p>
    <w:p w14:paraId="38849213">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项目单位的责任是提供与形成本项目绩效评价报告相关的基础工作材料和项目资金财务核算资料，并对其真实性、合法性、完整性负责。我们的评价是依据《湖北省第三方机构参与预算绩效管理工作暂行办法》（鄂财绩规〔2014〕3号）进行的，选择的绩效评价程序取决于评估人员的判断，项目评价的质量受限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14:paraId="298CFCD0">
      <w:pPr>
        <w:keepNext w:val="0"/>
        <w:keepLines w:val="0"/>
        <w:pageBreakBefore w:val="0"/>
        <w:kinsoku/>
        <w:wordWrap/>
        <w:overflowPunct/>
        <w:autoSpaceDE/>
        <w:autoSpaceDN/>
        <w:bidi w:val="0"/>
        <w:adjustRightInd/>
        <w:snapToGrid/>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2.6.2提示报告使用者注意事项的说明</w:t>
      </w:r>
    </w:p>
    <w:p w14:paraId="10D0E86B">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本公司及评价人员与委托评价单位和项目实施单位之间不存在任何特殊的、需要回避的利害关系，评价人员在评价过程中恪守了职业道德规范。</w:t>
      </w:r>
    </w:p>
    <w:p w14:paraId="668FCAEE">
      <w:pPr>
        <w:keepNext w:val="0"/>
        <w:keepLines w:val="0"/>
        <w:pageBreakBefore w:val="0"/>
        <w:kinsoku/>
        <w:wordWrap/>
        <w:overflowPunct/>
        <w:autoSpaceDE/>
        <w:autoSpaceDN/>
        <w:bidi w:val="0"/>
        <w:adjustRightInd/>
        <w:snapToGrid/>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本绩效评价报告只能用于评价报告所载明的评价目的和用途，未征得委托方、相关政府部门或出具绩效评价报告的第三方机构同意，评价报告的内容不得被摘抄、引用或披露于公开媒体，法律法规规定及相关当事方另有约定的除外。</w:t>
      </w:r>
    </w:p>
    <w:p w14:paraId="2C57DD5C">
      <w:pPr>
        <w:ind w:left="0" w:leftChars="0" w:firstLine="0" w:firstLineChars="0"/>
      </w:pPr>
    </w:p>
    <w:p w14:paraId="4E6D4BF1">
      <w:pPr>
        <w:ind w:left="0" w:leftChars="0" w:firstLine="0" w:firstLineChars="0"/>
      </w:pPr>
    </w:p>
    <w:p w14:paraId="45CFECBD">
      <w:pPr>
        <w:ind w:left="0" w:leftChars="0" w:firstLine="0" w:firstLineChars="0"/>
      </w:pPr>
    </w:p>
    <w:p w14:paraId="7D01CB39">
      <w:pPr>
        <w:ind w:left="0" w:leftChars="0" w:firstLine="0" w:firstLineChars="0"/>
      </w:pPr>
    </w:p>
    <w:p w14:paraId="3C2429C9">
      <w:r>
        <w:br w:type="page"/>
      </w:r>
    </w:p>
    <w:p w14:paraId="388CC76A">
      <w:pPr>
        <w:jc w:val="center"/>
        <w:rPr>
          <w:rFonts w:hint="eastAsia" w:ascii="宋体" w:hAnsi="宋体"/>
          <w:b/>
          <w:bCs/>
          <w:sz w:val="36"/>
          <w:szCs w:val="36"/>
          <w:lang w:val="en-US" w:eastAsia="zh-CN"/>
        </w:rPr>
      </w:pPr>
      <w:r>
        <w:rPr>
          <w:rFonts w:hint="eastAsia" w:ascii="宋体" w:hAnsi="宋体"/>
          <w:b/>
          <w:bCs/>
          <w:sz w:val="44"/>
          <w:szCs w:val="44"/>
          <w:lang w:val="en-US" w:eastAsia="zh-CN"/>
        </w:rPr>
        <w:t xml:space="preserve"> </w:t>
      </w:r>
      <w:r>
        <w:rPr>
          <w:rFonts w:hint="eastAsia" w:ascii="宋体" w:hAnsi="宋体"/>
          <w:b/>
          <w:bCs/>
          <w:sz w:val="36"/>
          <w:szCs w:val="36"/>
          <w:lang w:val="en-US" w:eastAsia="zh-CN"/>
        </w:rPr>
        <w:t>2019年鄂州市自然资源和规划局</w:t>
      </w:r>
    </w:p>
    <w:p w14:paraId="693094FF">
      <w:pPr>
        <w:jc w:val="center"/>
        <w:rPr>
          <w:rFonts w:hint="eastAsia" w:ascii="黑体" w:hAnsi="黑体" w:eastAsia="黑体"/>
          <w:sz w:val="44"/>
          <w:szCs w:val="44"/>
        </w:rPr>
      </w:pPr>
      <w:r>
        <w:rPr>
          <w:rFonts w:hint="eastAsia" w:ascii="宋体" w:hAnsi="宋体"/>
          <w:b/>
          <w:bCs/>
          <w:sz w:val="36"/>
          <w:szCs w:val="36"/>
          <w:lang w:val="en-US" w:eastAsia="zh-CN"/>
        </w:rPr>
        <w:t>第三次全国土地调查工作项目</w:t>
      </w:r>
      <w:r>
        <w:rPr>
          <w:rFonts w:hint="eastAsia" w:ascii="黑体" w:hAnsi="黑体" w:eastAsia="黑体"/>
          <w:sz w:val="36"/>
          <w:szCs w:val="36"/>
        </w:rPr>
        <w:t>绩效评价报告</w:t>
      </w:r>
    </w:p>
    <w:p w14:paraId="7526F7FD">
      <w:pPr>
        <w:jc w:val="center"/>
        <w:rPr>
          <w:rFonts w:hint="eastAsia" w:ascii="黑体" w:hAnsi="黑体" w:eastAsia="黑体"/>
          <w:sz w:val="44"/>
          <w:szCs w:val="44"/>
        </w:rPr>
      </w:pPr>
    </w:p>
    <w:p w14:paraId="63D52CB9">
      <w:pPr>
        <w:jc w:val="center"/>
        <w:rPr>
          <w:rFonts w:hint="eastAsia" w:ascii="黑体" w:hAnsi="黑体" w:eastAsia="黑体"/>
          <w:sz w:val="44"/>
          <w:szCs w:val="44"/>
        </w:rPr>
      </w:pPr>
    </w:p>
    <w:p w14:paraId="4C9DE51D">
      <w:pPr>
        <w:jc w:val="center"/>
        <w:rPr>
          <w:rFonts w:ascii="黑体" w:hAnsi="黑体" w:eastAsia="黑体"/>
          <w:sz w:val="36"/>
          <w:szCs w:val="36"/>
        </w:rPr>
      </w:pPr>
      <w:r>
        <w:rPr>
          <w:rFonts w:hint="eastAsia" w:ascii="宋体" w:hAnsi="宋体"/>
          <w:sz w:val="28"/>
          <w:szCs w:val="28"/>
          <w:lang w:val="en-US" w:eastAsia="zh-CN"/>
        </w:rPr>
        <w:t xml:space="preserve"> </w:t>
      </w:r>
    </w:p>
    <w:p w14:paraId="7776DBB9">
      <w:pPr>
        <w:ind w:left="560" w:firstLine="2700" w:firstLineChars="750"/>
        <w:jc w:val="left"/>
        <w:rPr>
          <w:rFonts w:hint="eastAsia" w:ascii="黑体" w:hAnsi="黑体" w:eastAsia="黑体"/>
          <w:sz w:val="36"/>
          <w:szCs w:val="36"/>
        </w:rPr>
      </w:pPr>
    </w:p>
    <w:p w14:paraId="12FF46D2">
      <w:pPr>
        <w:ind w:left="560" w:firstLine="2700" w:firstLineChars="750"/>
        <w:jc w:val="left"/>
        <w:rPr>
          <w:rFonts w:hint="eastAsia" w:ascii="黑体" w:hAnsi="黑体" w:eastAsia="黑体"/>
          <w:sz w:val="36"/>
          <w:szCs w:val="36"/>
        </w:rPr>
      </w:pPr>
    </w:p>
    <w:p w14:paraId="491DDC09">
      <w:pPr>
        <w:ind w:left="560" w:firstLine="2700" w:firstLineChars="750"/>
        <w:jc w:val="left"/>
        <w:rPr>
          <w:rFonts w:hint="eastAsia" w:ascii="黑体" w:hAnsi="黑体" w:eastAsia="黑体"/>
          <w:sz w:val="36"/>
          <w:szCs w:val="36"/>
        </w:rPr>
      </w:pPr>
    </w:p>
    <w:p w14:paraId="423D0A71">
      <w:pPr>
        <w:ind w:left="560" w:firstLine="2700" w:firstLineChars="750"/>
        <w:jc w:val="left"/>
        <w:rPr>
          <w:rFonts w:hint="eastAsia" w:ascii="黑体" w:hAnsi="黑体" w:eastAsia="黑体"/>
          <w:sz w:val="36"/>
          <w:szCs w:val="36"/>
        </w:rPr>
      </w:pPr>
    </w:p>
    <w:p w14:paraId="1440082D">
      <w:pPr>
        <w:ind w:left="560" w:firstLine="2700" w:firstLineChars="750"/>
        <w:jc w:val="left"/>
        <w:rPr>
          <w:rFonts w:hint="eastAsia" w:ascii="黑体" w:hAnsi="黑体" w:eastAsia="黑体"/>
          <w:sz w:val="36"/>
          <w:szCs w:val="36"/>
        </w:rPr>
      </w:pPr>
    </w:p>
    <w:p w14:paraId="0B3D66C2">
      <w:pPr>
        <w:rPr>
          <w:rFonts w:hint="eastAsia" w:ascii="黑体" w:hAnsi="黑体" w:eastAsia="黑体"/>
          <w:sz w:val="32"/>
          <w:szCs w:val="32"/>
        </w:rPr>
      </w:pPr>
    </w:p>
    <w:p w14:paraId="7CC4DF17">
      <w:pPr>
        <w:ind w:left="3546" w:leftChars="608" w:hanging="1600" w:hangingChars="500"/>
        <w:jc w:val="both"/>
        <w:rPr>
          <w:rFonts w:hint="eastAsia" w:ascii="黑体" w:hAnsi="黑体" w:eastAsia="黑体"/>
          <w:sz w:val="32"/>
          <w:szCs w:val="32"/>
          <w:lang w:val="en-US" w:eastAsia="zh-CN"/>
        </w:rPr>
      </w:pPr>
      <w:r>
        <w:rPr>
          <w:rFonts w:hint="eastAsia" w:ascii="黑体" w:hAnsi="黑体" w:eastAsia="黑体"/>
          <w:sz w:val="32"/>
          <w:szCs w:val="32"/>
        </w:rPr>
        <w:t>项目名称：</w:t>
      </w:r>
      <w:r>
        <w:rPr>
          <w:rFonts w:hint="eastAsia" w:ascii="黑体" w:hAnsi="黑体" w:eastAsia="黑体"/>
          <w:sz w:val="32"/>
          <w:szCs w:val="32"/>
          <w:lang w:val="en-US" w:eastAsia="zh-CN"/>
        </w:rPr>
        <w:t>鄂州市自然资源和规划局第三次全国土地调查工作项目</w:t>
      </w:r>
    </w:p>
    <w:p w14:paraId="197BF293">
      <w:pPr>
        <w:jc w:val="left"/>
        <w:rPr>
          <w:rFonts w:hint="eastAsia" w:ascii="黑体" w:hAnsi="黑体" w:eastAsia="黑体"/>
          <w:sz w:val="32"/>
          <w:szCs w:val="32"/>
        </w:rPr>
      </w:pPr>
      <w:r>
        <w:rPr>
          <w:rFonts w:hint="eastAsia" w:ascii="黑体" w:hAnsi="黑体" w:eastAsia="黑体"/>
          <w:sz w:val="32"/>
          <w:szCs w:val="32"/>
        </w:rPr>
        <w:t xml:space="preserve">        项目单位：</w:t>
      </w:r>
      <w:r>
        <w:rPr>
          <w:rFonts w:hint="eastAsia" w:ascii="黑体" w:hAnsi="黑体" w:eastAsia="黑体"/>
          <w:sz w:val="32"/>
          <w:szCs w:val="32"/>
          <w:lang w:val="en-US" w:eastAsia="zh-CN"/>
        </w:rPr>
        <w:t>鄂州市自然资源和规划局</w:t>
      </w:r>
    </w:p>
    <w:p w14:paraId="4738927D">
      <w:pPr>
        <w:ind w:left="560" w:firstLine="1280" w:firstLineChars="400"/>
        <w:jc w:val="left"/>
        <w:rPr>
          <w:rFonts w:hint="eastAsia" w:ascii="黑体" w:hAnsi="黑体" w:eastAsia="黑体"/>
          <w:sz w:val="32"/>
          <w:szCs w:val="32"/>
        </w:rPr>
      </w:pPr>
      <w:r>
        <w:rPr>
          <w:rFonts w:hint="eastAsia" w:ascii="黑体" w:hAnsi="黑体" w:eastAsia="黑体"/>
          <w:sz w:val="32"/>
          <w:szCs w:val="32"/>
        </w:rPr>
        <w:t xml:space="preserve">       </w:t>
      </w:r>
    </w:p>
    <w:p w14:paraId="0515DDC0">
      <w:pPr>
        <w:ind w:left="560" w:firstLine="1280" w:firstLineChars="400"/>
        <w:jc w:val="left"/>
        <w:rPr>
          <w:rFonts w:hint="eastAsia" w:ascii="黑体" w:hAnsi="黑体" w:eastAsia="黑体"/>
          <w:sz w:val="32"/>
          <w:szCs w:val="32"/>
        </w:rPr>
      </w:pPr>
    </w:p>
    <w:p w14:paraId="171A437F">
      <w:pPr>
        <w:ind w:left="560" w:firstLine="1280" w:firstLineChars="400"/>
        <w:jc w:val="left"/>
        <w:rPr>
          <w:rFonts w:hint="eastAsia" w:ascii="黑体" w:hAnsi="黑体" w:eastAsia="黑体"/>
          <w:sz w:val="32"/>
          <w:szCs w:val="32"/>
        </w:rPr>
      </w:pPr>
    </w:p>
    <w:p w14:paraId="712E5865">
      <w:pPr>
        <w:ind w:left="560" w:firstLine="1280" w:firstLineChars="400"/>
        <w:jc w:val="left"/>
        <w:rPr>
          <w:rFonts w:hint="eastAsia" w:ascii="黑体" w:hAnsi="黑体" w:eastAsia="黑体"/>
          <w:sz w:val="32"/>
          <w:szCs w:val="32"/>
        </w:rPr>
      </w:pPr>
    </w:p>
    <w:p w14:paraId="049E58D7">
      <w:pPr>
        <w:ind w:left="560" w:firstLine="1280" w:firstLineChars="400"/>
        <w:jc w:val="left"/>
        <w:rPr>
          <w:rFonts w:hint="eastAsia" w:ascii="黑体" w:hAnsi="黑体" w:eastAsia="黑体"/>
          <w:sz w:val="32"/>
          <w:szCs w:val="32"/>
        </w:rPr>
      </w:pPr>
    </w:p>
    <w:p w14:paraId="08ED600C">
      <w:pPr>
        <w:ind w:left="560" w:firstLine="1280" w:firstLineChars="400"/>
        <w:jc w:val="left"/>
        <w:rPr>
          <w:rFonts w:hint="eastAsia" w:ascii="黑体" w:hAnsi="黑体" w:eastAsia="黑体"/>
          <w:sz w:val="32"/>
          <w:szCs w:val="32"/>
        </w:rPr>
      </w:pPr>
    </w:p>
    <w:p w14:paraId="51CF9CB9">
      <w:pPr>
        <w:ind w:left="560" w:firstLine="1280" w:firstLineChars="400"/>
        <w:jc w:val="left"/>
        <w:rPr>
          <w:rFonts w:hint="eastAsia" w:ascii="黑体" w:hAnsi="黑体" w:eastAsia="黑体"/>
          <w:sz w:val="32"/>
          <w:szCs w:val="32"/>
        </w:rPr>
      </w:pPr>
    </w:p>
    <w:p w14:paraId="1329E033">
      <w:pPr>
        <w:ind w:left="560" w:firstLine="1280" w:firstLineChars="400"/>
        <w:jc w:val="left"/>
        <w:rPr>
          <w:rFonts w:hint="eastAsia" w:ascii="黑体" w:hAnsi="黑体" w:eastAsia="黑体"/>
          <w:sz w:val="32"/>
          <w:szCs w:val="32"/>
        </w:rPr>
      </w:pPr>
    </w:p>
    <w:p w14:paraId="5D408136">
      <w:pPr>
        <w:widowControl/>
        <w:ind w:left="0" w:leftChars="0" w:firstLine="0" w:firstLineChars="0"/>
        <w:jc w:val="center"/>
        <w:rPr>
          <w:sz w:val="30"/>
          <w:szCs w:val="30"/>
        </w:rPr>
      </w:pPr>
      <w:r>
        <w:rPr>
          <w:rFonts w:hint="eastAsia" w:ascii="黑体" w:hAnsi="黑体" w:eastAsia="黑体"/>
          <w:sz w:val="32"/>
          <w:szCs w:val="32"/>
        </w:rPr>
        <w:t>二0二0年</w:t>
      </w:r>
      <w:r>
        <w:rPr>
          <w:rFonts w:hint="eastAsia" w:ascii="黑体" w:hAnsi="黑体" w:eastAsia="黑体"/>
          <w:sz w:val="32"/>
          <w:szCs w:val="32"/>
          <w:lang w:val="en-US" w:eastAsia="zh-CN"/>
        </w:rPr>
        <w:t>十二</w:t>
      </w:r>
      <w:r>
        <w:rPr>
          <w:rFonts w:hint="eastAsia" w:ascii="黑体" w:hAnsi="黑体" w:eastAsia="黑体"/>
          <w:sz w:val="32"/>
          <w:szCs w:val="32"/>
        </w:rPr>
        <w:t>月</w:t>
      </w:r>
    </w:p>
    <w:p w14:paraId="0CC1DE88">
      <w:pPr>
        <w:pStyle w:val="19"/>
        <w:jc w:val="center"/>
        <w:rPr>
          <w:rFonts w:hint="eastAsia" w:ascii="仿宋" w:hAnsi="仿宋" w:eastAsia="仿宋" w:cs="仿宋"/>
          <w:b/>
          <w:color w:val="auto"/>
          <w:sz w:val="32"/>
        </w:rPr>
      </w:pPr>
      <w:bookmarkStart w:id="144" w:name="_Toc7090"/>
      <w:bookmarkStart w:id="145" w:name="_Toc20524"/>
      <w:bookmarkStart w:id="146" w:name="_Toc32666"/>
      <w:r>
        <w:rPr>
          <w:rFonts w:hint="eastAsia" w:ascii="仿宋" w:hAnsi="仿宋" w:eastAsia="仿宋" w:cs="仿宋"/>
          <w:b/>
          <w:color w:val="auto"/>
          <w:sz w:val="32"/>
          <w:lang w:val="zh-CN"/>
        </w:rPr>
        <w:t>目    录</w:t>
      </w:r>
      <w:bookmarkEnd w:id="144"/>
      <w:bookmarkEnd w:id="145"/>
      <w:bookmarkEnd w:id="146"/>
    </w:p>
    <w:p w14:paraId="502FC4D6">
      <w:pPr>
        <w:pStyle w:val="8"/>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_Toc19663 </w:instrText>
      </w:r>
      <w:r>
        <w:rPr>
          <w:rFonts w:hint="eastAsia" w:ascii="仿宋" w:hAnsi="仿宋" w:eastAsia="仿宋" w:cs="仿宋"/>
          <w:sz w:val="28"/>
          <w:szCs w:val="28"/>
        </w:rPr>
        <w:fldChar w:fldCharType="separate"/>
      </w:r>
      <w:r>
        <w:rPr>
          <w:rFonts w:hint="eastAsia"/>
          <w:sz w:val="28"/>
          <w:szCs w:val="28"/>
        </w:rPr>
        <w:t>摘　　　要</w:t>
      </w:r>
      <w:r>
        <w:rPr>
          <w:sz w:val="28"/>
          <w:szCs w:val="28"/>
        </w:rPr>
        <w:tab/>
      </w:r>
      <w:r>
        <w:rPr>
          <w:sz w:val="28"/>
          <w:szCs w:val="28"/>
        </w:rPr>
        <w:fldChar w:fldCharType="begin"/>
      </w:r>
      <w:r>
        <w:rPr>
          <w:sz w:val="28"/>
          <w:szCs w:val="28"/>
        </w:rPr>
        <w:instrText xml:space="preserve"> PAGEREF _Toc19663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14:paraId="7A236260">
      <w:pPr>
        <w:pStyle w:val="8"/>
        <w:tabs>
          <w:tab w:val="right" w:leader="dot" w:pos="8306"/>
        </w:tabs>
        <w:rPr>
          <w:sz w:val="28"/>
          <w:szCs w:val="28"/>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_Toc10179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一、项目基本情况</w:t>
      </w:r>
      <w:r>
        <w:rPr>
          <w:sz w:val="28"/>
          <w:szCs w:val="28"/>
        </w:rPr>
        <w:tab/>
      </w:r>
      <w:r>
        <w:rPr>
          <w:rFonts w:hint="eastAsia"/>
          <w:sz w:val="28"/>
          <w:szCs w:val="28"/>
          <w:lang w:val="en-US" w:eastAsia="zh-CN"/>
        </w:rPr>
        <w:t>4</w:t>
      </w:r>
      <w:r>
        <w:rPr>
          <w:rFonts w:hint="eastAsia" w:ascii="仿宋" w:hAnsi="仿宋" w:eastAsia="仿宋" w:cs="仿宋"/>
          <w:bCs/>
          <w:sz w:val="28"/>
          <w:szCs w:val="28"/>
          <w:lang w:val="zh-CN"/>
        </w:rPr>
        <w:fldChar w:fldCharType="end"/>
      </w:r>
    </w:p>
    <w:p w14:paraId="14E2193C">
      <w:pPr>
        <w:pStyle w:val="9"/>
        <w:tabs>
          <w:tab w:val="right" w:leader="dot" w:pos="8306"/>
        </w:tabs>
        <w:rPr>
          <w:sz w:val="28"/>
          <w:szCs w:val="28"/>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_Toc20885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（一）项目概况</w:t>
      </w:r>
      <w:r>
        <w:rPr>
          <w:sz w:val="28"/>
          <w:szCs w:val="28"/>
        </w:rPr>
        <w:tab/>
      </w:r>
      <w:r>
        <w:rPr>
          <w:rFonts w:hint="eastAsia"/>
          <w:sz w:val="28"/>
          <w:szCs w:val="28"/>
          <w:lang w:val="en-US" w:eastAsia="zh-CN"/>
        </w:rPr>
        <w:t>4</w:t>
      </w:r>
      <w:r>
        <w:rPr>
          <w:rFonts w:hint="eastAsia" w:ascii="仿宋" w:hAnsi="仿宋" w:eastAsia="仿宋" w:cs="仿宋"/>
          <w:bCs/>
          <w:sz w:val="28"/>
          <w:szCs w:val="28"/>
          <w:lang w:val="zh-CN"/>
        </w:rPr>
        <w:fldChar w:fldCharType="end"/>
      </w:r>
    </w:p>
    <w:p w14:paraId="7978B088">
      <w:pPr>
        <w:pStyle w:val="5"/>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_Toc15555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1、项目立项背景</w:t>
      </w:r>
      <w:r>
        <w:rPr>
          <w:sz w:val="28"/>
          <w:szCs w:val="28"/>
        </w:rPr>
        <w:tab/>
      </w:r>
      <w:r>
        <w:rPr>
          <w:rFonts w:hint="eastAsia"/>
          <w:sz w:val="28"/>
          <w:szCs w:val="28"/>
          <w:lang w:val="en-US" w:eastAsia="zh-CN"/>
        </w:rPr>
        <w:t>4</w:t>
      </w:r>
      <w:r>
        <w:rPr>
          <w:rFonts w:hint="eastAsia" w:ascii="仿宋" w:hAnsi="仿宋" w:eastAsia="仿宋" w:cs="仿宋"/>
          <w:bCs/>
          <w:sz w:val="28"/>
          <w:szCs w:val="28"/>
          <w:lang w:val="zh-CN"/>
        </w:rPr>
        <w:fldChar w:fldCharType="end"/>
      </w:r>
    </w:p>
    <w:p w14:paraId="5935835C">
      <w:pPr>
        <w:pStyle w:val="5"/>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_Toc14137 </w:instrText>
      </w:r>
      <w:r>
        <w:rPr>
          <w:rFonts w:hint="eastAsia" w:ascii="仿宋" w:hAnsi="仿宋" w:eastAsia="仿宋" w:cs="仿宋"/>
          <w:bCs/>
          <w:sz w:val="28"/>
          <w:szCs w:val="28"/>
          <w:lang w:val="zh-CN"/>
        </w:rPr>
        <w:fldChar w:fldCharType="separate"/>
      </w:r>
      <w:r>
        <w:rPr>
          <w:rFonts w:hint="eastAsia" w:ascii="仿宋" w:hAnsi="仿宋" w:eastAsia="仿宋" w:cs="仿宋"/>
          <w:bCs/>
          <w:sz w:val="28"/>
          <w:szCs w:val="28"/>
          <w:lang w:val="en-US" w:eastAsia="zh-CN"/>
        </w:rPr>
        <w:t>2</w:t>
      </w:r>
      <w:r>
        <w:rPr>
          <w:rFonts w:hint="eastAsia" w:ascii="仿宋" w:hAnsi="仿宋" w:eastAsia="仿宋" w:cs="仿宋"/>
          <w:sz w:val="28"/>
          <w:szCs w:val="28"/>
          <w:lang w:val="en-US" w:eastAsia="zh-CN"/>
        </w:rPr>
        <w:t>、项目实施情况</w:t>
      </w:r>
      <w:r>
        <w:rPr>
          <w:sz w:val="28"/>
          <w:szCs w:val="28"/>
        </w:rPr>
        <w:tab/>
      </w:r>
      <w:r>
        <w:rPr>
          <w:sz w:val="28"/>
          <w:szCs w:val="28"/>
        </w:rPr>
        <w:fldChar w:fldCharType="begin"/>
      </w:r>
      <w:r>
        <w:rPr>
          <w:sz w:val="28"/>
          <w:szCs w:val="28"/>
        </w:rPr>
        <w:instrText xml:space="preserve"> PAGEREF _Toc14137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z w:val="28"/>
          <w:szCs w:val="28"/>
          <w:lang w:val="zh-CN"/>
        </w:rPr>
        <w:fldChar w:fldCharType="end"/>
      </w:r>
    </w:p>
    <w:p w14:paraId="51F71C97">
      <w:pPr>
        <w:pStyle w:val="5"/>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_Toc29186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3、项目经费来源和使用情况</w:t>
      </w:r>
      <w:r>
        <w:rPr>
          <w:sz w:val="28"/>
          <w:szCs w:val="28"/>
        </w:rPr>
        <w:tab/>
      </w:r>
      <w:r>
        <w:rPr>
          <w:rFonts w:hint="eastAsia"/>
          <w:sz w:val="28"/>
          <w:szCs w:val="28"/>
          <w:lang w:val="en-US" w:eastAsia="zh-CN"/>
        </w:rPr>
        <w:t>5</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-6</w:t>
      </w:r>
    </w:p>
    <w:p w14:paraId="66120C51">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_Toc26776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eastAsia="zh-CN"/>
        </w:rPr>
        <w:t>（二）项目</w:t>
      </w:r>
      <w:r>
        <w:rPr>
          <w:rFonts w:hint="eastAsia" w:ascii="仿宋" w:hAnsi="仿宋" w:eastAsia="仿宋" w:cs="仿宋"/>
          <w:sz w:val="28"/>
          <w:szCs w:val="28"/>
        </w:rPr>
        <w:t>绩效评价</w:t>
      </w:r>
      <w:r>
        <w:rPr>
          <w:rFonts w:hint="eastAsia" w:ascii="仿宋" w:hAnsi="仿宋" w:eastAsia="仿宋" w:cs="仿宋"/>
          <w:sz w:val="28"/>
          <w:szCs w:val="28"/>
          <w:lang w:eastAsia="zh-CN"/>
        </w:rPr>
        <w:t>目标与</w:t>
      </w:r>
      <w:r>
        <w:rPr>
          <w:rFonts w:hint="eastAsia" w:ascii="仿宋" w:hAnsi="仿宋" w:eastAsia="仿宋" w:cs="仿宋"/>
          <w:sz w:val="28"/>
          <w:szCs w:val="28"/>
        </w:rPr>
        <w:t>内容</w:t>
      </w:r>
      <w:r>
        <w:rPr>
          <w:sz w:val="28"/>
          <w:szCs w:val="28"/>
        </w:rPr>
        <w:tab/>
      </w:r>
      <w:r>
        <w:rPr>
          <w:rFonts w:hint="eastAsia"/>
          <w:sz w:val="28"/>
          <w:szCs w:val="28"/>
          <w:lang w:val="en-US" w:eastAsia="zh-CN"/>
        </w:rPr>
        <w:t>6</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-7</w:t>
      </w:r>
    </w:p>
    <w:p w14:paraId="30CA2CC0">
      <w:pPr>
        <w:pStyle w:val="8"/>
        <w:tabs>
          <w:tab w:val="right" w:leader="dot" w:pos="8306"/>
        </w:tabs>
        <w:rPr>
          <w:rFonts w:hint="eastAsia"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_Toc24502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二、绩效评价工作情况</w:t>
      </w:r>
      <w:r>
        <w:rPr>
          <w:sz w:val="28"/>
          <w:szCs w:val="28"/>
        </w:rPr>
        <w:tab/>
      </w:r>
      <w:r>
        <w:rPr>
          <w:rFonts w:hint="eastAsia"/>
          <w:sz w:val="28"/>
          <w:szCs w:val="28"/>
          <w:lang w:val="en-US" w:eastAsia="zh-CN"/>
        </w:rPr>
        <w:t>7</w:t>
      </w:r>
      <w:r>
        <w:rPr>
          <w:rFonts w:hint="eastAsia" w:ascii="仿宋" w:hAnsi="仿宋" w:eastAsia="仿宋" w:cs="仿宋"/>
          <w:bCs/>
          <w:sz w:val="28"/>
          <w:szCs w:val="28"/>
          <w:lang w:val="zh-CN"/>
        </w:rPr>
        <w:fldChar w:fldCharType="end"/>
      </w:r>
    </w:p>
    <w:p w14:paraId="4176D028">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_Toc15022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（一）绩效评价目的和原则</w:t>
      </w:r>
      <w:r>
        <w:rPr>
          <w:sz w:val="28"/>
          <w:szCs w:val="28"/>
        </w:rPr>
        <w:tab/>
      </w:r>
      <w:r>
        <w:rPr>
          <w:rFonts w:hint="eastAsia"/>
          <w:sz w:val="28"/>
          <w:szCs w:val="28"/>
          <w:lang w:val="en-US" w:eastAsia="zh-CN"/>
        </w:rPr>
        <w:t>7</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-8</w:t>
      </w:r>
    </w:p>
    <w:p w14:paraId="0EF5C0A2">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_Toc13826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）绩效评价</w:t>
      </w:r>
      <w:r>
        <w:rPr>
          <w:rFonts w:hint="eastAsia" w:ascii="仿宋" w:hAnsi="仿宋" w:eastAsia="仿宋" w:cs="仿宋"/>
          <w:sz w:val="28"/>
          <w:szCs w:val="28"/>
          <w:lang w:eastAsia="zh-CN"/>
        </w:rPr>
        <w:t>工作</w:t>
      </w:r>
      <w:r>
        <w:rPr>
          <w:rFonts w:hint="eastAsia" w:ascii="仿宋" w:hAnsi="仿宋" w:eastAsia="仿宋" w:cs="仿宋"/>
          <w:sz w:val="28"/>
          <w:szCs w:val="28"/>
        </w:rPr>
        <w:t>过程</w:t>
      </w:r>
      <w:r>
        <w:rPr>
          <w:sz w:val="28"/>
          <w:szCs w:val="28"/>
        </w:rPr>
        <w:tab/>
      </w:r>
      <w:r>
        <w:rPr>
          <w:rFonts w:hint="eastAsia"/>
          <w:sz w:val="28"/>
          <w:szCs w:val="28"/>
          <w:lang w:val="en-US" w:eastAsia="zh-CN"/>
        </w:rPr>
        <w:t>8</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-10</w:t>
      </w:r>
    </w:p>
    <w:p w14:paraId="32031C57">
      <w:pPr>
        <w:pStyle w:val="9"/>
        <w:tabs>
          <w:tab w:val="right" w:leader="dot" w:pos="8306"/>
        </w:tabs>
        <w:rPr>
          <w:rFonts w:hint="eastAsia"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_Toc30659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（三）绩效评价</w:t>
      </w:r>
      <w:r>
        <w:rPr>
          <w:rFonts w:hint="eastAsia" w:ascii="仿宋" w:hAnsi="仿宋" w:eastAsia="仿宋" w:cs="仿宋"/>
          <w:sz w:val="28"/>
          <w:szCs w:val="28"/>
          <w:lang w:eastAsia="zh-CN"/>
        </w:rPr>
        <w:t>框架</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0</w:t>
      </w:r>
    </w:p>
    <w:p w14:paraId="3C681566">
      <w:pPr>
        <w:pStyle w:val="5"/>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_Toc19957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1、绩效评价</w:t>
      </w:r>
      <w:r>
        <w:rPr>
          <w:rFonts w:hint="eastAsia" w:ascii="仿宋" w:hAnsi="仿宋" w:eastAsia="仿宋" w:cs="仿宋"/>
          <w:sz w:val="28"/>
          <w:szCs w:val="28"/>
          <w:lang w:eastAsia="zh-CN"/>
        </w:rPr>
        <w:t>框架</w:t>
      </w:r>
      <w:r>
        <w:rPr>
          <w:rFonts w:hint="eastAsia" w:ascii="仿宋" w:hAnsi="仿宋" w:eastAsia="仿宋" w:cs="仿宋"/>
          <w:sz w:val="28"/>
          <w:szCs w:val="28"/>
        </w:rPr>
        <w:t>的设计原则</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0-11</w:t>
      </w:r>
    </w:p>
    <w:p w14:paraId="57878856">
      <w:pPr>
        <w:pStyle w:val="5"/>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_Toc5357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2、绩效评价</w:t>
      </w:r>
      <w:r>
        <w:rPr>
          <w:rFonts w:hint="eastAsia" w:ascii="仿宋" w:hAnsi="仿宋" w:eastAsia="仿宋" w:cs="仿宋"/>
          <w:sz w:val="28"/>
          <w:szCs w:val="28"/>
          <w:lang w:eastAsia="zh-CN"/>
        </w:rPr>
        <w:t>框架</w:t>
      </w:r>
      <w:r>
        <w:rPr>
          <w:rFonts w:hint="eastAsia" w:ascii="仿宋" w:hAnsi="仿宋" w:eastAsia="仿宋" w:cs="仿宋"/>
          <w:sz w:val="28"/>
          <w:szCs w:val="28"/>
        </w:rPr>
        <w:t>的设计方法</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1-12</w:t>
      </w:r>
    </w:p>
    <w:p w14:paraId="6CA0D0F5">
      <w:pPr>
        <w:pStyle w:val="5"/>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_Toc20364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3、评价依据</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3</w:t>
      </w:r>
    </w:p>
    <w:p w14:paraId="1B2DC5F2">
      <w:pPr>
        <w:pStyle w:val="5"/>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_Toc27785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4</w:t>
      </w:r>
      <w:r>
        <w:rPr>
          <w:rFonts w:hint="eastAsia" w:ascii="仿宋" w:hAnsi="仿宋" w:eastAsia="仿宋" w:cs="仿宋"/>
          <w:sz w:val="28"/>
          <w:szCs w:val="28"/>
        </w:rPr>
        <w:t>、绩效评价指标体系</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3-14</w:t>
      </w:r>
    </w:p>
    <w:p w14:paraId="6B0B3E54">
      <w:pPr>
        <w:pStyle w:val="5"/>
        <w:tabs>
          <w:tab w:val="right" w:leader="dot" w:pos="8306"/>
        </w:tabs>
        <w:rPr>
          <w:sz w:val="28"/>
          <w:szCs w:val="28"/>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_Toc31930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5、</w:t>
      </w:r>
      <w:r>
        <w:rPr>
          <w:rFonts w:hint="eastAsia" w:ascii="仿宋" w:hAnsi="仿宋" w:eastAsia="仿宋" w:cs="仿宋"/>
          <w:sz w:val="28"/>
          <w:szCs w:val="28"/>
        </w:rPr>
        <w:t>绩效评价方法</w:t>
      </w:r>
      <w:r>
        <w:rPr>
          <w:sz w:val="28"/>
          <w:szCs w:val="28"/>
        </w:rPr>
        <w:tab/>
      </w:r>
      <w:r>
        <w:rPr>
          <w:sz w:val="28"/>
          <w:szCs w:val="28"/>
        </w:rPr>
        <w:fldChar w:fldCharType="begin"/>
      </w:r>
      <w:r>
        <w:rPr>
          <w:sz w:val="28"/>
          <w:szCs w:val="28"/>
        </w:rPr>
        <w:instrText xml:space="preserve"> PAGEREF _Toc31930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bCs/>
          <w:sz w:val="28"/>
          <w:szCs w:val="28"/>
          <w:lang w:val="zh-CN"/>
        </w:rPr>
        <w:fldChar w:fldCharType="end"/>
      </w:r>
    </w:p>
    <w:p w14:paraId="13653C02">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_Toc28060 </w:instrText>
      </w:r>
      <w:r>
        <w:rPr>
          <w:rFonts w:hint="eastAsia" w:ascii="仿宋" w:hAnsi="仿宋" w:eastAsia="仿宋" w:cs="仿宋"/>
          <w:bCs/>
          <w:sz w:val="28"/>
          <w:szCs w:val="28"/>
          <w:lang w:val="zh-CN"/>
        </w:rPr>
        <w:fldChar w:fldCharType="separate"/>
      </w:r>
      <w:r>
        <w:rPr>
          <w:rFonts w:hint="eastAsia" w:ascii="仿宋" w:hAnsi="仿宋" w:cs="仿宋"/>
          <w:sz w:val="28"/>
          <w:szCs w:val="28"/>
          <w:highlight w:val="none"/>
          <w:lang w:eastAsia="zh-CN"/>
        </w:rPr>
        <w:t>（四）</w:t>
      </w:r>
      <w:r>
        <w:rPr>
          <w:rFonts w:hint="eastAsia" w:ascii="仿宋" w:hAnsi="仿宋" w:eastAsia="仿宋" w:cs="仿宋"/>
          <w:sz w:val="28"/>
          <w:szCs w:val="28"/>
          <w:highlight w:val="none"/>
          <w:lang w:eastAsia="zh-CN"/>
        </w:rPr>
        <w:t>证据收集方式</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4-15</w:t>
      </w:r>
    </w:p>
    <w:p w14:paraId="0AFF8E62">
      <w:pPr>
        <w:pStyle w:val="8"/>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_Toc29126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三、</w:t>
      </w:r>
      <w:r>
        <w:rPr>
          <w:rFonts w:hint="eastAsia" w:ascii="仿宋" w:hAnsi="仿宋" w:eastAsia="仿宋" w:cs="仿宋"/>
          <w:sz w:val="28"/>
          <w:szCs w:val="28"/>
          <w:highlight w:val="none"/>
        </w:rPr>
        <w:t>绩效</w:t>
      </w:r>
      <w:r>
        <w:rPr>
          <w:rFonts w:hint="eastAsia" w:ascii="仿宋" w:hAnsi="仿宋" w:eastAsia="仿宋" w:cs="仿宋"/>
          <w:sz w:val="28"/>
          <w:szCs w:val="28"/>
          <w:highlight w:val="none"/>
          <w:lang w:eastAsia="zh-CN"/>
        </w:rPr>
        <w:t>评价</w:t>
      </w:r>
      <w:r>
        <w:rPr>
          <w:rFonts w:hint="eastAsia" w:ascii="仿宋" w:hAnsi="仿宋" w:eastAsia="仿宋" w:cs="仿宋"/>
          <w:sz w:val="28"/>
          <w:szCs w:val="28"/>
          <w:highlight w:val="none"/>
        </w:rPr>
        <w:t>分析</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5</w:t>
      </w:r>
    </w:p>
    <w:p w14:paraId="358D3282">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_Toc28486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eastAsia="zh-CN"/>
        </w:rPr>
        <w:t>（一）投入</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5-17</w:t>
      </w:r>
    </w:p>
    <w:p w14:paraId="4AFA61AE">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_Toc28029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（二）过程</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7-19</w:t>
      </w:r>
    </w:p>
    <w:p w14:paraId="01CBA3AF">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_Toc4258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（三）产出</w:t>
      </w:r>
      <w:r>
        <w:rPr>
          <w:sz w:val="28"/>
          <w:szCs w:val="28"/>
        </w:rPr>
        <w:tab/>
      </w:r>
      <w:r>
        <w:rPr>
          <w:rFonts w:hint="eastAsia"/>
          <w:sz w:val="28"/>
          <w:szCs w:val="28"/>
          <w:lang w:val="en-US" w:eastAsia="zh-CN"/>
        </w:rPr>
        <w:t>1</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9-20</w:t>
      </w:r>
    </w:p>
    <w:p w14:paraId="531E8049">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_Toc2055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（四） 效果</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0</w:t>
      </w:r>
    </w:p>
    <w:p w14:paraId="59422679">
      <w:pPr>
        <w:pStyle w:val="8"/>
        <w:tabs>
          <w:tab w:val="right" w:leader="dot" w:pos="8306"/>
        </w:tabs>
        <w:rPr>
          <w:rFonts w:hint="eastAsia"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_Toc4296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四、评价结论</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0</w:t>
      </w:r>
    </w:p>
    <w:p w14:paraId="06556968">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_Toc13672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1、综合评分结果</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0-21</w:t>
      </w:r>
    </w:p>
    <w:p w14:paraId="5CE2E2D5">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_Toc10194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2</w:t>
      </w:r>
      <w:r>
        <w:rPr>
          <w:rFonts w:hint="eastAsia" w:ascii="仿宋" w:hAnsi="仿宋" w:eastAsia="仿宋" w:cs="仿宋"/>
          <w:sz w:val="28"/>
          <w:szCs w:val="28"/>
        </w:rPr>
        <w:t>、综合评价结论</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1</w:t>
      </w:r>
    </w:p>
    <w:p w14:paraId="00BBEA47">
      <w:pPr>
        <w:pStyle w:val="8"/>
        <w:tabs>
          <w:tab w:val="right" w:leader="dot" w:pos="8306"/>
        </w:tabs>
        <w:rPr>
          <w:rFonts w:hint="eastAsia"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_Toc6378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eastAsia="zh-CN"/>
        </w:rPr>
        <w:t>五、主要经验及做法、</w:t>
      </w:r>
      <w:r>
        <w:rPr>
          <w:rFonts w:hint="eastAsia" w:ascii="仿宋" w:hAnsi="仿宋" w:eastAsia="仿宋" w:cs="仿宋"/>
          <w:sz w:val="28"/>
          <w:szCs w:val="28"/>
        </w:rPr>
        <w:t>存在的问题</w:t>
      </w:r>
      <w:r>
        <w:rPr>
          <w:rFonts w:hint="eastAsia" w:ascii="仿宋" w:hAnsi="仿宋" w:eastAsia="仿宋" w:cs="仿宋"/>
          <w:sz w:val="28"/>
          <w:szCs w:val="28"/>
          <w:lang w:eastAsia="zh-CN"/>
        </w:rPr>
        <w:t>和建议</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1</w:t>
      </w:r>
    </w:p>
    <w:p w14:paraId="2526DD0A">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_Toc28942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（一）主要经验及做法</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1-22</w:t>
      </w:r>
    </w:p>
    <w:p w14:paraId="0D7F1E4B">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_Toc6411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）存在的问题</w:t>
      </w:r>
      <w:r>
        <w:rPr>
          <w:sz w:val="28"/>
          <w:szCs w:val="28"/>
        </w:rPr>
        <w:tab/>
      </w:r>
      <w:r>
        <w:rPr>
          <w:rFonts w:hint="eastAsia"/>
          <w:sz w:val="28"/>
          <w:szCs w:val="28"/>
          <w:lang w:val="en-US" w:eastAsia="zh-CN"/>
        </w:rPr>
        <w:t>23</w:t>
      </w:r>
      <w:r>
        <w:rPr>
          <w:rFonts w:hint="eastAsia" w:ascii="仿宋" w:hAnsi="仿宋" w:eastAsia="仿宋" w:cs="仿宋"/>
          <w:bCs/>
          <w:sz w:val="28"/>
          <w:szCs w:val="28"/>
          <w:lang w:val="zh-CN"/>
        </w:rPr>
        <w:fldChar w:fldCharType="end"/>
      </w:r>
    </w:p>
    <w:p w14:paraId="0D459A72">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_Toc14281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（三）建议</w:t>
      </w:r>
      <w:r>
        <w:rPr>
          <w:sz w:val="28"/>
          <w:szCs w:val="28"/>
        </w:rPr>
        <w:tab/>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23</w:t>
      </w:r>
    </w:p>
    <w:p w14:paraId="39CECC0B">
      <w:pPr>
        <w:pStyle w:val="8"/>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_Toc24481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sz w:val="28"/>
          <w:szCs w:val="28"/>
          <w:lang w:eastAsia="zh-CN"/>
        </w:rPr>
        <w:t>其他说明事项</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3-24</w:t>
      </w:r>
    </w:p>
    <w:p w14:paraId="591D2D88">
      <w:pPr>
        <w:pStyle w:val="8"/>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_Toc6378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eastAsia="zh-CN"/>
        </w:rPr>
        <w:t>七、附件</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5-35</w:t>
      </w:r>
    </w:p>
    <w:p w14:paraId="4CDB322A">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_Toc28942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（一）绩效评价指标体系</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5-27</w:t>
      </w:r>
    </w:p>
    <w:p w14:paraId="747CEEAD">
      <w:pPr>
        <w:pStyle w:val="9"/>
        <w:tabs>
          <w:tab w:val="right" w:leader="dot" w:pos="8306"/>
        </w:tabs>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_Toc6411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绩效评价指标评分表</w:t>
      </w:r>
      <w:r>
        <w:rPr>
          <w:sz w:val="28"/>
          <w:szCs w:val="28"/>
        </w:rPr>
        <w:tab/>
      </w:r>
      <w:r>
        <w:rPr>
          <w:rFonts w:hint="eastAsia"/>
          <w:sz w:val="28"/>
          <w:szCs w:val="28"/>
          <w:lang w:val="en-US" w:eastAsia="zh-CN"/>
        </w:rPr>
        <w:t>2</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8-30</w:t>
      </w:r>
    </w:p>
    <w:p w14:paraId="131AE8BC">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Cs/>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_Toc6411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w:t>
      </w:r>
      <w:r>
        <w:rPr>
          <w:rFonts w:hint="eastAsia" w:ascii="仿宋" w:hAnsi="仿宋" w:eastAsia="仿宋" w:cs="仿宋"/>
          <w:sz w:val="28"/>
          <w:szCs w:val="28"/>
          <w:lang w:eastAsia="zh-CN"/>
        </w:rPr>
        <w:t>项目资金来源、支出汇总表</w:t>
      </w:r>
      <w:r>
        <w:rPr>
          <w:sz w:val="28"/>
          <w:szCs w:val="28"/>
        </w:rPr>
        <w:tab/>
      </w:r>
      <w:r>
        <w:rPr>
          <w:rFonts w:hint="eastAsia"/>
          <w:sz w:val="28"/>
          <w:szCs w:val="28"/>
          <w:lang w:val="en-US" w:eastAsia="zh-CN"/>
        </w:rPr>
        <w:t>3</w:t>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1-32</w:t>
      </w:r>
    </w:p>
    <w:p w14:paraId="15E74F18">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_Toc14281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（四）调查问卷</w:t>
      </w:r>
      <w:r>
        <w:rPr>
          <w:sz w:val="28"/>
          <w:szCs w:val="28"/>
        </w:rPr>
        <w:tab/>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33-34</w:t>
      </w:r>
    </w:p>
    <w:p w14:paraId="487FC0F0">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default" w:eastAsia="仿宋"/>
          <w:sz w:val="28"/>
          <w:szCs w:val="28"/>
          <w:lang w:val="en-US" w:eastAsia="zh-CN"/>
        </w:rPr>
      </w:pPr>
      <w:r>
        <w:rPr>
          <w:rFonts w:hint="eastAsia" w:ascii="仿宋" w:hAnsi="仿宋" w:eastAsia="仿宋" w:cs="仿宋"/>
          <w:bCs/>
          <w:sz w:val="28"/>
          <w:szCs w:val="28"/>
          <w:lang w:val="zh-CN"/>
        </w:rPr>
        <w:fldChar w:fldCharType="begin"/>
      </w:r>
      <w:r>
        <w:rPr>
          <w:rFonts w:hint="eastAsia" w:ascii="仿宋" w:hAnsi="仿宋" w:eastAsia="仿宋" w:cs="仿宋"/>
          <w:bCs/>
          <w:sz w:val="28"/>
          <w:szCs w:val="28"/>
          <w:lang w:val="zh-CN"/>
        </w:rPr>
        <w:instrText xml:space="preserve"> HYPERLINK \l _Toc14281 </w:instrText>
      </w:r>
      <w:r>
        <w:rPr>
          <w:rFonts w:hint="eastAsia" w:ascii="仿宋" w:hAnsi="仿宋" w:eastAsia="仿宋" w:cs="仿宋"/>
          <w:bCs/>
          <w:sz w:val="28"/>
          <w:szCs w:val="28"/>
          <w:lang w:val="zh-CN"/>
        </w:rPr>
        <w:fldChar w:fldCharType="separate"/>
      </w:r>
      <w:r>
        <w:rPr>
          <w:rFonts w:hint="eastAsia" w:ascii="仿宋" w:hAnsi="仿宋" w:eastAsia="仿宋" w:cs="仿宋"/>
          <w:sz w:val="28"/>
          <w:szCs w:val="28"/>
          <w:lang w:val="en-US" w:eastAsia="zh-CN"/>
        </w:rPr>
        <w:t>（五）目标完成情况对比表</w:t>
      </w:r>
      <w:r>
        <w:rPr>
          <w:sz w:val="28"/>
          <w:szCs w:val="28"/>
        </w:rPr>
        <w:tab/>
      </w:r>
      <w:r>
        <w:rPr>
          <w:rFonts w:hint="eastAsia" w:ascii="仿宋" w:hAnsi="仿宋" w:eastAsia="仿宋" w:cs="仿宋"/>
          <w:bCs/>
          <w:sz w:val="28"/>
          <w:szCs w:val="28"/>
          <w:lang w:val="zh-CN"/>
        </w:rPr>
        <w:fldChar w:fldCharType="end"/>
      </w:r>
      <w:r>
        <w:rPr>
          <w:rFonts w:hint="eastAsia" w:ascii="仿宋" w:hAnsi="仿宋" w:eastAsia="仿宋" w:cs="仿宋"/>
          <w:bCs/>
          <w:sz w:val="28"/>
          <w:szCs w:val="28"/>
          <w:lang w:val="en-US" w:eastAsia="zh-CN"/>
        </w:rPr>
        <w:t>35</w:t>
      </w:r>
    </w:p>
    <w:p w14:paraId="3631317B">
      <w:pPr>
        <w:spacing w:line="520" w:lineRule="exact"/>
        <w:rPr>
          <w:rFonts w:hint="eastAsia"/>
        </w:rPr>
      </w:pPr>
    </w:p>
    <w:p w14:paraId="0B81E72B">
      <w:pPr>
        <w:spacing w:line="520" w:lineRule="exact"/>
        <w:rPr>
          <w:rFonts w:hint="eastAsia" w:eastAsia="宋体"/>
          <w:lang w:val="en-US" w:eastAsia="zh-CN"/>
        </w:rPr>
        <w:sectPr>
          <w:footerReference r:id="rId20" w:type="first"/>
          <w:headerReference r:id="rId18" w:type="default"/>
          <w:footerReference r:id="rId1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lang w:val="en-US" w:eastAsia="zh-CN"/>
        </w:rPr>
        <w:t xml:space="preserve"> </w:t>
      </w:r>
    </w:p>
    <w:p w14:paraId="3EEB7F02">
      <w:pPr>
        <w:pStyle w:val="2"/>
        <w:jc w:val="center"/>
      </w:pPr>
      <w:bookmarkStart w:id="147" w:name="_Toc19663"/>
      <w:r>
        <w:rPr>
          <w:rFonts w:hint="eastAsia"/>
        </w:rPr>
        <w:t>摘　　　要</w:t>
      </w:r>
      <w:bookmarkEnd w:id="147"/>
    </w:p>
    <w:p w14:paraId="42288B85">
      <w:pPr>
        <w:spacing w:line="360" w:lineRule="auto"/>
        <w:ind w:firstLine="630" w:firstLineChars="200"/>
        <w:contextualSpacing/>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˙概述</w:t>
      </w:r>
    </w:p>
    <w:p w14:paraId="2FF698E0">
      <w:pPr>
        <w:spacing w:line="360" w:lineRule="auto"/>
        <w:ind w:firstLine="630" w:firstLineChars="200"/>
        <w:contextualSpacing/>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三次全国土地调查工作是一项重大的国情国力调查，为了全面查清最新全国土地利用状况，掌握真实的土地基础数据，并对调查成果实行信息化网络化管理，建全并完善土地调查、监测、统计和登记制度，实现土地资源信息社会化服务，满足经济社会发展、土地宏观调控及国土资源管理的需要。为贯彻落实《国土资源“十三五”规划纲要》文件中对第三次全国土地调查工作的要求，根据湖北省国土资源厅《关于做好第三次全国土地调查工作的通知》、《第三次全国土地调查总体方案》（国土调查办发[2018]1号），开展第三次土地调查，对于推进生态文明建设，支撑自然资源管理制度建设，夯实自然资源和不动产统一登记基础，贯彻最严格的耕地保护制度和最严格的节约用地制度，满足国土资源管理精准化需求，促进经济社会可持续发展等具有重要意义。</w:t>
      </w:r>
    </w:p>
    <w:p w14:paraId="113D9111">
      <w:pPr>
        <w:spacing w:line="360" w:lineRule="auto"/>
        <w:ind w:firstLine="630" w:firstLineChars="200"/>
        <w:contextualSpacing/>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为贯彻落实财政部和省市政府关于预算绩效管理的工作要求，全面推进预算绩效管理，强化绩效意识，提高财政资金使用效益，根据《中华人民共和国预算法》、《湖北省人民代表大会常务委员会关于进一步推进预算绩效管理的决定》、《鄂州市财政局关于开展2018年度市级财政支出重点绩效评价的通知》规定，鄂州市财政局研究确定了2019年度第三次土地调查计划，委托湖北诚达信会计师事务有限公司对鄂州市自然资源和规划局第三次全国土地调查工作项目进行绩效评价工作。</w:t>
      </w:r>
    </w:p>
    <w:p w14:paraId="124459C8">
      <w:pPr>
        <w:spacing w:line="360" w:lineRule="auto"/>
        <w:ind w:firstLine="630" w:firstLineChars="200"/>
        <w:contextualSpacing/>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˙评价结论</w:t>
      </w:r>
    </w:p>
    <w:p w14:paraId="77424704">
      <w:pPr>
        <w:spacing w:line="360" w:lineRule="auto"/>
        <w:ind w:firstLine="630" w:firstLineChars="200"/>
        <w:contextualSpacing/>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一、评分结果</w:t>
      </w:r>
    </w:p>
    <w:tbl>
      <w:tblPr>
        <w:tblStyle w:val="11"/>
        <w:tblW w:w="7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53"/>
        <w:gridCol w:w="1740"/>
        <w:gridCol w:w="1575"/>
        <w:gridCol w:w="1365"/>
        <w:gridCol w:w="1425"/>
      </w:tblGrid>
      <w:tr w14:paraId="007B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9E95FDE">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评价指标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68550FE">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权重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E2678FA">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评级分值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D2ECF70">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本项目得分</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5971BA3">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绩效评价</w:t>
            </w:r>
          </w:p>
        </w:tc>
      </w:tr>
      <w:tr w14:paraId="1501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E46A1E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项目投入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69C8D36">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1757DE1">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BD2C4FE">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569EC5B">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项目投入正常</w:t>
            </w:r>
          </w:p>
        </w:tc>
      </w:tr>
      <w:tr w14:paraId="1B88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F58EDE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项目过程</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112F41C">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91A443F">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C781CF1">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653CE3E">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项目管理有效</w:t>
            </w:r>
          </w:p>
        </w:tc>
      </w:tr>
      <w:tr w14:paraId="270E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9906F3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项目产出</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A01F3D3">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C47526C">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40C14C4">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18.14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F258433">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产出效果</w:t>
            </w:r>
            <w:r>
              <w:rPr>
                <w:rFonts w:hint="eastAsia" w:ascii="仿宋" w:hAnsi="仿宋" w:eastAsia="仿宋" w:cs="仿宋"/>
                <w:i w:val="0"/>
                <w:color w:val="000000"/>
                <w:sz w:val="21"/>
                <w:szCs w:val="21"/>
                <w:u w:val="none"/>
                <w:lang w:val="en-US" w:eastAsia="zh-CN"/>
              </w:rPr>
              <w:t>较好</w:t>
            </w:r>
          </w:p>
        </w:tc>
      </w:tr>
      <w:tr w14:paraId="4605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059ED93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项目效果</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4704367">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9658EFB">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1CEC1AB">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D5DD40F">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社会效益</w:t>
            </w:r>
            <w:r>
              <w:rPr>
                <w:rFonts w:hint="eastAsia" w:ascii="仿宋" w:hAnsi="仿宋" w:eastAsia="仿宋" w:cs="仿宋"/>
                <w:i w:val="0"/>
                <w:color w:val="000000"/>
                <w:sz w:val="21"/>
                <w:szCs w:val="21"/>
                <w:u w:val="none"/>
                <w:lang w:val="en-US" w:eastAsia="zh-CN"/>
              </w:rPr>
              <w:t>较好</w:t>
            </w:r>
            <w:r>
              <w:rPr>
                <w:rFonts w:hint="eastAsia" w:ascii="仿宋" w:hAnsi="仿宋" w:eastAsia="仿宋" w:cs="仿宋"/>
                <w:i w:val="0"/>
                <w:color w:val="000000"/>
                <w:sz w:val="21"/>
                <w:szCs w:val="21"/>
                <w:u w:val="none"/>
                <w:lang w:eastAsia="zh-CN"/>
              </w:rPr>
              <w:t>，满意度高</w:t>
            </w:r>
          </w:p>
        </w:tc>
      </w:tr>
      <w:tr w14:paraId="50C7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53DD10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综合绩效</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8215F0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EF0314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EF7A4BE">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86.64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A4FD5AE">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良</w:t>
            </w:r>
          </w:p>
        </w:tc>
      </w:tr>
    </w:tbl>
    <w:p w14:paraId="60AF262F">
      <w:pPr>
        <w:spacing w:line="360" w:lineRule="auto"/>
        <w:ind w:firstLine="630" w:firstLineChars="200"/>
        <w:contextualSpacing/>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二、综合评价结论</w:t>
      </w:r>
    </w:p>
    <w:p w14:paraId="6FE57BB0">
      <w:pPr>
        <w:numPr>
          <w:ilvl w:val="0"/>
          <w:numId w:val="0"/>
        </w:numPr>
        <w:ind w:firstLine="630" w:firstLineChars="200"/>
        <w:rPr>
          <w:rFonts w:hint="eastAsia" w:ascii="仿宋" w:hAnsi="仿宋" w:eastAsia="仿宋" w:cs="仿宋"/>
          <w:kern w:val="0"/>
          <w:sz w:val="28"/>
          <w:szCs w:val="28"/>
          <w:lang w:val="en-US" w:eastAsia="zh-CN"/>
        </w:rPr>
      </w:pPr>
      <w:r>
        <w:rPr>
          <w:rFonts w:hint="eastAsia" w:ascii="仿宋" w:hAnsi="仿宋" w:eastAsia="仿宋" w:cs="仿宋"/>
          <w:sz w:val="28"/>
          <w:szCs w:val="28"/>
          <w:lang w:eastAsia="zh-CN"/>
        </w:rPr>
        <w:t>本次项目绩效评价为“</w:t>
      </w:r>
      <w:r>
        <w:rPr>
          <w:rFonts w:hint="eastAsia" w:ascii="仿宋" w:hAnsi="仿宋" w:eastAsia="仿宋" w:cs="仿宋"/>
          <w:sz w:val="28"/>
          <w:szCs w:val="28"/>
          <w:lang w:val="en-US" w:eastAsia="zh-CN"/>
        </w:rPr>
        <w:t>良</w:t>
      </w:r>
      <w:r>
        <w:rPr>
          <w:rFonts w:hint="eastAsia" w:ascii="仿宋" w:hAnsi="仿宋" w:eastAsia="仿宋" w:cs="仿宋"/>
          <w:sz w:val="28"/>
          <w:szCs w:val="28"/>
          <w:lang w:eastAsia="zh-CN"/>
        </w:rPr>
        <w:t>”。本项目符合国家相关法律法规、国民经济发展和政府决策，项目管理有效、产出效果较好、社会效益</w:t>
      </w:r>
      <w:r>
        <w:rPr>
          <w:rFonts w:hint="eastAsia" w:ascii="仿宋" w:hAnsi="仿宋" w:eastAsia="仿宋" w:cs="仿宋"/>
          <w:sz w:val="28"/>
          <w:szCs w:val="28"/>
          <w:lang w:val="en-US" w:eastAsia="zh-CN"/>
        </w:rPr>
        <w:t>较好</w:t>
      </w:r>
      <w:r>
        <w:rPr>
          <w:rFonts w:hint="eastAsia" w:ascii="仿宋" w:hAnsi="仿宋" w:eastAsia="仿宋" w:cs="仿宋"/>
          <w:sz w:val="28"/>
          <w:szCs w:val="28"/>
          <w:lang w:eastAsia="zh-CN"/>
        </w:rPr>
        <w:t>、满意度高。项目实施有相应的资金保障、人员保障和制度保障，项目实施能够形成可持续的影响。</w:t>
      </w:r>
      <w:r>
        <w:rPr>
          <w:rFonts w:hint="eastAsia" w:ascii="仿宋" w:hAnsi="仿宋" w:eastAsia="仿宋" w:cs="仿宋"/>
          <w:sz w:val="28"/>
          <w:szCs w:val="28"/>
          <w:lang w:val="en-US" w:eastAsia="zh-CN"/>
        </w:rPr>
        <w:t>项目资金预算投入规模合理，资金使用效率较高，但绩效目标设定不合理，应加快项目完成进度，保证</w:t>
      </w:r>
      <w:r>
        <w:rPr>
          <w:rFonts w:hint="eastAsia" w:ascii="仿宋" w:hAnsi="仿宋" w:eastAsia="仿宋" w:cs="仿宋"/>
          <w:kern w:val="0"/>
          <w:sz w:val="28"/>
          <w:szCs w:val="28"/>
          <w:lang w:val="en-US" w:eastAsia="zh-CN"/>
        </w:rPr>
        <w:t>鄂州市自然资源和规划局第三次全国土地调查工作项目</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完成，促进社会经济可持续发展。</w:t>
      </w:r>
      <w:r>
        <w:rPr>
          <w:rFonts w:hint="eastAsia" w:ascii="仿宋" w:hAnsi="仿宋" w:eastAsia="仿宋" w:cs="仿宋"/>
          <w:sz w:val="28"/>
          <w:szCs w:val="28"/>
        </w:rPr>
        <w:t xml:space="preserve"> </w:t>
      </w:r>
    </w:p>
    <w:p w14:paraId="023BCD0F">
      <w:pPr>
        <w:numPr>
          <w:ilvl w:val="0"/>
          <w:numId w:val="0"/>
        </w:numPr>
        <w:spacing w:line="360" w:lineRule="auto"/>
        <w:ind w:firstLine="630" w:firstLineChars="200"/>
        <w:contextualSpacing/>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˙问题与建议</w:t>
      </w:r>
    </w:p>
    <w:p w14:paraId="25DA8423">
      <w:pPr>
        <w:numPr>
          <w:ilvl w:val="0"/>
          <w:numId w:val="0"/>
        </w:numPr>
        <w:spacing w:line="360" w:lineRule="auto"/>
        <w:ind w:firstLine="630" w:firstLineChars="200"/>
        <w:contextualSpacing/>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一、项目存在的问题</w:t>
      </w:r>
    </w:p>
    <w:p w14:paraId="3AB6E46E">
      <w:pPr>
        <w:numPr>
          <w:ilvl w:val="0"/>
          <w:numId w:val="0"/>
        </w:numPr>
        <w:spacing w:line="360" w:lineRule="auto"/>
        <w:ind w:firstLine="630" w:firstLineChars="200"/>
        <w:contextualSpacing/>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1、鄂州市自然资源和规划局2019年度第三次全国土地调查工作项目绩效目标未细化分解为具体绩效指标；</w:t>
      </w:r>
    </w:p>
    <w:p w14:paraId="37728666">
      <w:pPr>
        <w:numPr>
          <w:ilvl w:val="0"/>
          <w:numId w:val="0"/>
        </w:numPr>
        <w:spacing w:line="360" w:lineRule="auto"/>
        <w:ind w:firstLine="630" w:firstLineChars="200"/>
        <w:contextualSpacing/>
        <w:rPr>
          <w:rFonts w:hint="eastAsia" w:ascii="仿宋" w:hAnsi="仿宋" w:eastAsia="仿宋" w:cs="仿宋"/>
          <w:color w:val="000000"/>
          <w:sz w:val="28"/>
          <w:szCs w:val="28"/>
          <w:lang w:val="en-US" w:eastAsia="zh-CN"/>
        </w:rPr>
      </w:pPr>
      <w:r>
        <w:rPr>
          <w:rFonts w:hint="eastAsia" w:ascii="仿宋" w:hAnsi="仿宋" w:eastAsia="仿宋" w:cs="仿宋"/>
          <w:kern w:val="0"/>
          <w:sz w:val="28"/>
          <w:szCs w:val="28"/>
          <w:lang w:val="en-US" w:eastAsia="zh-CN"/>
        </w:rPr>
        <w:t>2、未对2019年度第三次全国土地调查工作项目</w:t>
      </w:r>
      <w:r>
        <w:rPr>
          <w:rFonts w:hint="eastAsia" w:ascii="仿宋" w:hAnsi="仿宋" w:eastAsia="仿宋" w:cs="仿宋"/>
          <w:color w:val="000000"/>
          <w:sz w:val="28"/>
          <w:szCs w:val="28"/>
          <w:lang w:val="en-US" w:eastAsia="zh-CN"/>
        </w:rPr>
        <w:t>采取相应的财务检查等必要的监控措施或手段，如未对项目资金进行专项审计；</w:t>
      </w:r>
    </w:p>
    <w:p w14:paraId="79A1E56F">
      <w:pPr>
        <w:numPr>
          <w:ilvl w:val="0"/>
          <w:numId w:val="0"/>
        </w:numPr>
        <w:spacing w:line="360" w:lineRule="auto"/>
        <w:ind w:firstLine="630" w:firstLineChars="200"/>
        <w:contextualSpacing/>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kern w:val="0"/>
          <w:sz w:val="28"/>
          <w:szCs w:val="28"/>
          <w:highlight w:val="none"/>
          <w:lang w:val="en-US" w:eastAsia="zh-CN"/>
        </w:rPr>
        <w:t>鄂州市自然资源和规划局2018年度第三次全国土地调查工作未按计划全部完成，工作经费结余243万元。</w:t>
      </w:r>
    </w:p>
    <w:p w14:paraId="43D2B6F6">
      <w:pPr>
        <w:widowControl w:val="0"/>
        <w:numPr>
          <w:ilvl w:val="0"/>
          <w:numId w:val="0"/>
        </w:numPr>
        <w:spacing w:line="360" w:lineRule="auto"/>
        <w:ind w:firstLine="630" w:firstLineChars="200"/>
        <w:contextualSpacing/>
        <w:jc w:val="both"/>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二、评价小组提出的建议</w:t>
      </w:r>
    </w:p>
    <w:p w14:paraId="186A5F74">
      <w:pPr>
        <w:widowControl w:val="0"/>
        <w:numPr>
          <w:ilvl w:val="0"/>
          <w:numId w:val="0"/>
        </w:numPr>
        <w:spacing w:line="360" w:lineRule="auto"/>
        <w:ind w:firstLine="630" w:firstLineChars="200"/>
        <w:contextualSpacing/>
        <w:jc w:val="both"/>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1、加强预算管理，落实湖北省国土资源厅《关于做好第三次全国土地调查工作的通知》的要求，</w:t>
      </w:r>
      <w:r>
        <w:rPr>
          <w:rFonts w:hint="eastAsia" w:ascii="仿宋" w:hAnsi="仿宋" w:eastAsia="仿宋" w:cs="仿宋"/>
          <w:color w:val="000000"/>
          <w:sz w:val="28"/>
          <w:szCs w:val="28"/>
          <w:lang w:val="en-US" w:eastAsia="zh-CN"/>
        </w:rPr>
        <w:t>将2019年度绩效目标细化分解为具体的绩效指标，并定期对其进行评估。</w:t>
      </w:r>
    </w:p>
    <w:p w14:paraId="7D842F8F">
      <w:pPr>
        <w:widowControl w:val="0"/>
        <w:numPr>
          <w:ilvl w:val="0"/>
          <w:numId w:val="0"/>
        </w:numPr>
        <w:spacing w:line="360" w:lineRule="auto"/>
        <w:ind w:firstLine="630" w:firstLineChars="200"/>
        <w:contextualSpacing/>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2、建立健全财务管理规章制度，强化内部财务管理和审计监督，确保资金的使用效果和安全性，并加强资金使用管理的基础工作，加强跟踪监督土地调查专项资金管理使用情况，定期</w:t>
      </w:r>
      <w:r>
        <w:rPr>
          <w:rFonts w:hint="eastAsia" w:ascii="仿宋" w:hAnsi="仿宋" w:eastAsia="仿宋" w:cs="仿宋"/>
          <w:color w:val="000000"/>
          <w:sz w:val="28"/>
          <w:szCs w:val="28"/>
          <w:lang w:val="en-US" w:eastAsia="zh-CN"/>
        </w:rPr>
        <w:t>对项目资金进行专项审计。</w:t>
      </w:r>
    </w:p>
    <w:p w14:paraId="76566D6F">
      <w:pPr>
        <w:spacing w:line="610" w:lineRule="exact"/>
        <w:ind w:firstLine="569" w:firstLineChars="18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3、加强资金的使用效率，加快项目完成进度，严格按照预算及时完成各项土地调查工作，并及时</w:t>
      </w:r>
      <w:r>
        <w:rPr>
          <w:rFonts w:hint="eastAsia" w:ascii="仿宋" w:hAnsi="仿宋" w:eastAsia="仿宋"/>
          <w:sz w:val="28"/>
          <w:szCs w:val="28"/>
        </w:rPr>
        <w:t>对项目</w:t>
      </w:r>
      <w:r>
        <w:rPr>
          <w:rFonts w:hint="eastAsia" w:ascii="仿宋" w:hAnsi="仿宋" w:eastAsia="仿宋"/>
          <w:sz w:val="28"/>
          <w:szCs w:val="28"/>
          <w:lang w:val="en-US" w:eastAsia="zh-CN"/>
        </w:rPr>
        <w:t>完成</w:t>
      </w:r>
      <w:r>
        <w:rPr>
          <w:rFonts w:hint="eastAsia" w:ascii="仿宋" w:hAnsi="仿宋" w:eastAsia="仿宋"/>
          <w:sz w:val="28"/>
          <w:szCs w:val="28"/>
        </w:rPr>
        <w:t>情况进行</w:t>
      </w:r>
      <w:r>
        <w:rPr>
          <w:rFonts w:hint="eastAsia" w:ascii="仿宋" w:hAnsi="仿宋" w:eastAsia="仿宋"/>
          <w:sz w:val="28"/>
          <w:szCs w:val="28"/>
          <w:lang w:val="en-US" w:eastAsia="zh-CN"/>
        </w:rPr>
        <w:t>总结</w:t>
      </w:r>
      <w:r>
        <w:rPr>
          <w:rFonts w:hint="eastAsia" w:ascii="仿宋" w:hAnsi="仿宋" w:eastAsia="仿宋"/>
          <w:sz w:val="28"/>
          <w:szCs w:val="28"/>
          <w:lang w:eastAsia="zh-CN"/>
        </w:rPr>
        <w:t>。</w:t>
      </w:r>
    </w:p>
    <w:p w14:paraId="40D1A2C0">
      <w:pPr>
        <w:widowControl w:val="0"/>
        <w:numPr>
          <w:ilvl w:val="0"/>
          <w:numId w:val="0"/>
        </w:numPr>
        <w:spacing w:line="360" w:lineRule="auto"/>
        <w:ind w:firstLine="630" w:firstLineChars="200"/>
        <w:contextualSpacing/>
        <w:jc w:val="both"/>
        <w:rPr>
          <w:rFonts w:hint="eastAsia" w:ascii="仿宋" w:hAnsi="仿宋" w:eastAsia="仿宋" w:cs="仿宋"/>
          <w:sz w:val="28"/>
          <w:szCs w:val="28"/>
        </w:rPr>
      </w:pPr>
      <w:r>
        <w:rPr>
          <w:rFonts w:hint="eastAsia" w:ascii="仿宋" w:hAnsi="仿宋" w:eastAsia="仿宋" w:cs="仿宋"/>
          <w:kern w:val="0"/>
          <w:sz w:val="28"/>
          <w:szCs w:val="28"/>
          <w:lang w:val="en-US" w:eastAsia="zh-CN"/>
        </w:rPr>
        <w:br w:type="page"/>
      </w:r>
      <w:bookmarkStart w:id="148" w:name="_Toc10179"/>
      <w:r>
        <w:rPr>
          <w:rFonts w:hint="eastAsia" w:ascii="仿宋" w:hAnsi="仿宋" w:eastAsia="仿宋" w:cs="仿宋"/>
          <w:sz w:val="28"/>
          <w:szCs w:val="28"/>
        </w:rPr>
        <w:t>一、项目基本情况</w:t>
      </w:r>
      <w:bookmarkEnd w:id="148"/>
    </w:p>
    <w:p w14:paraId="35A928D8">
      <w:pPr>
        <w:pStyle w:val="3"/>
        <w:spacing w:line="360" w:lineRule="auto"/>
        <w:ind w:left="420"/>
        <w:contextualSpacing/>
        <w:rPr>
          <w:rFonts w:hint="eastAsia" w:ascii="仿宋" w:hAnsi="仿宋" w:eastAsia="仿宋" w:cs="仿宋"/>
          <w:sz w:val="28"/>
          <w:szCs w:val="28"/>
        </w:rPr>
      </w:pPr>
      <w:bookmarkStart w:id="149" w:name="_Toc20885"/>
      <w:r>
        <w:rPr>
          <w:rFonts w:hint="eastAsia" w:ascii="仿宋" w:hAnsi="仿宋" w:eastAsia="仿宋" w:cs="仿宋"/>
          <w:sz w:val="28"/>
          <w:szCs w:val="28"/>
        </w:rPr>
        <w:t>（一）项目概况</w:t>
      </w:r>
      <w:bookmarkEnd w:id="149"/>
    </w:p>
    <w:p w14:paraId="0EF63D3A">
      <w:pPr>
        <w:pStyle w:val="4"/>
        <w:spacing w:line="360" w:lineRule="auto"/>
        <w:ind w:left="0" w:leftChars="0" w:firstLine="630" w:firstLineChars="200"/>
        <w:contextualSpacing/>
        <w:rPr>
          <w:rFonts w:hint="eastAsia" w:ascii="仿宋" w:hAnsi="仿宋" w:eastAsia="仿宋" w:cs="仿宋"/>
          <w:sz w:val="28"/>
          <w:szCs w:val="28"/>
        </w:rPr>
      </w:pPr>
      <w:bookmarkStart w:id="150" w:name="_Toc15555"/>
      <w:r>
        <w:rPr>
          <w:rFonts w:hint="eastAsia" w:ascii="仿宋" w:hAnsi="仿宋" w:eastAsia="仿宋" w:cs="仿宋"/>
          <w:sz w:val="28"/>
          <w:szCs w:val="28"/>
        </w:rPr>
        <w:t>1、项目立项背景</w:t>
      </w:r>
      <w:bookmarkEnd w:id="150"/>
    </w:p>
    <w:p w14:paraId="1DBFA792">
      <w:pPr>
        <w:spacing w:line="360" w:lineRule="auto"/>
        <w:ind w:firstLine="630" w:firstLineChars="200"/>
        <w:contextualSpacing/>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三次全国土地调查工作是一项重大的国情国力调查，为了全面查清最新全国土地利用状况，掌握真实的土地基础数据，并对调查成果实行信息化网络化管理，建全并完善土地调查、监测、统计和登记制度，实现土地资源信息社会化服务，满足经济社会发展、土地宏观调控及国土资源管理的需要。开展第三次土地调查，对于推进生态文明建设，支撑自然资源管理制度建设，夯实自然资源和不动产统一登记基础，贯彻最严格的耕地保护制度和最严格的节约用地制度，满足国土资源管理精准化需求，促进经济社会可持续发展等具有重要意义。</w:t>
      </w:r>
    </w:p>
    <w:p w14:paraId="7DAB9793">
      <w:pPr>
        <w:spacing w:line="360" w:lineRule="auto"/>
        <w:ind w:firstLine="630" w:firstLineChars="200"/>
        <w:contextualSpacing/>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鄂州市自然资源和规划局对第三次全国土地调查工作作出了预算安排，全面查清土地的利用现状和权属状况，以便于科学制定差别化用地政策，促进存量土地再开发，同时保障国家粮食安全，保护国土资源。鄂州市财政局预算绩效管理科组织我公司对鄂州市自然资源和规划局第三次全国土地调查工作项目进行绩效评价，目的是为了客观公正地反映鄂州市自然资源和规划局第三次全国土地调查工作项目资金的使用情况，检验项目支出是否达到预期目标，总结经验，发现问题，提出改进建议，提高预算执行部门的绩效意识，为鄂州市财政局进一步规范完善预算编制管理，优化支出结构，合理配置资源，提高财政资金使用效率和效益，加强绩效评价结果运用提供参考依据。</w:t>
      </w:r>
    </w:p>
    <w:p w14:paraId="6E8BFDF2">
      <w:pPr>
        <w:pStyle w:val="4"/>
        <w:numPr>
          <w:ilvl w:val="0"/>
          <w:numId w:val="0"/>
        </w:numPr>
        <w:spacing w:line="360" w:lineRule="auto"/>
        <w:ind w:firstLine="630" w:firstLineChars="200"/>
        <w:contextualSpacing/>
        <w:rPr>
          <w:rFonts w:hint="eastAsia" w:ascii="仿宋" w:hAnsi="仿宋" w:eastAsia="仿宋" w:cs="仿宋"/>
          <w:sz w:val="28"/>
          <w:szCs w:val="28"/>
          <w:lang w:val="en-US" w:eastAsia="zh-CN"/>
        </w:rPr>
      </w:pPr>
      <w:bookmarkStart w:id="151" w:name="_Toc14137"/>
      <w:r>
        <w:rPr>
          <w:rFonts w:hint="eastAsia" w:ascii="仿宋" w:hAnsi="仿宋" w:cs="仿宋"/>
          <w:sz w:val="28"/>
          <w:szCs w:val="28"/>
          <w:lang w:val="en-US" w:eastAsia="zh-CN"/>
        </w:rPr>
        <w:t>2、</w:t>
      </w:r>
      <w:r>
        <w:rPr>
          <w:rFonts w:hint="eastAsia" w:ascii="仿宋" w:hAnsi="仿宋" w:eastAsia="仿宋" w:cs="仿宋"/>
          <w:sz w:val="28"/>
          <w:szCs w:val="28"/>
          <w:lang w:val="en-US" w:eastAsia="zh-CN"/>
        </w:rPr>
        <w:t>项目实施情况</w:t>
      </w:r>
      <w:bookmarkEnd w:id="151"/>
    </w:p>
    <w:p w14:paraId="5A47A03D">
      <w:pPr>
        <w:spacing w:line="360" w:lineRule="auto"/>
        <w:ind w:firstLine="630" w:firstLineChars="200"/>
        <w:contextualSpacing/>
        <w:rPr>
          <w:rFonts w:hint="default" w:ascii="仿宋" w:hAnsi="仿宋" w:eastAsia="仿宋" w:cs="仿宋"/>
          <w:sz w:val="28"/>
          <w:szCs w:val="28"/>
          <w:lang w:val="en-US" w:eastAsia="zh-CN"/>
        </w:rPr>
      </w:pPr>
      <w:r>
        <w:rPr>
          <w:rFonts w:hint="eastAsia" w:ascii="仿宋" w:hAnsi="仿宋" w:eastAsia="仿宋" w:cs="仿宋"/>
          <w:kern w:val="0"/>
          <w:sz w:val="28"/>
          <w:szCs w:val="28"/>
          <w:lang w:val="en-US" w:eastAsia="zh-CN"/>
        </w:rPr>
        <w:t>鄂州市自然资源和规划局推行项目监理管理制，选择技术强、信誉好、质量高的单位为项目监理单位，利用省下发的基础图件，负责组织实地开展土地调查及数据库建设工作，积极展开农村土地调查、基本农田状况调查以及城市土地调查等。</w:t>
      </w:r>
    </w:p>
    <w:p w14:paraId="512EC177">
      <w:pPr>
        <w:spacing w:line="360" w:lineRule="auto"/>
        <w:ind w:firstLine="630" w:firstLineChars="200"/>
        <w:contextualSpacing/>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本次绩效评价是对鄂州市</w:t>
      </w:r>
      <w:r>
        <w:rPr>
          <w:rFonts w:hint="eastAsia" w:ascii="仿宋" w:hAnsi="仿宋" w:eastAsia="仿宋" w:cs="仿宋"/>
          <w:kern w:val="0"/>
          <w:sz w:val="28"/>
          <w:szCs w:val="28"/>
          <w:lang w:val="en-US" w:eastAsia="zh-CN"/>
        </w:rPr>
        <w:t>自然资源和规划局</w:t>
      </w:r>
      <w:r>
        <w:rPr>
          <w:rFonts w:hint="eastAsia" w:ascii="仿宋" w:hAnsi="仿宋" w:eastAsia="仿宋" w:cs="仿宋"/>
          <w:sz w:val="28"/>
          <w:szCs w:val="28"/>
          <w:lang w:val="en-US" w:eastAsia="zh-CN"/>
        </w:rPr>
        <w:t>第三次全国土地调查工作项目进行绩效评价。评价指标体系从投入、过程、产出、效果等四个角度分设项目立项、资金落实、项目管理、财务管理、指标完成程度、社会效益、满意度等7个二级指标和16个三级指标，标准总分为100分。</w:t>
      </w:r>
    </w:p>
    <w:p w14:paraId="74F9245B">
      <w:pPr>
        <w:pStyle w:val="4"/>
        <w:spacing w:line="360" w:lineRule="auto"/>
        <w:ind w:left="0" w:leftChars="0" w:firstLine="630" w:firstLineChars="200"/>
        <w:contextualSpacing/>
        <w:rPr>
          <w:rFonts w:hint="eastAsia" w:ascii="仿宋" w:hAnsi="仿宋" w:eastAsia="仿宋" w:cs="仿宋"/>
          <w:sz w:val="28"/>
          <w:szCs w:val="28"/>
          <w:lang w:val="en-US" w:eastAsia="zh-CN"/>
        </w:rPr>
      </w:pPr>
      <w:bookmarkStart w:id="152" w:name="_Toc29186"/>
      <w:r>
        <w:rPr>
          <w:rFonts w:hint="eastAsia" w:ascii="仿宋" w:hAnsi="仿宋" w:eastAsia="仿宋" w:cs="仿宋"/>
          <w:sz w:val="28"/>
          <w:szCs w:val="28"/>
          <w:lang w:val="en-US" w:eastAsia="zh-CN"/>
        </w:rPr>
        <w:t>3、项目经费来源和使用情况</w:t>
      </w:r>
      <w:bookmarkEnd w:id="152"/>
    </w:p>
    <w:p w14:paraId="2F8AFE6A">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 xml:space="preserve">（1）项目资金来源情况 </w:t>
      </w:r>
    </w:p>
    <w:p w14:paraId="1E8BFB34">
      <w:pPr>
        <w:spacing w:line="360" w:lineRule="auto"/>
        <w:ind w:firstLine="630" w:firstLineChars="200"/>
        <w:contextualSpacing/>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鄂州市第三次全国土地调查工作项目资金来来源743万元，其中2018年市级财政配套资金结余243万元，2019年市级财政配套资金500万元。</w:t>
      </w:r>
    </w:p>
    <w:p w14:paraId="31E767AE">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color w:val="000000"/>
          <w:sz w:val="28"/>
          <w:szCs w:val="28"/>
        </w:rPr>
        <w:t>（2）项目资金使用</w:t>
      </w:r>
      <w:r>
        <w:rPr>
          <w:rFonts w:hint="eastAsia" w:ascii="仿宋" w:hAnsi="仿宋" w:eastAsia="仿宋" w:cs="仿宋"/>
          <w:sz w:val="28"/>
          <w:szCs w:val="28"/>
        </w:rPr>
        <w:t>情况</w:t>
      </w:r>
    </w:p>
    <w:p w14:paraId="43B02855">
      <w:pPr>
        <w:spacing w:line="360" w:lineRule="auto"/>
        <w:ind w:firstLine="630" w:firstLineChars="200"/>
        <w:contextualSpacing/>
        <w:rPr>
          <w:rFonts w:hint="eastAsia" w:ascii="仿宋" w:hAnsi="仿宋" w:eastAsia="仿宋" w:cs="仿宋"/>
          <w:kern w:val="0"/>
          <w:sz w:val="28"/>
          <w:szCs w:val="28"/>
          <w:lang w:val="en-US" w:eastAsia="zh-CN"/>
        </w:rPr>
      </w:pPr>
      <w:r>
        <w:rPr>
          <w:rFonts w:hint="eastAsia" w:ascii="仿宋" w:hAnsi="仿宋" w:eastAsia="仿宋" w:cs="仿宋"/>
          <w:color w:val="000000"/>
          <w:sz w:val="28"/>
          <w:szCs w:val="28"/>
          <w:highlight w:val="none"/>
        </w:rPr>
        <w:t>截止201</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月3</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日,</w:t>
      </w:r>
      <w:r>
        <w:rPr>
          <w:rFonts w:hint="eastAsia" w:ascii="仿宋" w:hAnsi="仿宋" w:eastAsia="仿宋" w:cs="仿宋"/>
          <w:sz w:val="28"/>
          <w:szCs w:val="28"/>
          <w:lang w:val="en-US" w:eastAsia="zh-CN"/>
        </w:rPr>
        <w:t>鄂州市</w:t>
      </w:r>
      <w:r>
        <w:rPr>
          <w:rFonts w:hint="eastAsia" w:ascii="仿宋" w:hAnsi="仿宋" w:eastAsia="仿宋" w:cs="仿宋"/>
          <w:kern w:val="0"/>
          <w:sz w:val="28"/>
          <w:szCs w:val="28"/>
          <w:lang w:val="en-US" w:eastAsia="zh-CN"/>
        </w:rPr>
        <w:t>自然资源和规划局</w:t>
      </w:r>
      <w:r>
        <w:rPr>
          <w:rFonts w:hint="eastAsia" w:ascii="仿宋" w:hAnsi="仿宋" w:eastAsia="仿宋" w:cs="仿宋"/>
          <w:sz w:val="28"/>
          <w:szCs w:val="28"/>
          <w:lang w:val="en-US" w:eastAsia="zh-CN"/>
        </w:rPr>
        <w:t>第三次全国土地调查工作项目</w:t>
      </w:r>
      <w:r>
        <w:rPr>
          <w:rFonts w:hint="eastAsia" w:ascii="仿宋" w:hAnsi="仿宋" w:eastAsia="仿宋" w:cs="仿宋"/>
          <w:color w:val="000000"/>
          <w:sz w:val="28"/>
          <w:szCs w:val="28"/>
          <w:highlight w:val="none"/>
        </w:rPr>
        <w:t>累计支出</w:t>
      </w:r>
      <w:r>
        <w:rPr>
          <w:rFonts w:hint="eastAsia" w:ascii="仿宋" w:hAnsi="仿宋" w:eastAsia="仿宋" w:cs="仿宋"/>
          <w:color w:val="000000"/>
          <w:sz w:val="28"/>
          <w:szCs w:val="28"/>
          <w:highlight w:val="none"/>
          <w:lang w:val="en-US" w:eastAsia="zh-CN"/>
        </w:rPr>
        <w:t>742.07万</w:t>
      </w:r>
      <w:r>
        <w:rPr>
          <w:rFonts w:hint="eastAsia" w:ascii="仿宋" w:hAnsi="仿宋" w:eastAsia="仿宋" w:cs="仿宋"/>
          <w:color w:val="000000"/>
          <w:sz w:val="28"/>
          <w:szCs w:val="28"/>
          <w:highlight w:val="none"/>
        </w:rPr>
        <w:t>元，</w:t>
      </w:r>
      <w:r>
        <w:rPr>
          <w:rFonts w:hint="eastAsia" w:ascii="仿宋" w:hAnsi="仿宋" w:eastAsia="仿宋" w:cs="仿宋"/>
          <w:color w:val="000000"/>
          <w:sz w:val="28"/>
          <w:szCs w:val="28"/>
          <w:highlight w:val="none"/>
          <w:lang w:val="en-US" w:eastAsia="zh-CN"/>
        </w:rPr>
        <w:t>包含</w:t>
      </w:r>
      <w:r>
        <w:rPr>
          <w:rFonts w:hint="eastAsia" w:ascii="仿宋" w:hAnsi="仿宋" w:eastAsia="仿宋" w:cs="仿宋"/>
          <w:kern w:val="0"/>
          <w:sz w:val="28"/>
          <w:szCs w:val="28"/>
          <w:lang w:val="en-US" w:eastAsia="zh-CN"/>
        </w:rPr>
        <w:t>工作底图制作费、调查取证费、项目监理费、数据库建设经费和长江经济带自然资源全域调查工作经费等。</w:t>
      </w:r>
    </w:p>
    <w:p w14:paraId="418A7DE8">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color w:val="000000"/>
          <w:sz w:val="28"/>
          <w:szCs w:val="28"/>
        </w:rPr>
        <w:t>以上收支相抵</w:t>
      </w:r>
      <w:r>
        <w:rPr>
          <w:rFonts w:hint="eastAsia" w:ascii="仿宋" w:hAnsi="仿宋" w:eastAsia="仿宋" w:cs="仿宋"/>
          <w:color w:val="000000"/>
          <w:sz w:val="28"/>
          <w:szCs w:val="28"/>
          <w:lang w:val="en-US" w:eastAsia="zh-CN"/>
        </w:rPr>
        <w:t>后</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鄂州市</w:t>
      </w:r>
      <w:r>
        <w:rPr>
          <w:rFonts w:hint="eastAsia" w:ascii="仿宋" w:hAnsi="仿宋" w:eastAsia="仿宋" w:cs="仿宋"/>
          <w:kern w:val="0"/>
          <w:sz w:val="28"/>
          <w:szCs w:val="28"/>
          <w:lang w:val="en-US" w:eastAsia="zh-CN"/>
        </w:rPr>
        <w:t>自然资源和规划局</w:t>
      </w:r>
      <w:r>
        <w:rPr>
          <w:rFonts w:hint="eastAsia" w:ascii="仿宋" w:hAnsi="仿宋" w:eastAsia="仿宋" w:cs="仿宋"/>
          <w:sz w:val="28"/>
          <w:szCs w:val="28"/>
          <w:lang w:val="en-US" w:eastAsia="zh-CN"/>
        </w:rPr>
        <w:t>第三次全国土地调查工作项目资金</w:t>
      </w:r>
      <w:r>
        <w:rPr>
          <w:rFonts w:hint="eastAsia" w:ascii="仿宋" w:hAnsi="仿宋" w:eastAsia="仿宋" w:cs="仿宋"/>
          <w:color w:val="000000"/>
          <w:sz w:val="28"/>
          <w:szCs w:val="28"/>
        </w:rPr>
        <w:t>结余</w:t>
      </w:r>
      <w:r>
        <w:rPr>
          <w:rFonts w:hint="eastAsia" w:ascii="仿宋" w:hAnsi="仿宋" w:eastAsia="仿宋" w:cs="仿宋"/>
          <w:color w:val="000000"/>
          <w:sz w:val="28"/>
          <w:szCs w:val="28"/>
          <w:lang w:val="en-US" w:eastAsia="zh-CN"/>
        </w:rPr>
        <w:t>0.93万</w:t>
      </w:r>
      <w:r>
        <w:rPr>
          <w:rFonts w:hint="eastAsia" w:ascii="仿宋" w:hAnsi="仿宋" w:eastAsia="仿宋" w:cs="仿宋"/>
          <w:color w:val="000000"/>
          <w:sz w:val="28"/>
          <w:szCs w:val="28"/>
        </w:rPr>
        <w:t>元。</w:t>
      </w:r>
      <w:r>
        <w:rPr>
          <w:rFonts w:hint="eastAsia" w:ascii="仿宋" w:hAnsi="仿宋" w:eastAsia="仿宋" w:cs="仿宋"/>
          <w:color w:val="000000"/>
          <w:sz w:val="28"/>
          <w:szCs w:val="28"/>
          <w:lang w:eastAsia="zh-CN"/>
        </w:rPr>
        <w:t>经账面审计，</w:t>
      </w:r>
      <w:r>
        <w:rPr>
          <w:rFonts w:hint="eastAsia" w:ascii="仿宋" w:hAnsi="仿宋" w:eastAsia="仿宋" w:cs="仿宋"/>
          <w:color w:val="000000"/>
          <w:sz w:val="28"/>
          <w:szCs w:val="28"/>
        </w:rPr>
        <w:t>该专项资金支出情况正常。</w:t>
      </w:r>
    </w:p>
    <w:p w14:paraId="6EB54C88">
      <w:pPr>
        <w:pStyle w:val="3"/>
        <w:spacing w:line="360" w:lineRule="auto"/>
        <w:ind w:left="420"/>
        <w:contextualSpacing/>
        <w:rPr>
          <w:rFonts w:hint="eastAsia" w:ascii="仿宋" w:hAnsi="仿宋" w:eastAsia="仿宋" w:cs="仿宋"/>
          <w:sz w:val="28"/>
          <w:szCs w:val="28"/>
          <w:highlight w:val="none"/>
          <w:lang w:eastAsia="zh-CN"/>
        </w:rPr>
      </w:pPr>
      <w:bookmarkStart w:id="153" w:name="_Toc26776"/>
      <w:r>
        <w:rPr>
          <w:rFonts w:hint="eastAsia" w:ascii="仿宋" w:hAnsi="仿宋" w:eastAsia="仿宋" w:cs="仿宋"/>
          <w:sz w:val="28"/>
          <w:szCs w:val="28"/>
          <w:highlight w:val="none"/>
          <w:lang w:eastAsia="zh-CN"/>
        </w:rPr>
        <w:t>（二）项目</w:t>
      </w:r>
      <w:r>
        <w:rPr>
          <w:rFonts w:hint="eastAsia" w:ascii="仿宋" w:hAnsi="仿宋" w:eastAsia="仿宋" w:cs="仿宋"/>
          <w:sz w:val="28"/>
          <w:szCs w:val="28"/>
          <w:highlight w:val="none"/>
        </w:rPr>
        <w:t>绩效评价</w:t>
      </w:r>
      <w:r>
        <w:rPr>
          <w:rFonts w:hint="eastAsia" w:ascii="仿宋" w:hAnsi="仿宋" w:eastAsia="仿宋" w:cs="仿宋"/>
          <w:sz w:val="28"/>
          <w:szCs w:val="28"/>
          <w:highlight w:val="none"/>
          <w:lang w:eastAsia="zh-CN"/>
        </w:rPr>
        <w:t>目标与</w:t>
      </w:r>
      <w:r>
        <w:rPr>
          <w:rFonts w:hint="eastAsia" w:ascii="仿宋" w:hAnsi="仿宋" w:eastAsia="仿宋" w:cs="仿宋"/>
          <w:sz w:val="28"/>
          <w:szCs w:val="28"/>
          <w:highlight w:val="none"/>
        </w:rPr>
        <w:t>内容</w:t>
      </w:r>
      <w:bookmarkEnd w:id="153"/>
    </w:p>
    <w:p w14:paraId="19C8F5D4">
      <w:pPr>
        <w:spacing w:line="360" w:lineRule="auto"/>
        <w:ind w:firstLine="630" w:firstLineChars="200"/>
        <w:contextualSpacing/>
        <w:rPr>
          <w:rFonts w:hint="eastAsia" w:ascii="仿宋" w:hAnsi="仿宋" w:eastAsia="仿宋" w:cs="仿宋"/>
          <w:color w:val="000000"/>
          <w:sz w:val="28"/>
          <w:szCs w:val="28"/>
        </w:rPr>
      </w:pPr>
      <w:r>
        <w:rPr>
          <w:rFonts w:hint="eastAsia" w:ascii="仿宋" w:hAnsi="仿宋" w:eastAsia="仿宋" w:cs="仿宋"/>
          <w:color w:val="000000"/>
          <w:sz w:val="28"/>
          <w:szCs w:val="28"/>
        </w:rPr>
        <w:t>1、绩效评价目标</w:t>
      </w:r>
    </w:p>
    <w:p w14:paraId="2B183717">
      <w:pPr>
        <w:spacing w:line="360" w:lineRule="auto"/>
        <w:ind w:firstLine="630" w:firstLineChars="200"/>
        <w:contextualSpacing/>
        <w:rPr>
          <w:rFonts w:hint="default" w:ascii="仿宋" w:hAnsi="仿宋" w:eastAsia="仿宋" w:cs="仿宋"/>
          <w:color w:val="000000"/>
          <w:sz w:val="28"/>
          <w:szCs w:val="28"/>
          <w:lang w:val="en-US" w:eastAsia="zh-CN"/>
        </w:rPr>
      </w:pPr>
      <w:r>
        <w:rPr>
          <w:rFonts w:hint="eastAsia" w:ascii="仿宋" w:hAnsi="仿宋" w:eastAsia="仿宋" w:cs="仿宋"/>
          <w:sz w:val="28"/>
          <w:szCs w:val="28"/>
          <w:lang w:val="en-US" w:eastAsia="zh-CN"/>
        </w:rPr>
        <w:t>鄂州市</w:t>
      </w:r>
      <w:r>
        <w:rPr>
          <w:rFonts w:hint="eastAsia" w:ascii="仿宋" w:hAnsi="仿宋" w:eastAsia="仿宋" w:cs="仿宋"/>
          <w:kern w:val="0"/>
          <w:sz w:val="28"/>
          <w:szCs w:val="28"/>
          <w:lang w:val="en-US" w:eastAsia="zh-CN"/>
        </w:rPr>
        <w:t>自然资源和规划局</w:t>
      </w:r>
      <w:r>
        <w:rPr>
          <w:rFonts w:hint="eastAsia" w:ascii="仿宋" w:hAnsi="仿宋" w:eastAsia="仿宋" w:cs="仿宋"/>
          <w:color w:val="000000"/>
          <w:sz w:val="28"/>
          <w:szCs w:val="28"/>
          <w:lang w:val="en-US" w:eastAsia="zh-CN"/>
        </w:rPr>
        <w:t>根据</w:t>
      </w:r>
      <w:r>
        <w:rPr>
          <w:rFonts w:hint="eastAsia" w:ascii="仿宋" w:hAnsi="仿宋" w:eastAsia="仿宋" w:cs="仿宋"/>
          <w:sz w:val="28"/>
          <w:szCs w:val="28"/>
          <w:lang w:val="en-US" w:eastAsia="zh-CN"/>
        </w:rPr>
        <w:t>第三次全国土地调查工作</w:t>
      </w:r>
      <w:r>
        <w:rPr>
          <w:rFonts w:hint="eastAsia" w:ascii="仿宋" w:hAnsi="仿宋" w:eastAsia="仿宋" w:cs="仿宋"/>
          <w:color w:val="000000"/>
          <w:sz w:val="28"/>
          <w:szCs w:val="28"/>
          <w:lang w:val="en-US" w:eastAsia="zh-CN"/>
        </w:rPr>
        <w:t>总体部署，依据《土地调查条例》利用更高分辨率的遥感影像，开展第三次土地调查，力争于2019年前完成全面查清鄂州市城乡范围内的每块土地的利用现状和权属状况获取国土资源管理专题数据，专题分析自然生态状况、建设用地等，调查评价耕地质量等别。</w:t>
      </w:r>
    </w:p>
    <w:p w14:paraId="06E10F0A">
      <w:pPr>
        <w:pStyle w:val="20"/>
        <w:spacing w:line="360" w:lineRule="auto"/>
        <w:contextualSpacing/>
        <w:rPr>
          <w:rFonts w:hint="eastAsia" w:ascii="仿宋" w:hAnsi="仿宋" w:eastAsia="仿宋" w:cs="仿宋"/>
          <w:sz w:val="28"/>
          <w:szCs w:val="28"/>
        </w:rPr>
      </w:pPr>
      <w:r>
        <w:rPr>
          <w:rFonts w:hint="eastAsia" w:ascii="仿宋" w:hAnsi="仿宋" w:eastAsia="仿宋" w:cs="仿宋"/>
          <w:sz w:val="28"/>
          <w:szCs w:val="28"/>
        </w:rPr>
        <w:t>2、绩效评价内容</w:t>
      </w:r>
    </w:p>
    <w:p w14:paraId="7CE732EF">
      <w:pPr>
        <w:pStyle w:val="20"/>
        <w:spacing w:line="360" w:lineRule="auto"/>
        <w:ind w:left="0" w:leftChars="0" w:firstLine="630" w:firstLineChars="200"/>
        <w:contextualSpacing/>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鄂州市自然资源和规划局第三次全国土地调查工作项目绩效评价的内容主要包括：项目目标（立项）、资金落实、项目管理（实施）、财务管理（监督）、项目产出、项目效益等。具体内容如下：</w:t>
      </w:r>
    </w:p>
    <w:p w14:paraId="1715B4C1">
      <w:pPr>
        <w:pStyle w:val="20"/>
        <w:numPr>
          <w:ilvl w:val="0"/>
          <w:numId w:val="0"/>
        </w:numPr>
        <w:spacing w:line="360" w:lineRule="auto"/>
        <w:ind w:firstLine="630" w:firstLineChars="200"/>
        <w:contextualSpacing/>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（1）项目目标（立项）包括：项目是否设定绩效目标和绩效指标，是否将项目绩效目标细化分解为具体的绩效指标；所设的绩效目标和指标是否符合实际，项目资金预算是否与绩效目标匹配。</w:t>
      </w:r>
    </w:p>
    <w:p w14:paraId="0E58E251">
      <w:pPr>
        <w:pStyle w:val="20"/>
        <w:numPr>
          <w:ilvl w:val="0"/>
          <w:numId w:val="0"/>
        </w:numPr>
        <w:spacing w:line="360" w:lineRule="auto"/>
        <w:ind w:firstLine="630" w:firstLineChars="200"/>
        <w:contextualSpacing/>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（2）资金落实包括：资金是否及时到位，是否影响项目进度；</w:t>
      </w:r>
      <w:r>
        <w:rPr>
          <w:rFonts w:hint="eastAsia" w:ascii="仿宋" w:hAnsi="仿宋" w:eastAsia="仿宋" w:cs="仿宋"/>
          <w:color w:val="000000"/>
          <w:kern w:val="2"/>
          <w:sz w:val="28"/>
          <w:szCs w:val="28"/>
          <w:highlight w:val="none"/>
          <w:lang w:val="en-US" w:eastAsia="zh-CN" w:bidi="ar-SA"/>
        </w:rPr>
        <w:t>资金实际执行金额是否与预算金额相符。</w:t>
      </w:r>
    </w:p>
    <w:p w14:paraId="770974DB">
      <w:pPr>
        <w:spacing w:line="600" w:lineRule="exact"/>
        <w:ind w:firstLine="63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（3）项目管理（实施）包括：是否建立健全项目管理制度；管理制度是否合法、合规、完整；是否严格执行相关项目管理制度；项目实施人员条件、场地设备、信息支撑是否落实到位。</w:t>
      </w:r>
    </w:p>
    <w:p w14:paraId="2291B524">
      <w:pPr>
        <w:pStyle w:val="20"/>
        <w:spacing w:line="360" w:lineRule="auto"/>
        <w:ind w:firstLine="560"/>
        <w:contextualSpacing/>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财务管理（监督）包括：财务管理制度是否健全；资金使用是否符合资金管理办法的规定；是否符合项目预算批复的用途；是否超标列支相关费用；是否专款专用、存在截留、挤占、挪用、虚列支出等情况；会计核算是否规范；是否为保障资金的安全、规范运行而采取了必要的监控措施，项目资金是否单独核算。</w:t>
      </w:r>
    </w:p>
    <w:p w14:paraId="566BDB11">
      <w:pPr>
        <w:spacing w:line="600" w:lineRule="exact"/>
        <w:ind w:firstLine="63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（5）项目产出包括：项目产出数量是否达到绩效目标；项目的执行标准是否符合绩效目标标准；项目产出时效是否达到标准。</w:t>
      </w:r>
    </w:p>
    <w:p w14:paraId="3EDE8F0E">
      <w:pPr>
        <w:pStyle w:val="20"/>
        <w:spacing w:line="360" w:lineRule="auto"/>
        <w:ind w:firstLine="560"/>
        <w:contextualSpacing/>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（6）项目效益包括：项目实施是否产生直接或间接经济效益；项目实施是否产生社会综合效益；项目实施对社会是否带来可持续影响；项目预期服务对象对项目实施的满意程度。</w:t>
      </w:r>
    </w:p>
    <w:p w14:paraId="0987BE75">
      <w:pPr>
        <w:pStyle w:val="2"/>
        <w:spacing w:line="360" w:lineRule="auto"/>
        <w:ind w:firstLine="630" w:firstLineChars="200"/>
        <w:contextualSpacing/>
        <w:rPr>
          <w:rFonts w:hint="eastAsia" w:ascii="仿宋" w:hAnsi="仿宋" w:eastAsia="仿宋" w:cs="仿宋"/>
          <w:sz w:val="28"/>
          <w:szCs w:val="28"/>
        </w:rPr>
      </w:pPr>
      <w:bookmarkStart w:id="154" w:name="_Toc24502"/>
      <w:r>
        <w:rPr>
          <w:rFonts w:hint="eastAsia" w:ascii="仿宋" w:hAnsi="仿宋" w:eastAsia="仿宋" w:cs="仿宋"/>
          <w:sz w:val="28"/>
          <w:szCs w:val="28"/>
        </w:rPr>
        <w:t>二、绩效评价工作情况</w:t>
      </w:r>
      <w:bookmarkEnd w:id="154"/>
    </w:p>
    <w:p w14:paraId="198A0044">
      <w:pPr>
        <w:pStyle w:val="3"/>
        <w:spacing w:line="360" w:lineRule="auto"/>
        <w:ind w:left="420"/>
        <w:contextualSpacing/>
        <w:rPr>
          <w:rFonts w:hint="eastAsia" w:ascii="仿宋" w:hAnsi="仿宋" w:eastAsia="仿宋" w:cs="仿宋"/>
          <w:sz w:val="28"/>
          <w:szCs w:val="28"/>
          <w:lang w:eastAsia="zh-CN"/>
        </w:rPr>
      </w:pPr>
      <w:bookmarkStart w:id="155" w:name="_Toc15022"/>
      <w:r>
        <w:rPr>
          <w:rFonts w:hint="eastAsia" w:ascii="仿宋" w:hAnsi="仿宋" w:eastAsia="仿宋" w:cs="仿宋"/>
          <w:sz w:val="28"/>
          <w:szCs w:val="28"/>
        </w:rPr>
        <w:t>（一）绩效评价目的和原则</w:t>
      </w:r>
      <w:bookmarkEnd w:id="155"/>
    </w:p>
    <w:p w14:paraId="3CB89ED6">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1、绩效评价目的</w:t>
      </w:r>
    </w:p>
    <w:p w14:paraId="53A6CB0B">
      <w:pPr>
        <w:pStyle w:val="20"/>
        <w:spacing w:line="360" w:lineRule="auto"/>
        <w:ind w:firstLine="560"/>
        <w:contextualSpacing/>
        <w:rPr>
          <w:rFonts w:hint="eastAsia" w:ascii="仿宋" w:hAnsi="仿宋" w:eastAsia="仿宋" w:cs="仿宋"/>
          <w:sz w:val="28"/>
          <w:szCs w:val="28"/>
          <w:lang w:eastAsia="zh-CN"/>
        </w:rPr>
      </w:pPr>
      <w:r>
        <w:rPr>
          <w:rFonts w:hint="eastAsia" w:ascii="仿宋" w:hAnsi="仿宋" w:eastAsia="仿宋" w:cs="仿宋"/>
          <w:sz w:val="28"/>
          <w:szCs w:val="28"/>
          <w:lang w:eastAsia="zh-CN"/>
        </w:rPr>
        <w:t>绩效评价小组</w:t>
      </w:r>
      <w:r>
        <w:rPr>
          <w:rFonts w:hint="eastAsia" w:ascii="仿宋" w:hAnsi="仿宋" w:eastAsia="仿宋" w:cs="仿宋"/>
          <w:sz w:val="28"/>
          <w:szCs w:val="28"/>
        </w:rPr>
        <w:t>通过对</w:t>
      </w:r>
      <w:r>
        <w:rPr>
          <w:rFonts w:hint="eastAsia" w:ascii="仿宋" w:hAnsi="仿宋" w:eastAsia="仿宋" w:cs="仿宋"/>
          <w:sz w:val="28"/>
          <w:szCs w:val="28"/>
          <w:lang w:eastAsia="zh-CN"/>
        </w:rPr>
        <w:t>鄂州市自然资源和规划局第三次全国土地调查工作项目</w:t>
      </w:r>
      <w:r>
        <w:rPr>
          <w:rFonts w:hint="eastAsia" w:ascii="仿宋" w:hAnsi="仿宋" w:eastAsia="仿宋" w:cs="仿宋"/>
          <w:sz w:val="28"/>
          <w:szCs w:val="28"/>
          <w:lang w:val="en-US" w:eastAsia="zh-CN"/>
        </w:rPr>
        <w:t>的</w:t>
      </w:r>
      <w:r>
        <w:rPr>
          <w:rFonts w:hint="eastAsia" w:ascii="仿宋" w:hAnsi="仿宋" w:eastAsia="仿宋" w:cs="仿宋"/>
          <w:sz w:val="28"/>
          <w:szCs w:val="28"/>
        </w:rPr>
        <w:t>运行过程和财务管理进行分析，对“</w:t>
      </w:r>
      <w:r>
        <w:rPr>
          <w:rFonts w:hint="eastAsia" w:ascii="仿宋" w:hAnsi="仿宋" w:eastAsia="仿宋" w:cs="仿宋"/>
          <w:sz w:val="28"/>
          <w:szCs w:val="28"/>
          <w:lang w:eastAsia="zh-CN"/>
        </w:rPr>
        <w:t>项目投入</w:t>
      </w:r>
      <w:r>
        <w:rPr>
          <w:rFonts w:hint="eastAsia" w:ascii="仿宋" w:hAnsi="仿宋" w:eastAsia="仿宋" w:cs="仿宋"/>
          <w:sz w:val="28"/>
          <w:szCs w:val="28"/>
        </w:rPr>
        <w:t>”、“项目</w:t>
      </w:r>
      <w:r>
        <w:rPr>
          <w:rFonts w:hint="eastAsia" w:ascii="仿宋" w:hAnsi="仿宋" w:eastAsia="仿宋" w:cs="仿宋"/>
          <w:sz w:val="28"/>
          <w:szCs w:val="28"/>
          <w:lang w:eastAsia="zh-CN"/>
        </w:rPr>
        <w:t>过程</w:t>
      </w:r>
      <w:r>
        <w:rPr>
          <w:rFonts w:hint="eastAsia" w:ascii="仿宋" w:hAnsi="仿宋" w:eastAsia="仿宋" w:cs="仿宋"/>
          <w:sz w:val="28"/>
          <w:szCs w:val="28"/>
        </w:rPr>
        <w:t>”、“项目产出”和“项目效益”四大</w:t>
      </w:r>
      <w:r>
        <w:rPr>
          <w:rFonts w:hint="eastAsia" w:ascii="仿宋" w:hAnsi="仿宋" w:eastAsia="仿宋" w:cs="仿宋"/>
          <w:sz w:val="28"/>
          <w:szCs w:val="28"/>
          <w:lang w:eastAsia="zh-CN"/>
        </w:rPr>
        <w:t>维度</w:t>
      </w:r>
      <w:r>
        <w:rPr>
          <w:rFonts w:hint="eastAsia" w:ascii="仿宋" w:hAnsi="仿宋" w:eastAsia="仿宋" w:cs="仿宋"/>
          <w:sz w:val="28"/>
          <w:szCs w:val="28"/>
        </w:rPr>
        <w:t>进行绩效</w:t>
      </w:r>
      <w:r>
        <w:rPr>
          <w:rFonts w:hint="eastAsia" w:ascii="仿宋" w:hAnsi="仿宋" w:eastAsia="仿宋" w:cs="仿宋"/>
          <w:sz w:val="28"/>
          <w:szCs w:val="28"/>
          <w:lang w:eastAsia="zh-CN"/>
        </w:rPr>
        <w:t>分析和</w:t>
      </w:r>
      <w:r>
        <w:rPr>
          <w:rFonts w:hint="eastAsia" w:ascii="仿宋" w:hAnsi="仿宋" w:eastAsia="仿宋" w:cs="仿宋"/>
          <w:sz w:val="28"/>
          <w:szCs w:val="28"/>
        </w:rPr>
        <w:t>评价，</w:t>
      </w:r>
      <w:r>
        <w:rPr>
          <w:rFonts w:hint="eastAsia" w:ascii="仿宋" w:hAnsi="仿宋" w:eastAsia="仿宋" w:cs="仿宋"/>
          <w:sz w:val="28"/>
          <w:szCs w:val="28"/>
          <w:lang w:eastAsia="zh-CN"/>
        </w:rPr>
        <w:t>客观公正的反映了鄂州市自然资源和规划局第三次全国土地调查工作项目</w:t>
      </w:r>
      <w:r>
        <w:rPr>
          <w:rFonts w:hint="eastAsia" w:ascii="仿宋" w:hAnsi="仿宋" w:eastAsia="仿宋" w:cs="仿宋"/>
          <w:sz w:val="28"/>
          <w:szCs w:val="28"/>
          <w:lang w:val="en-US" w:eastAsia="zh-CN"/>
        </w:rPr>
        <w:t>资金的使用情况，检验项目支出是否达到预期目标，总结经验，发现问题，提出改进建议，为完善制度、创新机制，加强管理，强化监督，保证财政预算资金使用管理的规范性、安全性和有效性，同时保证</w:t>
      </w:r>
      <w:r>
        <w:rPr>
          <w:rFonts w:hint="eastAsia" w:ascii="仿宋" w:hAnsi="仿宋" w:eastAsia="仿宋" w:cs="仿宋"/>
          <w:sz w:val="28"/>
          <w:szCs w:val="28"/>
        </w:rPr>
        <w:t>项目立项的规范性、绩效目标设立的合理性和科学性，资金到位的及时性、专项支出的合规性</w:t>
      </w:r>
      <w:r>
        <w:rPr>
          <w:rFonts w:hint="eastAsia" w:ascii="仿宋" w:hAnsi="仿宋" w:eastAsia="仿宋" w:cs="仿宋"/>
          <w:sz w:val="28"/>
          <w:szCs w:val="28"/>
          <w:lang w:eastAsia="zh-CN"/>
        </w:rPr>
        <w:t>，</w:t>
      </w:r>
      <w:r>
        <w:rPr>
          <w:rFonts w:hint="eastAsia" w:ascii="仿宋" w:hAnsi="仿宋" w:eastAsia="仿宋" w:cs="仿宋"/>
          <w:sz w:val="28"/>
          <w:szCs w:val="28"/>
        </w:rPr>
        <w:t>确保项目组织实施顺利开展</w:t>
      </w:r>
      <w:r>
        <w:rPr>
          <w:rFonts w:hint="eastAsia" w:ascii="仿宋" w:hAnsi="仿宋" w:eastAsia="仿宋" w:cs="仿宋"/>
          <w:sz w:val="28"/>
          <w:szCs w:val="28"/>
          <w:lang w:eastAsia="zh-CN"/>
        </w:rPr>
        <w:t>，提高预算执行部门的绩效意识，为鄂州市财政局进一步完善预算编制管理，优化支出结构，合理配置资源，提高财政资金使用效率和效益，加强绩效评价结果运用提供重要的参考依据。</w:t>
      </w:r>
    </w:p>
    <w:p w14:paraId="06843315">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2、绩效评价原则</w:t>
      </w:r>
    </w:p>
    <w:p w14:paraId="1A5D8079">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科学规范原则。根据项目类型，按照规范、公开、透明的要求制定科学、合理的绩效评价指标、评价标准、评价方法，严格执行规定的程序对专项资金项目进行客观、公正的评价。</w:t>
      </w:r>
    </w:p>
    <w:p w14:paraId="278F5CAC">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独立公正原则。绩效评价委托专家组评价，并积极为专家组营造良好氛围，保证绩效评价过程的独立性与公正性。</w:t>
      </w:r>
    </w:p>
    <w:p w14:paraId="7A771A01">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突出重点原则。根据项目实际情况，本次项目检查的重点从项目投入、过程、产出和效益四个方面进行评价。</w:t>
      </w:r>
    </w:p>
    <w:p w14:paraId="61A2D9A6">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系统性原则。将定量指标与定性指标相结合，系统反映预算支出所产生的社会效</w:t>
      </w:r>
      <w:r>
        <w:rPr>
          <w:rFonts w:hint="eastAsia" w:ascii="仿宋" w:hAnsi="仿宋" w:eastAsia="仿宋" w:cs="仿宋"/>
          <w:kern w:val="2"/>
          <w:sz w:val="28"/>
          <w:szCs w:val="28"/>
          <w:lang w:val="en-US" w:eastAsia="zh-CN" w:bidi="ar-SA"/>
        </w:rPr>
        <w:t>益和经济效</w:t>
      </w:r>
      <w:r>
        <w:rPr>
          <w:rFonts w:hint="eastAsia" w:ascii="仿宋" w:hAnsi="仿宋" w:eastAsia="仿宋" w:cs="仿宋"/>
          <w:sz w:val="28"/>
          <w:szCs w:val="28"/>
        </w:rPr>
        <w:t>益等。</w:t>
      </w:r>
    </w:p>
    <w:p w14:paraId="454EA83F">
      <w:pPr>
        <w:pStyle w:val="3"/>
        <w:spacing w:line="360" w:lineRule="auto"/>
        <w:ind w:left="420"/>
        <w:contextualSpacing/>
        <w:rPr>
          <w:rFonts w:hint="eastAsia" w:ascii="仿宋" w:hAnsi="仿宋" w:eastAsia="仿宋" w:cs="仿宋"/>
          <w:sz w:val="28"/>
          <w:szCs w:val="28"/>
        </w:rPr>
      </w:pPr>
      <w:bookmarkStart w:id="156" w:name="_Toc13826"/>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）绩效评价</w:t>
      </w:r>
      <w:r>
        <w:rPr>
          <w:rFonts w:hint="eastAsia" w:ascii="仿宋" w:hAnsi="仿宋" w:eastAsia="仿宋" w:cs="仿宋"/>
          <w:sz w:val="28"/>
          <w:szCs w:val="28"/>
          <w:lang w:eastAsia="zh-CN"/>
        </w:rPr>
        <w:t>工作</w:t>
      </w:r>
      <w:r>
        <w:rPr>
          <w:rFonts w:hint="eastAsia" w:ascii="仿宋" w:hAnsi="仿宋" w:eastAsia="仿宋" w:cs="仿宋"/>
          <w:sz w:val="28"/>
          <w:szCs w:val="28"/>
        </w:rPr>
        <w:t>过程</w:t>
      </w:r>
      <w:bookmarkEnd w:id="156"/>
    </w:p>
    <w:p w14:paraId="40A19116">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这次绩效评价工作按照严格的程序和规范。具体实施步骤如下：</w:t>
      </w:r>
    </w:p>
    <w:p w14:paraId="090D5D9A">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（一）前期准备阶段</w:t>
      </w:r>
    </w:p>
    <w:p w14:paraId="103F1C3B">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1、成立绩效评价工作组，确定评价组长及评价成员和工作职责；</w:t>
      </w:r>
    </w:p>
    <w:p w14:paraId="2C5B47E1">
      <w:pPr>
        <w:spacing w:line="360" w:lineRule="auto"/>
        <w:ind w:firstLine="624"/>
        <w:contextualSpacing/>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工作组成员构成如下：</w:t>
      </w:r>
    </w:p>
    <w:p w14:paraId="0882E4FF">
      <w:pPr>
        <w:spacing w:line="360" w:lineRule="auto"/>
        <w:ind w:firstLine="624"/>
        <w:contextualSpacing/>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湖北诚达信会计师事务有限公司：宋立珍、刘岩、李付佳</w:t>
      </w:r>
    </w:p>
    <w:p w14:paraId="11A2E48A">
      <w:pPr>
        <w:spacing w:line="360" w:lineRule="auto"/>
        <w:ind w:firstLine="624"/>
        <w:contextualSpacing/>
        <w:rPr>
          <w:rFonts w:hint="eastAsia" w:ascii="仿宋" w:hAnsi="仿宋" w:eastAsia="仿宋" w:cs="仿宋"/>
          <w:sz w:val="28"/>
          <w:szCs w:val="28"/>
          <w:lang w:eastAsia="zh-CN"/>
        </w:rPr>
      </w:pPr>
      <w:r>
        <w:rPr>
          <w:rFonts w:hint="eastAsia" w:ascii="仿宋" w:hAnsi="仿宋" w:eastAsia="仿宋" w:cs="仿宋"/>
          <w:sz w:val="28"/>
          <w:szCs w:val="28"/>
        </w:rPr>
        <w:t>2、了解和熟悉</w:t>
      </w:r>
      <w:r>
        <w:rPr>
          <w:rFonts w:hint="eastAsia" w:ascii="仿宋" w:hAnsi="仿宋" w:eastAsia="仿宋" w:cs="仿宋"/>
          <w:sz w:val="28"/>
          <w:szCs w:val="28"/>
          <w:lang w:eastAsia="zh-CN"/>
        </w:rPr>
        <w:t>鄂州市自然资源和规划局第三次全国土地调查工作项目</w:t>
      </w:r>
      <w:r>
        <w:rPr>
          <w:rFonts w:hint="eastAsia" w:ascii="仿宋" w:hAnsi="仿宋" w:eastAsia="仿宋" w:cs="仿宋"/>
          <w:sz w:val="28"/>
          <w:szCs w:val="28"/>
        </w:rPr>
        <w:t>的基本情况，制定绩效评价实施方案</w:t>
      </w:r>
      <w:r>
        <w:rPr>
          <w:rFonts w:hint="eastAsia" w:ascii="仿宋" w:hAnsi="仿宋" w:eastAsia="仿宋" w:cs="仿宋"/>
          <w:sz w:val="28"/>
          <w:szCs w:val="28"/>
          <w:lang w:eastAsia="zh-CN"/>
        </w:rPr>
        <w:t>。</w:t>
      </w:r>
    </w:p>
    <w:p w14:paraId="65E4E8DC">
      <w:pPr>
        <w:spacing w:line="360" w:lineRule="auto"/>
        <w:ind w:firstLine="624"/>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3、收集基础数据和资料。绩效评价小组按要求进行前期调研、到现场采取勘察、询查、复核等方式整理评价数据和资料。</w:t>
      </w:r>
    </w:p>
    <w:p w14:paraId="45143F98">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、进行绩效评价框架开发与设计，</w:t>
      </w:r>
      <w:r>
        <w:rPr>
          <w:rFonts w:hint="eastAsia" w:ascii="仿宋" w:hAnsi="仿宋" w:eastAsia="仿宋" w:cs="仿宋"/>
          <w:sz w:val="28"/>
          <w:szCs w:val="28"/>
          <w:lang w:eastAsia="zh-CN"/>
        </w:rPr>
        <w:t>建立具有科学性、简易性、可操作性的绩效考核体系，是本次绩效评价工作的关键之一。根据《鄂州市财政项目支出绩效评价指标体系》，结合鄂州市自然资源和规划局第三次全国土地调查工作</w:t>
      </w:r>
      <w:r>
        <w:rPr>
          <w:rFonts w:hint="eastAsia" w:ascii="仿宋" w:hAnsi="仿宋" w:eastAsia="仿宋" w:cs="仿宋"/>
          <w:sz w:val="28"/>
          <w:szCs w:val="28"/>
          <w:lang w:val="en-US" w:eastAsia="zh-CN"/>
        </w:rPr>
        <w:t>项目的具体特点，进一步对指标进行适当调整，全面综合反映项目支出的“管”、“绩”和“效”情况。</w:t>
      </w:r>
    </w:p>
    <w:p w14:paraId="4DF408AD">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、将设计好的绩效评价指标体系及绩效评价实施方案报委托方组织专家审核，通过后组织实施。</w:t>
      </w:r>
    </w:p>
    <w:p w14:paraId="3380C9A4">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（二）组织绩效评价阶段</w:t>
      </w:r>
    </w:p>
    <w:p w14:paraId="7E004361">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按照绩效评价规范要求，绩效评价工作组在收集准备了相关资料，对所有资料进行核实、验证。通过查阅项目档案、现场调研、座谈、问卷调查等方式，对被评价项目的相关资料信息进行整理、分析，以评价该项目在项目决策、项目管理上是否依法依规，在项目绩效方面是否高效可持续。</w:t>
      </w:r>
    </w:p>
    <w:p w14:paraId="134EB79D">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收集项目投入、</w:t>
      </w:r>
      <w:r>
        <w:rPr>
          <w:rFonts w:hint="eastAsia" w:ascii="仿宋" w:hAnsi="仿宋" w:eastAsia="仿宋" w:cs="仿宋"/>
          <w:sz w:val="28"/>
          <w:szCs w:val="28"/>
          <w:lang w:eastAsia="zh-CN"/>
        </w:rPr>
        <w:t>过程</w:t>
      </w:r>
      <w:r>
        <w:rPr>
          <w:rFonts w:hint="eastAsia" w:ascii="仿宋" w:hAnsi="仿宋" w:eastAsia="仿宋" w:cs="仿宋"/>
          <w:sz w:val="28"/>
          <w:szCs w:val="28"/>
        </w:rPr>
        <w:t>、产出及效果相关资料；</w:t>
      </w:r>
    </w:p>
    <w:p w14:paraId="3B96B45C">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通过与项目实施人员、财务人员进行面访座谈、介绍取得的成果和存在的问题，针对存在的问题进行探讨，并给出相关建议。同时，听取他们对项目绩效评价指标体系设立的意见和建议，评价小组完成面访座谈调研记录；</w:t>
      </w:r>
    </w:p>
    <w:p w14:paraId="1233A1B5">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查阅账本、凭证，包括单位的总账、明细账及辅助账等进行核查，对项目的资金来源及去向进行分类整理；</w:t>
      </w:r>
    </w:p>
    <w:p w14:paraId="13A54546">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查阅项目档案。查阅</w:t>
      </w:r>
      <w:r>
        <w:rPr>
          <w:rFonts w:hint="eastAsia" w:ascii="仿宋" w:hAnsi="仿宋" w:eastAsia="仿宋" w:cs="仿宋"/>
          <w:sz w:val="28"/>
          <w:szCs w:val="28"/>
          <w:lang w:eastAsia="zh-CN"/>
        </w:rPr>
        <w:t>鄂州</w:t>
      </w:r>
      <w:r>
        <w:rPr>
          <w:rFonts w:hint="eastAsia" w:ascii="仿宋" w:hAnsi="仿宋" w:eastAsia="仿宋" w:cs="仿宋"/>
          <w:sz w:val="28"/>
          <w:szCs w:val="28"/>
        </w:rPr>
        <w:t>市</w:t>
      </w:r>
      <w:r>
        <w:rPr>
          <w:rFonts w:hint="eastAsia" w:ascii="仿宋" w:hAnsi="仿宋" w:eastAsia="仿宋" w:cs="仿宋"/>
          <w:sz w:val="28"/>
          <w:szCs w:val="28"/>
          <w:lang w:eastAsia="zh-CN"/>
        </w:rPr>
        <w:t>劳动就业管理</w:t>
      </w:r>
      <w:r>
        <w:rPr>
          <w:rFonts w:hint="eastAsia" w:ascii="仿宋" w:hAnsi="仿宋" w:eastAsia="仿宋" w:cs="仿宋"/>
          <w:sz w:val="28"/>
          <w:szCs w:val="28"/>
        </w:rPr>
        <w:t>局</w:t>
      </w:r>
      <w:r>
        <w:rPr>
          <w:rFonts w:hint="eastAsia" w:ascii="仿宋" w:hAnsi="仿宋" w:eastAsia="仿宋" w:cs="仿宋"/>
          <w:sz w:val="28"/>
          <w:szCs w:val="28"/>
          <w:lang w:eastAsia="zh-CN"/>
        </w:rPr>
        <w:t>就业补助</w:t>
      </w:r>
      <w:r>
        <w:rPr>
          <w:rFonts w:hint="eastAsia" w:ascii="仿宋" w:hAnsi="仿宋" w:eastAsia="仿宋" w:cs="仿宋"/>
          <w:sz w:val="28"/>
          <w:szCs w:val="28"/>
        </w:rPr>
        <w:t>项目实施档案资料，资料项目预算文本中各子项的执行情况；</w:t>
      </w:r>
    </w:p>
    <w:p w14:paraId="035A0260">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问卷调查。项目组成员通过对受益群众开展问卷调查，获取相关信息资料。</w:t>
      </w:r>
    </w:p>
    <w:p w14:paraId="751BBB30">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（三）绩效评价分析阶段</w:t>
      </w:r>
    </w:p>
    <w:p w14:paraId="1F4CC02E">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在绩效评价指标框架内，根据项目实施的实际情况，选择相应的评估指标，并对收集到的资料、调查问卷统计结果进行比对和交叉验证、数据进行具体分析，将分析结果与预算标准、指标体系、项目管理制度、财务资金管理制度等资料进行比对，计算评价指标的得分情况，初步确定项目绩效的评价结果。</w:t>
      </w:r>
    </w:p>
    <w:p w14:paraId="6ECB22FC">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绩效评价汇总阶段</w:t>
      </w:r>
    </w:p>
    <w:p w14:paraId="6695C398">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对初步确定项目绩效的评价结果进行逐级复核、汇总、分析，核查评价工作中是否存在重复和遗漏的情况。在此基础上，撰写项目绩效评价报告初稿，经项目经理复核后再</w:t>
      </w:r>
      <w:r>
        <w:rPr>
          <w:rFonts w:hint="eastAsia" w:ascii="仿宋" w:hAnsi="仿宋" w:eastAsia="仿宋" w:cs="仿宋"/>
          <w:sz w:val="28"/>
          <w:szCs w:val="28"/>
          <w:lang w:eastAsia="zh-CN"/>
        </w:rPr>
        <w:t>经</w:t>
      </w:r>
      <w:r>
        <w:rPr>
          <w:rFonts w:hint="eastAsia" w:ascii="仿宋" w:hAnsi="仿宋" w:eastAsia="仿宋" w:cs="仿宋"/>
          <w:sz w:val="28"/>
          <w:szCs w:val="28"/>
        </w:rPr>
        <w:t>部门经理和法定代表人复核。</w:t>
      </w:r>
    </w:p>
    <w:p w14:paraId="10E3A616">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（五）提交报告阶段</w:t>
      </w:r>
    </w:p>
    <w:p w14:paraId="16F940C2">
      <w:pPr>
        <w:spacing w:line="360" w:lineRule="auto"/>
        <w:ind w:firstLine="624"/>
        <w:contextualSpacing/>
        <w:rPr>
          <w:rFonts w:hint="eastAsia" w:ascii="仿宋" w:hAnsi="仿宋" w:eastAsia="仿宋" w:cs="仿宋"/>
          <w:sz w:val="28"/>
          <w:szCs w:val="28"/>
        </w:rPr>
      </w:pPr>
      <w:r>
        <w:rPr>
          <w:rFonts w:hint="eastAsia" w:ascii="仿宋" w:hAnsi="仿宋" w:eastAsia="仿宋" w:cs="仿宋"/>
          <w:sz w:val="28"/>
          <w:szCs w:val="28"/>
        </w:rPr>
        <w:t>向委托方提交项目绩效评价报告初稿，在同委托方、被评价单位充分交换意见后，对照《湖北省财政项目绩效评价操作指南》（鄂财函[2014]376号）评价报告标准要求，规范完善绩效评价报告，并向委托方提交正式的绩效评价报告。</w:t>
      </w:r>
    </w:p>
    <w:p w14:paraId="380FB997">
      <w:pPr>
        <w:pStyle w:val="3"/>
        <w:spacing w:line="360" w:lineRule="auto"/>
        <w:ind w:left="420"/>
        <w:contextualSpacing/>
        <w:rPr>
          <w:rFonts w:hint="eastAsia" w:ascii="仿宋" w:hAnsi="仿宋" w:eastAsia="仿宋" w:cs="仿宋"/>
          <w:sz w:val="28"/>
          <w:szCs w:val="28"/>
          <w:lang w:eastAsia="zh-CN"/>
        </w:rPr>
      </w:pPr>
      <w:bookmarkStart w:id="157" w:name="_Toc30659"/>
      <w:r>
        <w:rPr>
          <w:rFonts w:hint="eastAsia" w:ascii="仿宋" w:hAnsi="仿宋" w:eastAsia="仿宋" w:cs="仿宋"/>
          <w:sz w:val="28"/>
          <w:szCs w:val="28"/>
        </w:rPr>
        <w:t>（三）绩效评价</w:t>
      </w:r>
      <w:r>
        <w:rPr>
          <w:rFonts w:hint="eastAsia" w:ascii="仿宋" w:hAnsi="仿宋" w:eastAsia="仿宋" w:cs="仿宋"/>
          <w:sz w:val="28"/>
          <w:szCs w:val="28"/>
          <w:lang w:eastAsia="zh-CN"/>
        </w:rPr>
        <w:t>框架</w:t>
      </w:r>
      <w:bookmarkEnd w:id="157"/>
    </w:p>
    <w:p w14:paraId="702B7571">
      <w:pPr>
        <w:pStyle w:val="4"/>
        <w:rPr>
          <w:rFonts w:hint="eastAsia" w:ascii="仿宋" w:hAnsi="仿宋" w:eastAsia="仿宋" w:cs="仿宋"/>
          <w:sz w:val="28"/>
          <w:szCs w:val="28"/>
        </w:rPr>
      </w:pPr>
      <w:bookmarkStart w:id="158" w:name="_Toc19957"/>
      <w:r>
        <w:rPr>
          <w:rFonts w:hint="eastAsia" w:ascii="仿宋" w:hAnsi="仿宋" w:eastAsia="仿宋" w:cs="仿宋"/>
          <w:sz w:val="28"/>
          <w:szCs w:val="28"/>
        </w:rPr>
        <w:t>1、绩效评价</w:t>
      </w:r>
      <w:r>
        <w:rPr>
          <w:rFonts w:hint="eastAsia" w:ascii="仿宋" w:hAnsi="仿宋" w:eastAsia="仿宋" w:cs="仿宋"/>
          <w:sz w:val="28"/>
          <w:szCs w:val="28"/>
          <w:lang w:eastAsia="zh-CN"/>
        </w:rPr>
        <w:t>框架</w:t>
      </w:r>
      <w:r>
        <w:rPr>
          <w:rFonts w:hint="eastAsia" w:ascii="仿宋" w:hAnsi="仿宋" w:eastAsia="仿宋" w:cs="仿宋"/>
          <w:sz w:val="28"/>
          <w:szCs w:val="28"/>
        </w:rPr>
        <w:t>的设计原则</w:t>
      </w:r>
      <w:bookmarkEnd w:id="158"/>
    </w:p>
    <w:p w14:paraId="69AA4CA2">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（1）总体原则。结果导向与过程控制是财政资金使用绩效评价的内在要求，本次评价的主要标准是财政资金预定（单位目标任务书规定）绩效目标的实现程度。</w:t>
      </w:r>
    </w:p>
    <w:p w14:paraId="7ECD95DC">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（2）重要性原则。针对项目特点优先使用最具评价对象代表性、最能反映评价要求的核心指标。</w:t>
      </w:r>
    </w:p>
    <w:p w14:paraId="37BC58D7">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（3）客观公正原则。依据绩效评价准则的有关要求开展评价活动，力求评价过程的客观性和公正性。</w:t>
      </w:r>
    </w:p>
    <w:p w14:paraId="629B5FBE">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（4）科学规范原则。绩效评价指标体系的设计具有科学性和可操作性，评价的实施，遵循规范的评价程序和方法，采用定量分析与定性分析、共性和个性指标相结合的方法，准确、合理地评价。</w:t>
      </w:r>
    </w:p>
    <w:p w14:paraId="6DC6C015">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（5）全面系统性原则。绩效评价将定量指标与定性指标相结合，系统反映财政支出所产生的社会效益、行政效能和可持续影响。</w:t>
      </w:r>
    </w:p>
    <w:p w14:paraId="31B205D6">
      <w:pPr>
        <w:pStyle w:val="20"/>
        <w:spacing w:line="360" w:lineRule="auto"/>
        <w:ind w:firstLine="560"/>
        <w:contextualSpacing/>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问题导向原则。绩效评价以实现项目预定目标为基础，以可能出现的问题和应当规避的问题为导向，重点考核查找项目目标的相关性、目标实现程度、相对于目标实现程度的效率以及项目成效的可持续性所存在的问题，并以此提出整改措施。</w:t>
      </w:r>
    </w:p>
    <w:p w14:paraId="48751227">
      <w:pPr>
        <w:pStyle w:val="20"/>
        <w:spacing w:line="360" w:lineRule="auto"/>
        <w:ind w:firstLine="560"/>
        <w:contextualSpacing/>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绩效相关原则。项目各利益相关者，包括项目管理方、项目实施单位、项目组织（推荐）单位、项目受益群体等，以适当方式参与考评过程；评价指标针对项目的具体支出及其产出绩效，清晰反映支出和产出绩效之间的紧密对应关系。</w:t>
      </w:r>
    </w:p>
    <w:p w14:paraId="767C78D4">
      <w:pPr>
        <w:pStyle w:val="4"/>
        <w:ind w:left="0" w:leftChars="0" w:firstLine="630" w:firstLineChars="200"/>
        <w:rPr>
          <w:rFonts w:hint="eastAsia" w:ascii="仿宋" w:hAnsi="仿宋" w:eastAsia="仿宋" w:cs="仿宋"/>
          <w:sz w:val="28"/>
          <w:szCs w:val="28"/>
        </w:rPr>
      </w:pPr>
      <w:bookmarkStart w:id="159" w:name="_Toc5357"/>
      <w:r>
        <w:rPr>
          <w:rFonts w:hint="eastAsia" w:ascii="仿宋" w:hAnsi="仿宋" w:eastAsia="仿宋" w:cs="仿宋"/>
          <w:sz w:val="28"/>
          <w:szCs w:val="28"/>
        </w:rPr>
        <w:t>2、绩效评价</w:t>
      </w:r>
      <w:r>
        <w:rPr>
          <w:rFonts w:hint="eastAsia" w:ascii="仿宋" w:hAnsi="仿宋" w:eastAsia="仿宋" w:cs="仿宋"/>
          <w:sz w:val="28"/>
          <w:szCs w:val="28"/>
          <w:lang w:eastAsia="zh-CN"/>
        </w:rPr>
        <w:t>框架</w:t>
      </w:r>
      <w:r>
        <w:rPr>
          <w:rFonts w:hint="eastAsia" w:ascii="仿宋" w:hAnsi="仿宋" w:eastAsia="仿宋" w:cs="仿宋"/>
          <w:sz w:val="28"/>
          <w:szCs w:val="28"/>
        </w:rPr>
        <w:t>的设计方法</w:t>
      </w:r>
      <w:bookmarkEnd w:id="159"/>
    </w:p>
    <w:p w14:paraId="773E3AE6">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（1）指标体系的形成</w:t>
      </w:r>
    </w:p>
    <w:p w14:paraId="35F556F4">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根据该项目实际情况，绩效评价指标的设计具体分两个步骤：</w:t>
      </w:r>
    </w:p>
    <w:p w14:paraId="6A0BDDB2">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第一步，采用层次分析法(AHP)，建立评价指标库。</w:t>
      </w:r>
    </w:p>
    <w:p w14:paraId="5744E07A">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运用层次分析法建立绩效评价指标体系，一般将指标分成目标层、状态层、元素层、指标层，最终形成一个由许多相互联系的指标组成的多层次的指标体系。</w:t>
      </w:r>
    </w:p>
    <w:p w14:paraId="5D635061">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第二步，采用专家调查法(Delphi)，确定评价指标。</w:t>
      </w:r>
    </w:p>
    <w:p w14:paraId="4B1E0EDA">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评价指标库建立后，邀请若干专家对指标库中的指标进行分析、权衡、补充、选择，最后确定评价指标。</w:t>
      </w:r>
    </w:p>
    <w:p w14:paraId="26987EE7">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（2）指标权重的确定</w:t>
      </w:r>
    </w:p>
    <w:p w14:paraId="47A0FA10">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指标权重的确定有主观法和客观法两大类。结合该项目实际情况，本项目中采用专家集体商议的办法确定权重。</w:t>
      </w:r>
    </w:p>
    <w:p w14:paraId="062C7B70">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（3）指标标准值的确定</w:t>
      </w:r>
    </w:p>
    <w:p w14:paraId="4D50576D">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指标标准值是绩效评价指标的标尺或准绳，既要反映国内外同类项目的先进水平，又要符合本省市财政支出项目的实际绩效水平。具体采用以下标准：</w:t>
      </w:r>
    </w:p>
    <w:p w14:paraId="4B43A608">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计划标准。即以预先制定的目标、计划、预算、定额等作为评价标准。</w:t>
      </w:r>
    </w:p>
    <w:p w14:paraId="386C0761">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行业标准。即以同行业的相关指标数据为样本，运用一定的统计方法计算得出的评价标准。</w:t>
      </w:r>
    </w:p>
    <w:p w14:paraId="525868BE">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历史标准。即以本地区、本部门、本单位或同类部门、单位绩效评价指标的历史数据为样本，运用统计方法计算出的历史平均水平作为评价标准。</w:t>
      </w:r>
    </w:p>
    <w:p w14:paraId="0159B866">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经验标准。即由专家根据实际经验和经济社会的发展规律，经分析研究后得出的评价标准。</w:t>
      </w:r>
    </w:p>
    <w:p w14:paraId="47D4B054">
      <w:pPr>
        <w:pStyle w:val="4"/>
        <w:ind w:left="0" w:leftChars="0" w:firstLine="630" w:firstLineChars="200"/>
        <w:rPr>
          <w:rFonts w:hint="eastAsia" w:ascii="仿宋" w:hAnsi="仿宋" w:eastAsia="仿宋" w:cs="仿宋"/>
          <w:sz w:val="28"/>
          <w:szCs w:val="28"/>
          <w:lang w:val="en-US" w:eastAsia="zh-CN"/>
        </w:rPr>
      </w:pPr>
      <w:bookmarkStart w:id="160" w:name="_Toc20364"/>
      <w:r>
        <w:rPr>
          <w:rFonts w:hint="eastAsia" w:ascii="仿宋" w:hAnsi="仿宋" w:eastAsia="仿宋" w:cs="仿宋"/>
          <w:sz w:val="28"/>
          <w:szCs w:val="28"/>
          <w:lang w:val="en-US" w:eastAsia="zh-CN"/>
        </w:rPr>
        <w:t>3、评价依据</w:t>
      </w:r>
      <w:bookmarkEnd w:id="160"/>
    </w:p>
    <w:p w14:paraId="65FFC2BA">
      <w:pPr>
        <w:pStyle w:val="20"/>
        <w:spacing w:line="360" w:lineRule="auto"/>
        <w:ind w:firstLine="560"/>
        <w:contextualSpacing/>
        <w:rPr>
          <w:rFonts w:hint="eastAsia" w:ascii="仿宋" w:hAnsi="仿宋" w:eastAsia="仿宋" w:cs="仿宋"/>
          <w:sz w:val="28"/>
          <w:szCs w:val="28"/>
        </w:rPr>
      </w:pPr>
      <w:r>
        <w:rPr>
          <w:rFonts w:hint="eastAsia" w:ascii="仿宋" w:hAnsi="仿宋" w:eastAsia="仿宋" w:cs="仿宋"/>
          <w:sz w:val="28"/>
          <w:szCs w:val="28"/>
        </w:rPr>
        <w:t>（一）法规、政策依据</w:t>
      </w:r>
    </w:p>
    <w:p w14:paraId="242F0805">
      <w:pPr>
        <w:spacing w:line="600" w:lineRule="exact"/>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1.《中华人民共和国预算法》；</w:t>
      </w:r>
    </w:p>
    <w:p w14:paraId="3B653A57">
      <w:pPr>
        <w:spacing w:line="600" w:lineRule="exact"/>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2.《中共中央国务院关于全面实施预算绩效管理的意见》（中发[2018]34号）；</w:t>
      </w:r>
    </w:p>
    <w:p w14:paraId="38F01678">
      <w:pPr>
        <w:spacing w:line="600" w:lineRule="exact"/>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3.《财政支出绩效评价管理暂行办法》的通知（财政部财预[2011]285号）；</w:t>
      </w:r>
    </w:p>
    <w:p w14:paraId="06AFD58C">
      <w:pPr>
        <w:spacing w:line="600" w:lineRule="exact"/>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4.《湖北省财政厅关于印发（湖北省第三方机构参与预算绩效管理工作暂行办法）的通知》（鄂财绩规［2014］3号）；</w:t>
      </w:r>
    </w:p>
    <w:p w14:paraId="256652C5">
      <w:pPr>
        <w:spacing w:line="600" w:lineRule="exact"/>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5.《湖北省财政厅关于印发（湖北省财政项目绩效评价操作指南）》（鄂财函[2014]376号）；</w:t>
      </w:r>
    </w:p>
    <w:p w14:paraId="2AEF48CC">
      <w:pPr>
        <w:spacing w:line="600" w:lineRule="exact"/>
        <w:ind w:firstLine="630" w:firstLineChars="200"/>
        <w:rPr>
          <w:rFonts w:hint="eastAsia" w:ascii="仿宋" w:hAnsi="仿宋" w:eastAsia="仿宋" w:cs="仿宋"/>
          <w:kern w:val="0"/>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kern w:val="0"/>
          <w:sz w:val="28"/>
          <w:szCs w:val="28"/>
          <w:lang w:val="en-US" w:eastAsia="zh-CN"/>
        </w:rPr>
        <w:t>国土资源“十三五”规划纲要》；</w:t>
      </w:r>
    </w:p>
    <w:p w14:paraId="5B43C522">
      <w:pPr>
        <w:spacing w:line="600" w:lineRule="exact"/>
        <w:ind w:firstLine="63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7.《关于做好第三次全国土地调查工作的通知》；</w:t>
      </w:r>
    </w:p>
    <w:p w14:paraId="737C9357">
      <w:pPr>
        <w:spacing w:line="600" w:lineRule="exact"/>
        <w:ind w:firstLine="630" w:firstLineChars="200"/>
        <w:rPr>
          <w:rFonts w:hint="default" w:ascii="仿宋" w:hAnsi="仿宋" w:eastAsia="仿宋" w:cs="仿宋"/>
          <w:kern w:val="2"/>
          <w:sz w:val="28"/>
          <w:szCs w:val="28"/>
          <w:lang w:val="en-US" w:eastAsia="zh-CN" w:bidi="ar-SA"/>
        </w:rPr>
      </w:pPr>
      <w:r>
        <w:rPr>
          <w:rFonts w:hint="eastAsia" w:ascii="仿宋" w:hAnsi="仿宋" w:eastAsia="仿宋" w:cs="仿宋"/>
          <w:kern w:val="0"/>
          <w:sz w:val="28"/>
          <w:szCs w:val="28"/>
          <w:lang w:val="en-US" w:eastAsia="zh-CN"/>
        </w:rPr>
        <w:t>8.《第三次全国土地调查总体方案》（国土调查办发[2018]1号）。</w:t>
      </w:r>
    </w:p>
    <w:p w14:paraId="6E0F9A6E">
      <w:pPr>
        <w:spacing w:line="600" w:lineRule="exact"/>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（二）相关部门和单位按照本次绩效评价的通知要求提供的基础资料；</w:t>
      </w:r>
    </w:p>
    <w:p w14:paraId="6960B881">
      <w:pPr>
        <w:spacing w:line="600" w:lineRule="exact"/>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（三）实施单位和部门对项目建设、资金支出、绩效实现情况进行的自查、自评资料；</w:t>
      </w:r>
    </w:p>
    <w:p w14:paraId="5AB068C2">
      <w:pPr>
        <w:ind w:firstLine="63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（四）评价工作人员通过现场调查、核实等获得的资料；</w:t>
      </w:r>
    </w:p>
    <w:p w14:paraId="6F009FEE">
      <w:pPr>
        <w:pStyle w:val="4"/>
        <w:ind w:left="0" w:leftChars="0" w:firstLine="630" w:firstLineChars="200"/>
        <w:rPr>
          <w:rFonts w:hint="eastAsia" w:ascii="仿宋" w:hAnsi="仿宋" w:eastAsia="仿宋" w:cs="仿宋"/>
          <w:sz w:val="28"/>
          <w:szCs w:val="28"/>
        </w:rPr>
      </w:pPr>
      <w:bookmarkStart w:id="161" w:name="_Toc27785"/>
      <w:r>
        <w:rPr>
          <w:rFonts w:hint="eastAsia" w:ascii="仿宋" w:hAnsi="仿宋" w:eastAsia="仿宋" w:cs="仿宋"/>
          <w:sz w:val="28"/>
          <w:szCs w:val="28"/>
          <w:lang w:val="en-US" w:eastAsia="zh-CN"/>
        </w:rPr>
        <w:t>4</w:t>
      </w:r>
      <w:r>
        <w:rPr>
          <w:rFonts w:hint="eastAsia" w:ascii="仿宋" w:hAnsi="仿宋" w:eastAsia="仿宋" w:cs="仿宋"/>
          <w:sz w:val="28"/>
          <w:szCs w:val="28"/>
        </w:rPr>
        <w:t>、绩效评价指标体系</w:t>
      </w:r>
      <w:bookmarkEnd w:id="161"/>
    </w:p>
    <w:p w14:paraId="6B720D0B">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评价组根据相关评价依据和原则，结合该项目实际情况，对绩效评价</w:t>
      </w:r>
      <w:r>
        <w:rPr>
          <w:rFonts w:hint="eastAsia" w:ascii="仿宋" w:hAnsi="仿宋" w:eastAsia="仿宋" w:cs="仿宋"/>
          <w:sz w:val="28"/>
          <w:szCs w:val="28"/>
          <w:lang w:eastAsia="zh-CN"/>
        </w:rPr>
        <w:t>指标体系</w:t>
      </w:r>
      <w:r>
        <w:rPr>
          <w:rFonts w:hint="eastAsia" w:ascii="仿宋" w:hAnsi="仿宋" w:eastAsia="仿宋" w:cs="仿宋"/>
          <w:sz w:val="28"/>
          <w:szCs w:val="28"/>
        </w:rPr>
        <w:t>进行了设计。此次绩效评价在指标体系设计上共分为三级指标。其中一级指标</w:t>
      </w:r>
      <w:r>
        <w:rPr>
          <w:rFonts w:hint="eastAsia" w:ascii="仿宋" w:hAnsi="仿宋" w:eastAsia="仿宋" w:cs="仿宋"/>
          <w:sz w:val="28"/>
          <w:szCs w:val="28"/>
          <w:lang w:val="en-US" w:eastAsia="zh-CN"/>
        </w:rPr>
        <w:t>4</w:t>
      </w:r>
      <w:r>
        <w:rPr>
          <w:rFonts w:hint="eastAsia" w:ascii="仿宋" w:hAnsi="仿宋" w:eastAsia="仿宋" w:cs="仿宋"/>
          <w:sz w:val="28"/>
          <w:szCs w:val="28"/>
        </w:rPr>
        <w:t>个，分别为</w:t>
      </w:r>
      <w:r>
        <w:rPr>
          <w:rFonts w:hint="eastAsia" w:ascii="仿宋" w:hAnsi="仿宋" w:eastAsia="仿宋" w:cs="仿宋"/>
          <w:sz w:val="28"/>
          <w:szCs w:val="28"/>
          <w:lang w:eastAsia="zh-CN"/>
        </w:rPr>
        <w:t>投入</w:t>
      </w:r>
      <w:r>
        <w:rPr>
          <w:rFonts w:hint="eastAsia" w:ascii="仿宋" w:hAnsi="仿宋" w:eastAsia="仿宋" w:cs="仿宋"/>
          <w:sz w:val="28"/>
          <w:szCs w:val="28"/>
        </w:rPr>
        <w:t>、</w:t>
      </w:r>
      <w:r>
        <w:rPr>
          <w:rFonts w:hint="eastAsia" w:ascii="仿宋" w:hAnsi="仿宋" w:eastAsia="仿宋" w:cs="仿宋"/>
          <w:sz w:val="28"/>
          <w:szCs w:val="28"/>
          <w:lang w:eastAsia="zh-CN"/>
        </w:rPr>
        <w:t>过程</w:t>
      </w:r>
      <w:r>
        <w:rPr>
          <w:rFonts w:hint="eastAsia" w:ascii="仿宋" w:hAnsi="仿宋" w:eastAsia="仿宋" w:cs="仿宋"/>
          <w:sz w:val="28"/>
          <w:szCs w:val="28"/>
        </w:rPr>
        <w:t>、</w:t>
      </w:r>
      <w:r>
        <w:rPr>
          <w:rFonts w:hint="eastAsia" w:ascii="仿宋" w:hAnsi="仿宋" w:eastAsia="仿宋" w:cs="仿宋"/>
          <w:sz w:val="28"/>
          <w:szCs w:val="28"/>
          <w:lang w:eastAsia="zh-CN"/>
        </w:rPr>
        <w:t>产出和效果</w:t>
      </w:r>
      <w:r>
        <w:rPr>
          <w:rFonts w:hint="eastAsia" w:ascii="仿宋" w:hAnsi="仿宋" w:eastAsia="仿宋" w:cs="仿宋"/>
          <w:sz w:val="28"/>
          <w:szCs w:val="28"/>
        </w:rPr>
        <w:t>；二级指标</w:t>
      </w:r>
      <w:r>
        <w:rPr>
          <w:rFonts w:hint="eastAsia" w:ascii="仿宋" w:hAnsi="仿宋" w:eastAsia="仿宋" w:cs="仿宋"/>
          <w:sz w:val="28"/>
          <w:szCs w:val="28"/>
          <w:lang w:val="en-US" w:eastAsia="zh-CN"/>
        </w:rPr>
        <w:t>7</w:t>
      </w:r>
      <w:r>
        <w:rPr>
          <w:rFonts w:hint="eastAsia" w:ascii="仿宋" w:hAnsi="仿宋" w:eastAsia="仿宋" w:cs="仿宋"/>
          <w:sz w:val="28"/>
          <w:szCs w:val="28"/>
        </w:rPr>
        <w:t>个，三级指标</w:t>
      </w:r>
      <w:r>
        <w:rPr>
          <w:rFonts w:hint="eastAsia" w:ascii="仿宋" w:hAnsi="仿宋" w:eastAsia="仿宋" w:cs="仿宋"/>
          <w:sz w:val="28"/>
          <w:szCs w:val="28"/>
          <w:lang w:val="en-US" w:eastAsia="zh-CN"/>
        </w:rPr>
        <w:t>16</w:t>
      </w:r>
      <w:r>
        <w:rPr>
          <w:rFonts w:hint="eastAsia" w:ascii="仿宋" w:hAnsi="仿宋" w:eastAsia="仿宋" w:cs="仿宋"/>
          <w:sz w:val="28"/>
          <w:szCs w:val="28"/>
        </w:rPr>
        <w:t>个（详见附</w:t>
      </w:r>
      <w:r>
        <w:rPr>
          <w:rFonts w:hint="eastAsia" w:ascii="仿宋" w:hAnsi="仿宋" w:eastAsia="仿宋" w:cs="仿宋"/>
          <w:sz w:val="28"/>
          <w:szCs w:val="28"/>
          <w:lang w:eastAsia="zh-CN"/>
        </w:rPr>
        <w:t>件</w:t>
      </w:r>
      <w:r>
        <w:rPr>
          <w:rFonts w:hint="eastAsia" w:ascii="仿宋" w:hAnsi="仿宋" w:eastAsia="仿宋" w:cs="仿宋"/>
          <w:sz w:val="28"/>
          <w:szCs w:val="28"/>
          <w:lang w:val="en-US" w:eastAsia="zh-CN"/>
        </w:rPr>
        <w:t>1-1</w:t>
      </w:r>
      <w:r>
        <w:rPr>
          <w:rFonts w:hint="eastAsia" w:ascii="仿宋" w:hAnsi="仿宋" w:eastAsia="仿宋" w:cs="仿宋"/>
          <w:sz w:val="28"/>
          <w:szCs w:val="28"/>
        </w:rPr>
        <w:t>）。</w:t>
      </w:r>
    </w:p>
    <w:p w14:paraId="04FF9D7D">
      <w:pPr>
        <w:pStyle w:val="4"/>
        <w:ind w:left="0" w:leftChars="0" w:firstLine="630" w:firstLineChars="200"/>
        <w:rPr>
          <w:rFonts w:hint="eastAsia" w:ascii="仿宋" w:hAnsi="仿宋" w:eastAsia="仿宋" w:cs="仿宋"/>
          <w:sz w:val="28"/>
          <w:szCs w:val="28"/>
        </w:rPr>
      </w:pPr>
      <w:bookmarkStart w:id="162" w:name="_Toc31930"/>
      <w:r>
        <w:rPr>
          <w:rFonts w:hint="eastAsia" w:ascii="仿宋" w:hAnsi="仿宋" w:eastAsia="仿宋" w:cs="仿宋"/>
          <w:sz w:val="28"/>
          <w:szCs w:val="28"/>
          <w:lang w:val="en-US" w:eastAsia="zh-CN"/>
        </w:rPr>
        <w:t>5、</w:t>
      </w:r>
      <w:r>
        <w:rPr>
          <w:rFonts w:hint="eastAsia" w:ascii="仿宋" w:hAnsi="仿宋" w:eastAsia="仿宋" w:cs="仿宋"/>
          <w:sz w:val="28"/>
          <w:szCs w:val="28"/>
        </w:rPr>
        <w:t>绩效评价方法</w:t>
      </w:r>
      <w:bookmarkEnd w:id="162"/>
    </w:p>
    <w:p w14:paraId="7303BED0">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此次绩效评价采取定性和定量相结合的方法。权重确定方面，一级指标投入、</w:t>
      </w:r>
      <w:r>
        <w:rPr>
          <w:rFonts w:hint="eastAsia" w:ascii="仿宋" w:hAnsi="仿宋" w:eastAsia="仿宋" w:cs="仿宋"/>
          <w:sz w:val="28"/>
          <w:szCs w:val="28"/>
          <w:lang w:eastAsia="zh-CN"/>
        </w:rPr>
        <w:t>过程</w:t>
      </w:r>
      <w:r>
        <w:rPr>
          <w:rFonts w:hint="eastAsia" w:ascii="仿宋" w:hAnsi="仿宋" w:eastAsia="仿宋" w:cs="仿宋"/>
          <w:sz w:val="28"/>
          <w:szCs w:val="28"/>
        </w:rPr>
        <w:t>、</w:t>
      </w:r>
      <w:r>
        <w:rPr>
          <w:rFonts w:hint="eastAsia" w:ascii="仿宋" w:hAnsi="仿宋" w:eastAsia="仿宋" w:cs="仿宋"/>
          <w:sz w:val="28"/>
          <w:szCs w:val="28"/>
          <w:lang w:eastAsia="zh-CN"/>
        </w:rPr>
        <w:t>产出</w:t>
      </w:r>
      <w:r>
        <w:rPr>
          <w:rFonts w:hint="eastAsia" w:ascii="仿宋" w:hAnsi="仿宋" w:eastAsia="仿宋" w:cs="仿宋"/>
          <w:sz w:val="28"/>
          <w:szCs w:val="28"/>
        </w:rPr>
        <w:t>和效</w:t>
      </w:r>
      <w:r>
        <w:rPr>
          <w:rFonts w:hint="eastAsia" w:ascii="仿宋" w:hAnsi="仿宋" w:eastAsia="仿宋" w:cs="仿宋"/>
          <w:sz w:val="28"/>
          <w:szCs w:val="28"/>
          <w:lang w:eastAsia="zh-CN"/>
        </w:rPr>
        <w:t>果</w:t>
      </w:r>
      <w:r>
        <w:rPr>
          <w:rFonts w:hint="eastAsia" w:ascii="仿宋" w:hAnsi="仿宋" w:eastAsia="仿宋" w:cs="仿宋"/>
          <w:sz w:val="28"/>
          <w:szCs w:val="28"/>
        </w:rPr>
        <w:t>的权重分别占</w:t>
      </w:r>
      <w:r>
        <w:rPr>
          <w:rFonts w:hint="eastAsia" w:ascii="仿宋" w:hAnsi="仿宋" w:eastAsia="仿宋" w:cs="仿宋"/>
          <w:sz w:val="28"/>
          <w:szCs w:val="28"/>
          <w:lang w:val="en-US" w:eastAsia="zh-CN"/>
        </w:rPr>
        <w:t>24</w:t>
      </w:r>
      <w:r>
        <w:rPr>
          <w:rFonts w:hint="eastAsia" w:ascii="仿宋" w:hAnsi="仿宋" w:eastAsia="仿宋" w:cs="仿宋"/>
          <w:sz w:val="28"/>
          <w:szCs w:val="28"/>
        </w:rPr>
        <w:t>%、</w:t>
      </w:r>
      <w:r>
        <w:rPr>
          <w:rFonts w:hint="eastAsia" w:ascii="仿宋" w:hAnsi="仿宋" w:eastAsia="仿宋" w:cs="仿宋"/>
          <w:sz w:val="28"/>
          <w:szCs w:val="28"/>
          <w:lang w:val="en-US" w:eastAsia="zh-CN"/>
        </w:rPr>
        <w:t>30</w:t>
      </w:r>
      <w:r>
        <w:rPr>
          <w:rFonts w:hint="eastAsia" w:ascii="仿宋" w:hAnsi="仿宋" w:eastAsia="仿宋" w:cs="仿宋"/>
          <w:sz w:val="28"/>
          <w:szCs w:val="28"/>
        </w:rPr>
        <w:t>%、</w:t>
      </w:r>
      <w:r>
        <w:rPr>
          <w:rFonts w:hint="eastAsia" w:ascii="仿宋" w:hAnsi="仿宋" w:eastAsia="仿宋" w:cs="仿宋"/>
          <w:sz w:val="28"/>
          <w:szCs w:val="28"/>
          <w:lang w:val="en-US" w:eastAsia="zh-CN"/>
        </w:rPr>
        <w:t>24%</w:t>
      </w:r>
      <w:r>
        <w:rPr>
          <w:rFonts w:hint="eastAsia" w:ascii="仿宋" w:hAnsi="仿宋" w:eastAsia="仿宋" w:cs="仿宋"/>
          <w:sz w:val="28"/>
          <w:szCs w:val="28"/>
        </w:rPr>
        <w:t>和</w:t>
      </w:r>
      <w:r>
        <w:rPr>
          <w:rFonts w:hint="eastAsia" w:ascii="仿宋" w:hAnsi="仿宋" w:eastAsia="仿宋" w:cs="仿宋"/>
          <w:sz w:val="28"/>
          <w:szCs w:val="28"/>
          <w:lang w:val="en-US" w:eastAsia="zh-CN"/>
        </w:rPr>
        <w:t>22</w:t>
      </w:r>
      <w:r>
        <w:rPr>
          <w:rFonts w:hint="eastAsia" w:ascii="仿宋" w:hAnsi="仿宋" w:eastAsia="仿宋" w:cs="仿宋"/>
          <w:sz w:val="28"/>
          <w:szCs w:val="28"/>
        </w:rPr>
        <w:t>%。二、三级指标权重由专家评价组依据各指标的重要性集体研究确定。</w:t>
      </w:r>
    </w:p>
    <w:p w14:paraId="37696C7E">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具体评价方面，对同一项目分别采用不同的评价方法，由各个考评专家依据评价情况对项目分别打分，然后采用加权平均汇总专家评分，得出考评打分结果，形成对总体实施效果的评价。</w:t>
      </w:r>
    </w:p>
    <w:p w14:paraId="4FE1A4F5">
      <w:pPr>
        <w:pStyle w:val="3"/>
        <w:numPr>
          <w:ilvl w:val="0"/>
          <w:numId w:val="0"/>
        </w:numPr>
        <w:ind w:firstLine="630" w:firstLineChars="200"/>
        <w:rPr>
          <w:rFonts w:hint="eastAsia" w:ascii="仿宋" w:hAnsi="仿宋" w:eastAsia="仿宋" w:cs="仿宋"/>
          <w:sz w:val="28"/>
          <w:szCs w:val="28"/>
          <w:highlight w:val="none"/>
          <w:lang w:eastAsia="zh-CN"/>
        </w:rPr>
      </w:pPr>
      <w:bookmarkStart w:id="163" w:name="_Toc28060"/>
      <w:r>
        <w:rPr>
          <w:rFonts w:hint="eastAsia" w:ascii="仿宋" w:hAnsi="仿宋" w:cs="仿宋"/>
          <w:sz w:val="28"/>
          <w:szCs w:val="28"/>
          <w:highlight w:val="none"/>
          <w:lang w:eastAsia="zh-CN"/>
        </w:rPr>
        <w:t>（四）</w:t>
      </w:r>
      <w:r>
        <w:rPr>
          <w:rFonts w:hint="eastAsia" w:ascii="仿宋" w:hAnsi="仿宋" w:eastAsia="仿宋" w:cs="仿宋"/>
          <w:sz w:val="28"/>
          <w:szCs w:val="28"/>
          <w:highlight w:val="none"/>
          <w:lang w:eastAsia="zh-CN"/>
        </w:rPr>
        <w:t>证据收集方式</w:t>
      </w:r>
      <w:bookmarkEnd w:id="163"/>
    </w:p>
    <w:p w14:paraId="081D41EF">
      <w:pPr>
        <w:spacing w:line="360" w:lineRule="auto"/>
        <w:ind w:firstLine="630" w:firstLineChars="200"/>
        <w:contextualSpacing/>
        <w:rPr>
          <w:rFonts w:hint="eastAsia" w:ascii="仿宋" w:hAnsi="仿宋" w:eastAsia="仿宋" w:cs="仿宋"/>
          <w:sz w:val="28"/>
          <w:szCs w:val="28"/>
        </w:rPr>
      </w:pPr>
      <w:bookmarkStart w:id="164" w:name="_Toc390182490"/>
      <w:r>
        <w:rPr>
          <w:rFonts w:hint="eastAsia" w:ascii="仿宋" w:hAnsi="仿宋" w:eastAsia="仿宋" w:cs="仿宋"/>
          <w:sz w:val="28"/>
          <w:szCs w:val="28"/>
        </w:rPr>
        <w:t>1、案卷研</w:t>
      </w:r>
      <w:bookmarkEnd w:id="164"/>
      <w:r>
        <w:rPr>
          <w:rFonts w:hint="eastAsia" w:ascii="仿宋" w:hAnsi="仿宋" w:eastAsia="仿宋" w:cs="仿宋"/>
          <w:sz w:val="28"/>
          <w:szCs w:val="28"/>
        </w:rPr>
        <w:t>究</w:t>
      </w:r>
    </w:p>
    <w:p w14:paraId="08E28516">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从项目管理单位收集项目资料，整理分析，判断项目立项的合理性、必要性、可行性。并且通过互联网、报刊等广泛搜索关于项目的资料、数据，以提供相关分析的理论和现实基础，从而有利于更加客观、科学、合理地做出绩效评价。</w:t>
      </w:r>
      <w:bookmarkStart w:id="165" w:name="_Toc390182491"/>
    </w:p>
    <w:bookmarkEnd w:id="165"/>
    <w:p w14:paraId="101A633B">
      <w:pPr>
        <w:spacing w:line="360" w:lineRule="auto"/>
        <w:ind w:firstLine="630" w:firstLineChars="200"/>
        <w:contextualSpacing/>
        <w:rPr>
          <w:rFonts w:hint="eastAsia" w:ascii="仿宋" w:hAnsi="仿宋" w:eastAsia="仿宋" w:cs="仿宋"/>
          <w:sz w:val="28"/>
          <w:szCs w:val="28"/>
        </w:rPr>
      </w:pPr>
      <w:bookmarkStart w:id="166" w:name="_Toc390182492"/>
      <w:r>
        <w:rPr>
          <w:rFonts w:hint="eastAsia" w:ascii="仿宋" w:hAnsi="仿宋" w:eastAsia="仿宋" w:cs="仿宋"/>
          <w:sz w:val="28"/>
          <w:szCs w:val="28"/>
          <w:lang w:val="en-US" w:eastAsia="zh-CN"/>
        </w:rPr>
        <w:t>2</w:t>
      </w:r>
      <w:r>
        <w:rPr>
          <w:rFonts w:hint="eastAsia" w:ascii="仿宋" w:hAnsi="仿宋" w:eastAsia="仿宋" w:cs="仿宋"/>
          <w:sz w:val="28"/>
          <w:szCs w:val="28"/>
        </w:rPr>
        <w:t>、实地调研</w:t>
      </w:r>
      <w:bookmarkEnd w:id="166"/>
    </w:p>
    <w:p w14:paraId="2584DB08">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通过对项目的实地调研，了解项目的最新动态和相关情况，并在反复沟通中了解项目的部分财务数据，核实款项使用情况与产生的效益。使绩效评价量化指标更充分，也确保绩效评价与项目的衔接度更高。</w:t>
      </w:r>
      <w:bookmarkStart w:id="167" w:name="_Toc390182493"/>
    </w:p>
    <w:p w14:paraId="770C8596">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、问卷调查</w:t>
      </w:r>
      <w:bookmarkEnd w:id="167"/>
    </w:p>
    <w:p w14:paraId="062FCD6D">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该方法适用于</w:t>
      </w:r>
      <w:r>
        <w:rPr>
          <w:rFonts w:hint="eastAsia" w:ascii="仿宋" w:hAnsi="仿宋" w:eastAsia="仿宋" w:cs="仿宋"/>
          <w:sz w:val="28"/>
          <w:szCs w:val="28"/>
          <w:lang w:val="en-US" w:eastAsia="zh-CN"/>
        </w:rPr>
        <w:t>内部工作人员</w:t>
      </w:r>
      <w:r>
        <w:rPr>
          <w:rFonts w:hint="eastAsia" w:ascii="仿宋" w:hAnsi="仿宋" w:eastAsia="仿宋" w:cs="仿宋"/>
          <w:sz w:val="28"/>
          <w:szCs w:val="28"/>
        </w:rPr>
        <w:t>，旨在了解市财政局及上级部门对当地国土调查需要提供哪些支持</w:t>
      </w:r>
      <w:r>
        <w:rPr>
          <w:rFonts w:hint="eastAsia" w:ascii="仿宋" w:hAnsi="仿宋" w:eastAsia="仿宋" w:cs="仿宋"/>
          <w:sz w:val="28"/>
          <w:szCs w:val="28"/>
          <w:lang w:eastAsia="zh-CN"/>
        </w:rPr>
        <w:t>、对当前国土调查政策是否满意、国土调查工作还需改善</w:t>
      </w:r>
      <w:r>
        <w:rPr>
          <w:rFonts w:hint="eastAsia" w:ascii="仿宋" w:hAnsi="仿宋" w:eastAsia="仿宋" w:cs="仿宋"/>
          <w:sz w:val="28"/>
          <w:szCs w:val="28"/>
          <w:lang w:val="en-US" w:eastAsia="zh-CN"/>
        </w:rPr>
        <w:t>的地方、制约当地国土调查工作开展的主要因素以及国土调查的开展执行会对土地纠纷问题产生的影响程度</w:t>
      </w:r>
      <w:r>
        <w:rPr>
          <w:rFonts w:hint="eastAsia" w:ascii="仿宋" w:hAnsi="仿宋" w:eastAsia="仿宋" w:cs="仿宋"/>
          <w:sz w:val="28"/>
          <w:szCs w:val="28"/>
        </w:rPr>
        <w:t>。在本次绩效评价过程中，为了获取项目实施的效果和运行现状，对</w:t>
      </w:r>
      <w:r>
        <w:rPr>
          <w:rFonts w:hint="eastAsia" w:ascii="仿宋" w:hAnsi="仿宋" w:eastAsia="仿宋" w:cs="仿宋"/>
          <w:sz w:val="28"/>
          <w:szCs w:val="28"/>
          <w:lang w:val="en-US" w:eastAsia="zh-CN"/>
        </w:rPr>
        <w:t>内部工作人员</w:t>
      </w:r>
      <w:r>
        <w:rPr>
          <w:rFonts w:hint="eastAsia" w:ascii="仿宋" w:hAnsi="仿宋" w:eastAsia="仿宋" w:cs="仿宋"/>
          <w:sz w:val="28"/>
          <w:szCs w:val="28"/>
        </w:rPr>
        <w:t>开展问卷调查。</w:t>
      </w:r>
    </w:p>
    <w:p w14:paraId="2632D033">
      <w:pPr>
        <w:pStyle w:val="2"/>
        <w:numPr>
          <w:ilvl w:val="0"/>
          <w:numId w:val="0"/>
        </w:numPr>
        <w:spacing w:line="360" w:lineRule="auto"/>
        <w:ind w:firstLine="630" w:firstLineChars="200"/>
        <w:contextualSpacing/>
        <w:rPr>
          <w:rFonts w:hint="eastAsia" w:ascii="仿宋" w:hAnsi="仿宋" w:eastAsia="仿宋" w:cs="仿宋"/>
          <w:sz w:val="28"/>
          <w:szCs w:val="28"/>
          <w:highlight w:val="none"/>
        </w:rPr>
      </w:pPr>
      <w:bookmarkStart w:id="168" w:name="_Toc29126"/>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绩效</w:t>
      </w:r>
      <w:r>
        <w:rPr>
          <w:rFonts w:hint="eastAsia" w:ascii="仿宋" w:hAnsi="仿宋" w:eastAsia="仿宋" w:cs="仿宋"/>
          <w:sz w:val="28"/>
          <w:szCs w:val="28"/>
          <w:highlight w:val="none"/>
          <w:lang w:eastAsia="zh-CN"/>
        </w:rPr>
        <w:t>评价</w:t>
      </w:r>
      <w:r>
        <w:rPr>
          <w:rFonts w:hint="eastAsia" w:ascii="仿宋" w:hAnsi="仿宋" w:eastAsia="仿宋" w:cs="仿宋"/>
          <w:sz w:val="28"/>
          <w:szCs w:val="28"/>
          <w:highlight w:val="none"/>
        </w:rPr>
        <w:t>分析</w:t>
      </w:r>
      <w:bookmarkEnd w:id="168"/>
    </w:p>
    <w:p w14:paraId="154CDAD6">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绩效评价组参照《湖北省财政项目资金绩效评价操作指南》提出的考核内容及方式，结合该项目实际情况，对绩效评价框架进行了设计。</w:t>
      </w:r>
    </w:p>
    <w:p w14:paraId="59DF0C3B">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整个评价指标体系共</w:t>
      </w:r>
      <w:r>
        <w:rPr>
          <w:rFonts w:hint="eastAsia" w:ascii="仿宋" w:hAnsi="仿宋" w:eastAsia="仿宋" w:cs="仿宋"/>
          <w:sz w:val="28"/>
          <w:szCs w:val="28"/>
          <w:lang w:val="en-US" w:eastAsia="zh-CN"/>
        </w:rPr>
        <w:t>16</w:t>
      </w:r>
      <w:r>
        <w:rPr>
          <w:rFonts w:hint="eastAsia" w:ascii="仿宋" w:hAnsi="仿宋" w:eastAsia="仿宋" w:cs="仿宋"/>
          <w:sz w:val="28"/>
          <w:szCs w:val="28"/>
        </w:rPr>
        <w:t>个具体指标（详见附件1-1）。分别明确了证据和证据来源。在比较各种证据收集方法优缺点的基础上，评价小组设计了案卷研究、座谈会</w:t>
      </w:r>
      <w:r>
        <w:rPr>
          <w:rFonts w:hint="eastAsia" w:ascii="仿宋" w:hAnsi="仿宋" w:eastAsia="仿宋" w:cs="仿宋"/>
          <w:sz w:val="28"/>
          <w:szCs w:val="28"/>
          <w:lang w:eastAsia="zh-CN"/>
        </w:rPr>
        <w:t>、</w:t>
      </w:r>
      <w:r>
        <w:rPr>
          <w:rFonts w:hint="eastAsia" w:ascii="仿宋" w:hAnsi="仿宋" w:eastAsia="仿宋" w:cs="仿宋"/>
          <w:sz w:val="28"/>
          <w:szCs w:val="28"/>
        </w:rPr>
        <w:t>实地调研</w:t>
      </w:r>
      <w:r>
        <w:rPr>
          <w:rFonts w:hint="eastAsia" w:ascii="仿宋" w:hAnsi="仿宋" w:eastAsia="仿宋" w:cs="仿宋"/>
          <w:sz w:val="28"/>
          <w:szCs w:val="28"/>
          <w:lang w:eastAsia="zh-CN"/>
        </w:rPr>
        <w:t>及问卷调查</w:t>
      </w:r>
      <w:r>
        <w:rPr>
          <w:rFonts w:hint="eastAsia" w:ascii="仿宋" w:hAnsi="仿宋" w:eastAsia="仿宋" w:cs="仿宋"/>
          <w:sz w:val="28"/>
          <w:szCs w:val="28"/>
        </w:rPr>
        <w:t>等</w:t>
      </w:r>
      <w:r>
        <w:rPr>
          <w:rFonts w:hint="eastAsia" w:ascii="仿宋" w:hAnsi="仿宋" w:eastAsia="仿宋" w:cs="仿宋"/>
          <w:sz w:val="28"/>
          <w:szCs w:val="28"/>
          <w:lang w:eastAsia="zh-CN"/>
        </w:rPr>
        <w:t>多</w:t>
      </w:r>
      <w:r>
        <w:rPr>
          <w:rFonts w:hint="eastAsia" w:ascii="仿宋" w:hAnsi="仿宋" w:eastAsia="仿宋" w:cs="仿宋"/>
          <w:sz w:val="28"/>
          <w:szCs w:val="28"/>
        </w:rPr>
        <w:t>种方式对证据进行收集和核实，对收集到的证据进行了认真的整理和分析，评价小组谨慎地对该项目进行了客观评价。</w:t>
      </w:r>
    </w:p>
    <w:p w14:paraId="6DD997D3">
      <w:pPr>
        <w:pStyle w:val="3"/>
        <w:numPr>
          <w:ilvl w:val="0"/>
          <w:numId w:val="1"/>
        </w:numPr>
        <w:spacing w:line="360" w:lineRule="auto"/>
        <w:ind w:left="420"/>
        <w:contextualSpacing/>
        <w:rPr>
          <w:rFonts w:hint="eastAsia" w:ascii="仿宋" w:hAnsi="仿宋" w:eastAsia="仿宋" w:cs="仿宋"/>
          <w:sz w:val="28"/>
          <w:szCs w:val="28"/>
          <w:lang w:eastAsia="zh-CN"/>
        </w:rPr>
      </w:pPr>
      <w:bookmarkStart w:id="169" w:name="_Toc28486"/>
      <w:r>
        <w:rPr>
          <w:rFonts w:hint="eastAsia" w:ascii="仿宋" w:hAnsi="仿宋" w:eastAsia="仿宋" w:cs="仿宋"/>
          <w:sz w:val="28"/>
          <w:szCs w:val="28"/>
          <w:lang w:eastAsia="zh-CN"/>
        </w:rPr>
        <w:t>投入</w:t>
      </w:r>
      <w:bookmarkEnd w:id="169"/>
    </w:p>
    <w:p w14:paraId="24DE4172">
      <w:pPr>
        <w:spacing w:line="360" w:lineRule="auto"/>
        <w:ind w:firstLine="630" w:firstLineChars="20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本项目从项目立项、资金落实两个方面对投入进行评价。根据相关指标的评分标准，满分24分，投入综合评分为22.5分。</w:t>
      </w:r>
    </w:p>
    <w:p w14:paraId="2865E5A1">
      <w:pPr>
        <w:spacing w:line="360" w:lineRule="auto"/>
        <w:ind w:firstLine="630" w:firstLineChars="200"/>
        <w:contextualSpacing/>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本项的主要扣分点：鄂州市自然资源和规划局2019年第三次全国土地调查工作项目未将项目绩效目标细化分解为具体的绩效指标。</w:t>
      </w:r>
    </w:p>
    <w:p w14:paraId="4E66FE09">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1.1项目立项依据的充分性</w:t>
      </w:r>
    </w:p>
    <w:p w14:paraId="6BDB24BB">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该项评价设定分值3分，评价得分3分，得分率100%。</w:t>
      </w:r>
    </w:p>
    <w:p w14:paraId="2D8CB829">
      <w:pPr>
        <w:spacing w:line="360" w:lineRule="auto"/>
        <w:ind w:firstLine="560"/>
        <w:contextualSpacing/>
        <w:rPr>
          <w:rFonts w:hint="default" w:ascii="仿宋" w:hAnsi="仿宋" w:eastAsia="仿宋" w:cs="仿宋"/>
          <w:sz w:val="28"/>
          <w:szCs w:val="28"/>
          <w:lang w:val="en-US" w:eastAsia="zh-CN"/>
        </w:rPr>
      </w:pPr>
      <w:r>
        <w:rPr>
          <w:rFonts w:hint="eastAsia" w:ascii="仿宋" w:hAnsi="仿宋" w:eastAsia="仿宋" w:cs="仿宋"/>
          <w:kern w:val="0"/>
          <w:sz w:val="28"/>
          <w:szCs w:val="28"/>
          <w:lang w:val="en-US" w:eastAsia="zh-CN"/>
        </w:rPr>
        <w:t>该项目依据《国土资源“十三五”规划纲要》、《关于做好第三次全国土地调查工作的通知》、《第三次全国土地调查总体方案》（国土调查办发[2018]1号）等文件规定，依法组织开展第三次土地调查，为了更好服务社会经济发展以及更好支持土地管理精细化管理，更好地满足国土空间规划、主题功能区规划、新型城镇化规划、土地利用总体规划、不动产统一登记、生态文明建设、耕地质量、粮食安全、城乡一体化发展、土地流转、土地整治工程、“国土资源一张图”建设、土地宏观调控、土地信息社会化服务等对土地基础数据的需要。</w:t>
      </w:r>
      <w:r>
        <w:rPr>
          <w:rFonts w:hint="eastAsia" w:ascii="仿宋" w:hAnsi="仿宋" w:eastAsia="仿宋" w:cs="仿宋"/>
          <w:sz w:val="28"/>
          <w:szCs w:val="28"/>
          <w:lang w:val="en-US" w:eastAsia="zh-CN"/>
        </w:rPr>
        <w:t>我们认为，该项目符合国家相关法律法规和土地调查的文件要求。</w:t>
      </w:r>
    </w:p>
    <w:p w14:paraId="24D13A32">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1.2绩效评价目标合理性</w:t>
      </w:r>
    </w:p>
    <w:p w14:paraId="080CC438">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该项评价设定分值3分，评价得分1.5分，得分率50%。</w:t>
      </w:r>
    </w:p>
    <w:p w14:paraId="4697D179">
      <w:pPr>
        <w:spacing w:line="360" w:lineRule="auto"/>
        <w:ind w:firstLine="630" w:firstLineChars="200"/>
        <w:contextualSpacing/>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鄂州市自然资源和规划局2019年第三次全国土地调查工作项目未将绩效目标细化分解为具体的绩效指标，无法根据具体绩效指标测算完成情况。</w:t>
      </w:r>
    </w:p>
    <w:p w14:paraId="4AABF40E">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1.2资金到位率</w:t>
      </w:r>
    </w:p>
    <w:p w14:paraId="02216405">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该项评价设定分值6分，评价得分6分，得分率100%。</w:t>
      </w:r>
    </w:p>
    <w:p w14:paraId="2CC2E62D">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鄂州市自然资源和规划局2019年第三次全国土地调查工作项目财政资金到位金额为743万元，其中2018年项目结余资金243万元，2019年项目预算资金500万元；2019年预算总金额为500万元，资金全部到位。</w:t>
      </w:r>
    </w:p>
    <w:p w14:paraId="67250459">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1.3到位及时率</w:t>
      </w:r>
    </w:p>
    <w:p w14:paraId="06AA3D61">
      <w:pPr>
        <w:spacing w:line="360" w:lineRule="auto"/>
        <w:ind w:firstLine="560"/>
        <w:contextualSpacing/>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该项评价设定分值</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分，评价得分</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分，得分率100%。</w:t>
      </w:r>
    </w:p>
    <w:p w14:paraId="107CA557">
      <w:pPr>
        <w:spacing w:line="360" w:lineRule="auto"/>
        <w:ind w:firstLine="560"/>
        <w:contextualSpacing/>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根据鄂州市自然资源和规划局提供的资金下达指标明细表，2019年底前已完成资金拨付，到位及时率100%。</w:t>
      </w:r>
    </w:p>
    <w:p w14:paraId="08950E5B">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1.4预算执行率</w:t>
      </w:r>
    </w:p>
    <w:p w14:paraId="065CC002">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该项评价设定分值6分，评价得分6分，得分率100%。</w:t>
      </w:r>
    </w:p>
    <w:p w14:paraId="595F47C1">
      <w:pPr>
        <w:spacing w:line="360" w:lineRule="auto"/>
        <w:ind w:firstLine="56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鄂州市自然资源和规划局第三次全国土地调查工作项目专项支出2019年度执行金额为742.06万元，2019年预算总金额为500万元，预算执行率超过100%。</w:t>
      </w:r>
    </w:p>
    <w:p w14:paraId="09F95E1E">
      <w:pPr>
        <w:pStyle w:val="3"/>
        <w:numPr>
          <w:ilvl w:val="0"/>
          <w:numId w:val="1"/>
        </w:numPr>
        <w:spacing w:line="360" w:lineRule="auto"/>
        <w:ind w:left="710" w:leftChars="200" w:firstLine="0" w:firstLineChars="0"/>
        <w:contextualSpacing/>
        <w:rPr>
          <w:rFonts w:hint="eastAsia" w:ascii="仿宋" w:hAnsi="仿宋" w:eastAsia="仿宋" w:cs="仿宋"/>
          <w:sz w:val="28"/>
          <w:szCs w:val="28"/>
          <w:lang w:val="en-US" w:eastAsia="zh-CN"/>
        </w:rPr>
      </w:pPr>
      <w:bookmarkStart w:id="170" w:name="_Toc28029"/>
      <w:r>
        <w:rPr>
          <w:rFonts w:hint="eastAsia" w:ascii="仿宋" w:hAnsi="仿宋" w:eastAsia="仿宋" w:cs="仿宋"/>
          <w:sz w:val="28"/>
          <w:szCs w:val="28"/>
          <w:lang w:val="en-US" w:eastAsia="zh-CN"/>
        </w:rPr>
        <w:t>过程</w:t>
      </w:r>
      <w:bookmarkEnd w:id="170"/>
    </w:p>
    <w:p w14:paraId="7A241B6F">
      <w:pPr>
        <w:numPr>
          <w:ilvl w:val="0"/>
          <w:numId w:val="0"/>
        </w:numPr>
        <w:ind w:firstLine="4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本项从预算管理的层面对项目管理过程中的管理制度健全性、制度执行有效性、财务制度健全性、资金使用合规性、财务监控有效性等方面进行评价。根据相关指标的评分标准，满分30分，综合评分为28分。</w:t>
      </w:r>
    </w:p>
    <w:p w14:paraId="01C248B2">
      <w:pPr>
        <w:numPr>
          <w:ilvl w:val="0"/>
          <w:numId w:val="0"/>
        </w:numPr>
        <w:ind w:firstLine="4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本项扣分点：鄂州市自然资源和规划局2019年度未对第三次全国土地调查工作项目专项资金进行专项审计。</w:t>
      </w:r>
    </w:p>
    <w:p w14:paraId="1AFB7CA8">
      <w:pPr>
        <w:numPr>
          <w:ilvl w:val="0"/>
          <w:numId w:val="0"/>
        </w:numPr>
        <w:ind w:firstLine="4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2.1管理制度健全性</w:t>
      </w:r>
    </w:p>
    <w:p w14:paraId="683F22EB">
      <w:pPr>
        <w:numPr>
          <w:ilvl w:val="0"/>
          <w:numId w:val="0"/>
        </w:numPr>
        <w:ind w:firstLine="4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该项评价设定分值6分，评价得分6分，得分率100%。</w:t>
      </w:r>
    </w:p>
    <w:p w14:paraId="588AF301">
      <w:pPr>
        <w:numPr>
          <w:ilvl w:val="0"/>
          <w:numId w:val="0"/>
        </w:numPr>
        <w:ind w:firstLine="455"/>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土地调查数据是核定各地实际耕地保有量、新增建设用地数量和建设用地审批、土地利用总体规划修编、土地开发整理复垦等各项土地管理工作的法定依据。本项目依据</w:t>
      </w:r>
      <w:r>
        <w:rPr>
          <w:rFonts w:hint="eastAsia" w:ascii="仿宋" w:hAnsi="仿宋" w:eastAsia="仿宋" w:cs="仿宋"/>
          <w:sz w:val="28"/>
          <w:szCs w:val="28"/>
        </w:rPr>
        <w:t>政府采购法，按照“公平、公正、公开”的竞争原则，推行项目监理管理制，择优选择技术强、信誉好、质量高的单位为项目监理单位。项目实施全流程监管，落实质量责任终身追究制度，明确当事人和责任人，在后期应用阶段或国土资源管理其他业务工作中发现问题，继续追究相关单位及当事人责任。</w:t>
      </w:r>
    </w:p>
    <w:p w14:paraId="35BF25E7">
      <w:pPr>
        <w:numPr>
          <w:ilvl w:val="0"/>
          <w:numId w:val="0"/>
        </w:numPr>
        <w:ind w:firstLine="4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 制度执行有效性</w:t>
      </w:r>
    </w:p>
    <w:p w14:paraId="4E488CAA">
      <w:pPr>
        <w:numPr>
          <w:ilvl w:val="0"/>
          <w:numId w:val="0"/>
        </w:numPr>
        <w:ind w:firstLine="4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该项评价设定分值6分，评价得分6分，得分率100%。</w:t>
      </w:r>
    </w:p>
    <w:p w14:paraId="7DFC5452">
      <w:pPr>
        <w:numPr>
          <w:ilvl w:val="0"/>
          <w:numId w:val="0"/>
        </w:numPr>
        <w:ind w:firstLine="455"/>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2019年</w:t>
      </w:r>
      <w:r>
        <w:rPr>
          <w:rFonts w:hint="eastAsia" w:ascii="仿宋" w:hAnsi="仿宋" w:eastAsia="仿宋" w:cs="仿宋"/>
          <w:sz w:val="28"/>
          <w:szCs w:val="28"/>
          <w:lang w:val="en-US" w:eastAsia="zh-CN"/>
        </w:rPr>
        <w:t>第三次全国土地调查工作项目资金全部到位，保障土地调查工作的顺利进行。</w:t>
      </w:r>
    </w:p>
    <w:p w14:paraId="33166C28">
      <w:pPr>
        <w:numPr>
          <w:ilvl w:val="0"/>
          <w:numId w:val="0"/>
        </w:numPr>
        <w:ind w:firstLine="63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 财务制度健全性</w:t>
      </w:r>
    </w:p>
    <w:p w14:paraId="138C5AEF">
      <w:pPr>
        <w:numPr>
          <w:ilvl w:val="0"/>
          <w:numId w:val="0"/>
        </w:numPr>
        <w:ind w:firstLine="63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该项评价设定分值5分，评价得分5分，得分率100%。</w:t>
      </w:r>
    </w:p>
    <w:p w14:paraId="01018AD8">
      <w:pPr>
        <w:ind w:firstLine="630" w:firstLineChars="200"/>
        <w:rPr>
          <w:rFonts w:hint="eastAsia" w:ascii="仿宋" w:hAnsi="仿宋" w:eastAsia="仿宋" w:cs="仿宋"/>
          <w:sz w:val="28"/>
          <w:szCs w:val="28"/>
          <w:highlight w:val="none"/>
          <w:lang w:val="en-US" w:eastAsia="zh-CN"/>
        </w:rPr>
      </w:pPr>
      <w:r>
        <w:rPr>
          <w:rFonts w:hint="eastAsia" w:ascii="仿宋" w:hAnsi="仿宋" w:eastAsia="仿宋"/>
          <w:sz w:val="28"/>
          <w:szCs w:val="28"/>
        </w:rPr>
        <w:t>本项目</w:t>
      </w:r>
      <w:r>
        <w:rPr>
          <w:rFonts w:hint="eastAsia" w:ascii="仿宋" w:hAnsi="仿宋" w:eastAsia="仿宋"/>
          <w:sz w:val="28"/>
          <w:szCs w:val="28"/>
          <w:lang w:val="en-US" w:eastAsia="zh-CN"/>
        </w:rPr>
        <w:t>资金支付按照国库集中支付有关规定执行，</w:t>
      </w:r>
      <w:r>
        <w:rPr>
          <w:rFonts w:hint="eastAsia" w:ascii="仿宋" w:hAnsi="仿宋" w:eastAsia="仿宋"/>
          <w:sz w:val="28"/>
          <w:szCs w:val="28"/>
        </w:rPr>
        <w:t>严格执行了相关制度</w:t>
      </w:r>
      <w:r>
        <w:rPr>
          <w:rFonts w:hint="eastAsia" w:ascii="仿宋" w:hAnsi="仿宋" w:eastAsia="仿宋"/>
          <w:sz w:val="28"/>
          <w:szCs w:val="28"/>
          <w:lang w:val="en-US" w:eastAsia="zh-CN"/>
        </w:rPr>
        <w:t>与规定</w:t>
      </w:r>
      <w:r>
        <w:rPr>
          <w:rFonts w:hint="eastAsia" w:ascii="仿宋" w:hAnsi="仿宋" w:eastAsia="仿宋"/>
          <w:sz w:val="28"/>
          <w:szCs w:val="28"/>
          <w:lang w:eastAsia="zh-CN"/>
        </w:rPr>
        <w:t>，</w:t>
      </w:r>
      <w:r>
        <w:rPr>
          <w:rFonts w:hint="eastAsia" w:ascii="仿宋" w:hAnsi="仿宋" w:eastAsia="仿宋"/>
          <w:sz w:val="28"/>
          <w:szCs w:val="28"/>
        </w:rPr>
        <w:t>项目资金使用范围、对象明确，资金支付流程完备，程序合规。</w:t>
      </w:r>
    </w:p>
    <w:p w14:paraId="35D4BE29">
      <w:pPr>
        <w:numPr>
          <w:ilvl w:val="0"/>
          <w:numId w:val="0"/>
        </w:numPr>
        <w:ind w:firstLine="63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2.4资金使用合规性</w:t>
      </w:r>
    </w:p>
    <w:p w14:paraId="3C8A1060">
      <w:pPr>
        <w:numPr>
          <w:ilvl w:val="0"/>
          <w:numId w:val="0"/>
        </w:numPr>
        <w:ind w:firstLine="63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该项评价设定分值6分，评价得分6分，得分率100%。</w:t>
      </w:r>
    </w:p>
    <w:p w14:paraId="2C9754E4">
      <w:pPr>
        <w:numPr>
          <w:ilvl w:val="0"/>
          <w:numId w:val="0"/>
        </w:numPr>
        <w:ind w:firstLine="63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检查项目资金明细账、原始凭证及相关附件，项目实际支出与项目计划投入资金的用途相符，符合《中华人民共和国会计法》、《中华人民共和国预算法》和《政府会计制度》的规定；资金的拨付有完整的审批程序和手续；符合项目预算批复或合同规定的用途；不存在超标列支相关费用；基本做到了专款专用，不存在截留、挤占、挪用、虚列支出；项目支出发票合法合规。</w:t>
      </w:r>
    </w:p>
    <w:p w14:paraId="6361DE50">
      <w:pPr>
        <w:numPr>
          <w:ilvl w:val="0"/>
          <w:numId w:val="0"/>
        </w:numPr>
        <w:ind w:firstLine="4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2.5财务监控有效性</w:t>
      </w:r>
    </w:p>
    <w:p w14:paraId="04D6655C">
      <w:pPr>
        <w:numPr>
          <w:ilvl w:val="0"/>
          <w:numId w:val="0"/>
        </w:numPr>
        <w:ind w:firstLine="4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该项评价设定分值</w:t>
      </w:r>
      <w:r>
        <w:rPr>
          <w:rFonts w:hint="eastAsia" w:ascii="仿宋" w:hAnsi="仿宋" w:eastAsia="仿宋" w:cs="仿宋"/>
          <w:sz w:val="28"/>
          <w:szCs w:val="28"/>
          <w:highlight w:val="none"/>
          <w:lang w:val="en-US" w:eastAsia="zh-CN"/>
        </w:rPr>
        <w:t>6</w:t>
      </w:r>
      <w:r>
        <w:rPr>
          <w:rFonts w:hint="default" w:ascii="仿宋" w:hAnsi="仿宋" w:eastAsia="仿宋" w:cs="仿宋"/>
          <w:sz w:val="28"/>
          <w:szCs w:val="28"/>
          <w:highlight w:val="none"/>
          <w:lang w:val="en-US" w:eastAsia="zh-CN"/>
        </w:rPr>
        <w:t>分，评价得分</w:t>
      </w:r>
      <w:r>
        <w:rPr>
          <w:rFonts w:hint="eastAsia" w:ascii="仿宋" w:hAnsi="仿宋" w:eastAsia="仿宋" w:cs="仿宋"/>
          <w:sz w:val="28"/>
          <w:szCs w:val="28"/>
          <w:highlight w:val="none"/>
          <w:lang w:val="en-US" w:eastAsia="zh-CN"/>
        </w:rPr>
        <w:t>4</w:t>
      </w:r>
      <w:r>
        <w:rPr>
          <w:rFonts w:hint="default" w:ascii="仿宋" w:hAnsi="仿宋" w:eastAsia="仿宋" w:cs="仿宋"/>
          <w:sz w:val="28"/>
          <w:szCs w:val="28"/>
          <w:highlight w:val="none"/>
          <w:lang w:val="en-US" w:eastAsia="zh-CN"/>
        </w:rPr>
        <w:t>分，得分率</w:t>
      </w:r>
      <w:r>
        <w:rPr>
          <w:rFonts w:hint="eastAsia" w:ascii="仿宋" w:hAnsi="仿宋" w:eastAsia="仿宋" w:cs="仿宋"/>
          <w:sz w:val="28"/>
          <w:szCs w:val="28"/>
          <w:highlight w:val="none"/>
          <w:lang w:val="en-US" w:eastAsia="zh-CN"/>
        </w:rPr>
        <w:t>66.67</w:t>
      </w:r>
      <w:r>
        <w:rPr>
          <w:rFonts w:hint="default" w:ascii="仿宋" w:hAnsi="仿宋" w:eastAsia="仿宋" w:cs="仿宋"/>
          <w:sz w:val="28"/>
          <w:szCs w:val="28"/>
          <w:highlight w:val="none"/>
          <w:lang w:val="en-US" w:eastAsia="zh-CN"/>
        </w:rPr>
        <w:t>%。</w:t>
      </w:r>
    </w:p>
    <w:p w14:paraId="640141FC">
      <w:pPr>
        <w:numPr>
          <w:ilvl w:val="0"/>
          <w:numId w:val="0"/>
        </w:numPr>
        <w:ind w:firstLine="455"/>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我们认为项目单位财务监控是有待完善的。从项目单位提供的会计及财务资料显示，记账凭证后附的支付入账通知书、发票、合同、中标通知书等款项拨付依据较充分，后附原始凭证付款审批表，经手人、局领导、分管领导、科室负责人均有相关人员签字</w:t>
      </w:r>
      <w:r>
        <w:rPr>
          <w:rFonts w:hint="eastAsia" w:ascii="仿宋" w:hAnsi="仿宋" w:eastAsia="仿宋" w:cs="仿宋"/>
          <w:sz w:val="28"/>
          <w:szCs w:val="28"/>
          <w:highlight w:val="none"/>
          <w:lang w:val="en-US" w:eastAsia="zh-CN"/>
        </w:rPr>
        <w:t>。但针对专项资金未未采取相应的财务检查等必要的监控措施或手段，未对专项资金进行专项审计。</w:t>
      </w:r>
    </w:p>
    <w:p w14:paraId="2D39A2F3">
      <w:pPr>
        <w:pStyle w:val="3"/>
        <w:numPr>
          <w:ilvl w:val="0"/>
          <w:numId w:val="1"/>
        </w:numPr>
        <w:rPr>
          <w:rFonts w:hint="eastAsia" w:ascii="仿宋" w:hAnsi="仿宋" w:eastAsia="仿宋" w:cs="仿宋"/>
          <w:sz w:val="28"/>
          <w:szCs w:val="28"/>
          <w:lang w:val="en-US" w:eastAsia="zh-CN"/>
        </w:rPr>
      </w:pPr>
      <w:bookmarkStart w:id="171" w:name="_Toc4258"/>
      <w:r>
        <w:rPr>
          <w:rFonts w:hint="eastAsia" w:ascii="仿宋" w:hAnsi="仿宋" w:eastAsia="仿宋" w:cs="仿宋"/>
          <w:sz w:val="28"/>
          <w:szCs w:val="28"/>
          <w:lang w:val="en-US" w:eastAsia="zh-CN"/>
        </w:rPr>
        <w:t>产出</w:t>
      </w:r>
      <w:bookmarkEnd w:id="171"/>
    </w:p>
    <w:p w14:paraId="1943726C">
      <w:pPr>
        <w:numPr>
          <w:ilvl w:val="0"/>
          <w:numId w:val="0"/>
        </w:numPr>
        <w:ind w:firstLine="4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本项从预算指标的完成情况进行评价，根据绩效评价指标的评分标准，对该项目4个三级指标进行考核，满分24分，综合评分为18.14分。</w:t>
      </w:r>
    </w:p>
    <w:p w14:paraId="55F31E9E">
      <w:pPr>
        <w:numPr>
          <w:ilvl w:val="0"/>
          <w:numId w:val="0"/>
        </w:numPr>
        <w:ind w:firstLine="455"/>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本项扣分点：工作底图制作、调查取证、监理工作、数据库建设均未全部完成。</w:t>
      </w:r>
    </w:p>
    <w:p w14:paraId="52C24981">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3.1工作底图制作完成率</w:t>
      </w:r>
    </w:p>
    <w:p w14:paraId="48503F7E">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该项评价设定分值6分，评价得分3.75分，得分率62.5%。</w:t>
      </w:r>
    </w:p>
    <w:p w14:paraId="466F706D">
      <w:pPr>
        <w:numPr>
          <w:ilvl w:val="0"/>
          <w:numId w:val="0"/>
        </w:numPr>
        <w:ind w:left="0" w:leftChars="0" w:firstLine="472" w:firstLineChars="1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工作底图制作2019年预算支付65.62万元，实际支付40.96万元，项目完成率62.42%。</w:t>
      </w:r>
    </w:p>
    <w:p w14:paraId="4D4C3397">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3.2调查取证完成率</w:t>
      </w:r>
    </w:p>
    <w:p w14:paraId="58771DA3">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该项评价设定分值6分，评价得分4.98分，得分率83%。</w:t>
      </w:r>
    </w:p>
    <w:p w14:paraId="2A79FCD5">
      <w:pPr>
        <w:numPr>
          <w:ilvl w:val="0"/>
          <w:numId w:val="0"/>
        </w:numPr>
        <w:ind w:firstLine="63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调查取证工作2019年预算支付264.38万元，实际支付219.42万元，项目完成率82.99%。</w:t>
      </w:r>
    </w:p>
    <w:p w14:paraId="693F12C5">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 监理工作完成率</w:t>
      </w:r>
    </w:p>
    <w:p w14:paraId="55A644AC">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该项评价设定分值6分，评价得分5.85分，得分率97.5%。</w:t>
      </w:r>
    </w:p>
    <w:p w14:paraId="23BC9DAA">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监理工作2019年预算支付30万元，实际支付29.25万元，项目完成率97.5%。</w:t>
      </w:r>
    </w:p>
    <w:p w14:paraId="7306B7AF">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 数据库建设完成率</w:t>
      </w:r>
    </w:p>
    <w:p w14:paraId="2C78C728">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该项评价设定分值6分，评价得分3.56分，得分率59.33%。</w:t>
      </w:r>
    </w:p>
    <w:p w14:paraId="5C60F653">
      <w:pPr>
        <w:numPr>
          <w:ilvl w:val="0"/>
          <w:numId w:val="0"/>
        </w:numPr>
        <w:ind w:firstLine="63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数据库建设2019年预算支付90万元，实际支付53.47万元，项目完成率59.41%。</w:t>
      </w:r>
    </w:p>
    <w:p w14:paraId="77200694">
      <w:pPr>
        <w:pStyle w:val="3"/>
        <w:numPr>
          <w:ilvl w:val="0"/>
          <w:numId w:val="1"/>
        </w:numPr>
        <w:rPr>
          <w:rFonts w:hint="eastAsia" w:ascii="仿宋" w:hAnsi="仿宋" w:eastAsia="仿宋" w:cs="仿宋"/>
          <w:sz w:val="28"/>
          <w:szCs w:val="28"/>
          <w:lang w:val="en-US" w:eastAsia="zh-CN"/>
        </w:rPr>
      </w:pPr>
      <w:bookmarkStart w:id="172" w:name="_Toc2055"/>
      <w:r>
        <w:rPr>
          <w:rFonts w:hint="eastAsia" w:ascii="仿宋" w:hAnsi="仿宋" w:eastAsia="仿宋" w:cs="仿宋"/>
          <w:sz w:val="28"/>
          <w:szCs w:val="28"/>
          <w:lang w:val="en-US" w:eastAsia="zh-CN"/>
        </w:rPr>
        <w:t>效果</w:t>
      </w:r>
      <w:bookmarkEnd w:id="172"/>
    </w:p>
    <w:p w14:paraId="635F6937">
      <w:pPr>
        <w:ind w:firstLine="630" w:firstLineChars="200"/>
        <w:rPr>
          <w:rFonts w:hint="default"/>
          <w:lang w:val="en-US" w:eastAsia="zh-CN"/>
        </w:rPr>
      </w:pPr>
      <w:r>
        <w:rPr>
          <w:rFonts w:hint="eastAsia" w:ascii="仿宋" w:hAnsi="仿宋" w:eastAsia="仿宋" w:cs="仿宋"/>
          <w:sz w:val="28"/>
          <w:szCs w:val="28"/>
          <w:lang w:val="en-US" w:eastAsia="zh-CN"/>
        </w:rPr>
        <w:t>本项主要从社会效益、满意度2个方面进行考核，依据评价指标规则及评分标准，本项满分22分，本项评价得分18分。</w:t>
      </w:r>
    </w:p>
    <w:p w14:paraId="6156CD52">
      <w:pPr>
        <w:numPr>
          <w:ilvl w:val="0"/>
          <w:numId w:val="0"/>
        </w:numPr>
        <w:ind w:firstLine="63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本项扣分点：本项目未完成分析自然生态状况评价耕地质量工作。</w:t>
      </w:r>
    </w:p>
    <w:p w14:paraId="602F3D65">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 社会效益</w:t>
      </w:r>
    </w:p>
    <w:p w14:paraId="48DC7017">
      <w:pPr>
        <w:numPr>
          <w:ilvl w:val="0"/>
          <w:numId w:val="0"/>
        </w:numPr>
        <w:tabs>
          <w:tab w:val="left" w:pos="0"/>
        </w:tabs>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该项评价设定分值12分，评价得分8分，得分率66.67%。</w:t>
      </w:r>
    </w:p>
    <w:p w14:paraId="05DBA3C5">
      <w:pPr>
        <w:numPr>
          <w:ilvl w:val="0"/>
          <w:numId w:val="0"/>
        </w:numPr>
        <w:tabs>
          <w:tab w:val="left" w:pos="0"/>
        </w:tabs>
        <w:ind w:firstLine="63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目的开展有利于全面查清全国土地利用状况、掌握真实的土地基础数据、对调查成果实行信息化网络化管理，健全并完善土地调查、检测、统计和登记制度，严格落实各项耕地保护措施，科学制定差别化用地政策、促进存量土地再开发。2019年度鄂州市自然资源和规划局已经开展数据采集工作，开展建立数据库建设，但分析自然生态状况评价耕地质量未完成。</w:t>
      </w:r>
    </w:p>
    <w:p w14:paraId="20C91333">
      <w:pPr>
        <w:numPr>
          <w:ilvl w:val="0"/>
          <w:numId w:val="0"/>
        </w:numPr>
        <w:ind w:firstLine="63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 满意度</w:t>
      </w:r>
    </w:p>
    <w:p w14:paraId="5D4E7DB9">
      <w:pPr>
        <w:numPr>
          <w:ilvl w:val="0"/>
          <w:numId w:val="0"/>
        </w:numPr>
        <w:ind w:firstLine="63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该项评价设定分值10分，评价得分10分，得分率100%。</w:t>
      </w:r>
    </w:p>
    <w:p w14:paraId="1C0842E5">
      <w:pPr>
        <w:numPr>
          <w:ilvl w:val="0"/>
          <w:numId w:val="0"/>
        </w:numPr>
        <w:ind w:firstLine="63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内部工作人员满意率：100%。通过对内部工作人员进行问卷调查，调查对象对第三次国土调查满意程度占比100%。</w:t>
      </w:r>
    </w:p>
    <w:p w14:paraId="49613797">
      <w:pPr>
        <w:pStyle w:val="2"/>
        <w:numPr>
          <w:ilvl w:val="0"/>
          <w:numId w:val="0"/>
        </w:numPr>
        <w:spacing w:line="360" w:lineRule="auto"/>
        <w:ind w:firstLine="630" w:firstLineChars="200"/>
        <w:contextualSpacing/>
        <w:rPr>
          <w:rFonts w:hint="eastAsia" w:ascii="仿宋" w:hAnsi="仿宋" w:eastAsia="仿宋" w:cs="仿宋"/>
          <w:sz w:val="28"/>
          <w:szCs w:val="28"/>
          <w:highlight w:val="none"/>
        </w:rPr>
      </w:pPr>
      <w:bookmarkStart w:id="173" w:name="_Toc4296"/>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评价结论</w:t>
      </w:r>
      <w:bookmarkEnd w:id="173"/>
    </w:p>
    <w:p w14:paraId="44162411">
      <w:pPr>
        <w:pStyle w:val="3"/>
        <w:spacing w:line="360" w:lineRule="auto"/>
        <w:ind w:left="0" w:leftChars="0" w:firstLine="630" w:firstLineChars="200"/>
        <w:contextualSpacing/>
        <w:jc w:val="left"/>
        <w:rPr>
          <w:rFonts w:hint="eastAsia" w:ascii="仿宋" w:hAnsi="仿宋" w:eastAsia="仿宋" w:cs="仿宋"/>
          <w:sz w:val="28"/>
          <w:szCs w:val="28"/>
          <w:lang w:val="en-US" w:eastAsia="zh-CN"/>
        </w:rPr>
      </w:pPr>
      <w:bookmarkStart w:id="174" w:name="_Toc13672"/>
      <w:r>
        <w:rPr>
          <w:rFonts w:hint="eastAsia" w:ascii="仿宋" w:hAnsi="仿宋" w:eastAsia="仿宋" w:cs="仿宋"/>
          <w:sz w:val="28"/>
          <w:szCs w:val="28"/>
          <w:lang w:val="en-US" w:eastAsia="zh-CN"/>
        </w:rPr>
        <w:t>1、综合评分结果</w:t>
      </w:r>
      <w:bookmarkEnd w:id="174"/>
    </w:p>
    <w:tbl>
      <w:tblPr>
        <w:tblStyle w:val="11"/>
        <w:tblW w:w="7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53"/>
        <w:gridCol w:w="1740"/>
        <w:gridCol w:w="1575"/>
        <w:gridCol w:w="1365"/>
        <w:gridCol w:w="1425"/>
      </w:tblGrid>
      <w:tr w14:paraId="704B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DF20A39">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评价指标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4186D8F">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权重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329D8F9">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评级分值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0D7FC0">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本项目得分</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D3D6E6">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绩效评价</w:t>
            </w:r>
          </w:p>
        </w:tc>
      </w:tr>
      <w:tr w14:paraId="761D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27033E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项目投入</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198D949">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610D647">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CB06161">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E640E25">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项目投入正常</w:t>
            </w:r>
          </w:p>
        </w:tc>
      </w:tr>
      <w:tr w14:paraId="4295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7E39F45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项目过程</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E5141FF">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B1EAC97">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5D61C49">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D5E2E90">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项目管理有效</w:t>
            </w:r>
          </w:p>
        </w:tc>
      </w:tr>
      <w:tr w14:paraId="5E03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D89F53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项目产出</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A53C0B6">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CED440F">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9D8BAB4">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18.14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0980E39">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产出效果</w:t>
            </w:r>
            <w:r>
              <w:rPr>
                <w:rFonts w:hint="eastAsia" w:ascii="仿宋" w:hAnsi="仿宋" w:eastAsia="仿宋" w:cs="仿宋"/>
                <w:i w:val="0"/>
                <w:color w:val="000000"/>
                <w:sz w:val="21"/>
                <w:szCs w:val="21"/>
                <w:u w:val="none"/>
                <w:lang w:val="en-US" w:eastAsia="zh-CN"/>
              </w:rPr>
              <w:t>较好</w:t>
            </w:r>
          </w:p>
        </w:tc>
      </w:tr>
      <w:tr w14:paraId="01EB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4C4468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项目效果</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88DFC2E">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E71A7AD">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0F9801">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782B269">
            <w:pPr>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社会效益</w:t>
            </w:r>
            <w:r>
              <w:rPr>
                <w:rFonts w:hint="eastAsia" w:ascii="仿宋" w:hAnsi="仿宋" w:eastAsia="仿宋" w:cs="仿宋"/>
                <w:i w:val="0"/>
                <w:color w:val="000000"/>
                <w:sz w:val="21"/>
                <w:szCs w:val="21"/>
                <w:u w:val="none"/>
                <w:lang w:val="en-US" w:eastAsia="zh-CN"/>
              </w:rPr>
              <w:t>较好</w:t>
            </w:r>
            <w:r>
              <w:rPr>
                <w:rFonts w:hint="eastAsia" w:ascii="仿宋" w:hAnsi="仿宋" w:eastAsia="仿宋" w:cs="仿宋"/>
                <w:i w:val="0"/>
                <w:color w:val="000000"/>
                <w:sz w:val="21"/>
                <w:szCs w:val="21"/>
                <w:u w:val="none"/>
                <w:lang w:eastAsia="zh-CN"/>
              </w:rPr>
              <w:t>，满意度</w:t>
            </w:r>
            <w:r>
              <w:rPr>
                <w:rFonts w:hint="eastAsia" w:ascii="仿宋" w:hAnsi="仿宋" w:eastAsia="仿宋" w:cs="仿宋"/>
                <w:i w:val="0"/>
                <w:color w:val="000000"/>
                <w:sz w:val="21"/>
                <w:szCs w:val="21"/>
                <w:u w:val="none"/>
                <w:lang w:val="en-US" w:eastAsia="zh-CN"/>
              </w:rPr>
              <w:t>较</w:t>
            </w:r>
            <w:r>
              <w:rPr>
                <w:rFonts w:hint="eastAsia" w:ascii="仿宋" w:hAnsi="仿宋" w:eastAsia="仿宋" w:cs="仿宋"/>
                <w:i w:val="0"/>
                <w:color w:val="000000"/>
                <w:sz w:val="21"/>
                <w:szCs w:val="21"/>
                <w:u w:val="none"/>
                <w:lang w:eastAsia="zh-CN"/>
              </w:rPr>
              <w:t>高</w:t>
            </w:r>
          </w:p>
        </w:tc>
      </w:tr>
      <w:tr w14:paraId="7B31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C22896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综合绩效</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BFC005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41EEB4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A968465">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86.64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F3C8E64">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良</w:t>
            </w:r>
          </w:p>
        </w:tc>
      </w:tr>
    </w:tbl>
    <w:p w14:paraId="543AC359">
      <w:pPr>
        <w:spacing w:line="360" w:lineRule="auto"/>
        <w:ind w:firstLine="630" w:firstLineChars="200"/>
        <w:contextualSpacing/>
        <w:rPr>
          <w:rFonts w:hint="eastAsia" w:ascii="仿宋" w:hAnsi="仿宋" w:eastAsia="仿宋" w:cs="仿宋"/>
          <w:sz w:val="28"/>
          <w:szCs w:val="28"/>
        </w:rPr>
      </w:pPr>
    </w:p>
    <w:p w14:paraId="428C68C8">
      <w:pPr>
        <w:spacing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rPr>
        <w:t>根据评价标准，评价结论采取评分与评级相结合的形式，即项目绩效评价计分为优、良、中、差四个等级。评价计分90分-100分对应的评价结果为优；80分-89分对应的评价结果为良； 60分-79</w:t>
      </w:r>
      <w:r>
        <w:rPr>
          <w:rFonts w:hint="eastAsia" w:ascii="仿宋" w:hAnsi="仿宋" w:eastAsia="仿宋" w:cs="仿宋"/>
          <w:bCs/>
          <w:sz w:val="28"/>
          <w:szCs w:val="28"/>
        </w:rPr>
        <w:t>分</w:t>
      </w:r>
      <w:r>
        <w:rPr>
          <w:rFonts w:hint="eastAsia" w:ascii="仿宋" w:hAnsi="仿宋" w:eastAsia="仿宋" w:cs="仿宋"/>
          <w:sz w:val="28"/>
          <w:szCs w:val="28"/>
        </w:rPr>
        <w:t>对应的评价结果</w:t>
      </w:r>
      <w:r>
        <w:rPr>
          <w:rFonts w:hint="eastAsia" w:ascii="仿宋" w:hAnsi="仿宋" w:eastAsia="仿宋" w:cs="仿宋"/>
          <w:bCs/>
          <w:sz w:val="28"/>
          <w:szCs w:val="28"/>
        </w:rPr>
        <w:t>为中；0-59分</w:t>
      </w:r>
      <w:r>
        <w:rPr>
          <w:rFonts w:hint="eastAsia" w:ascii="仿宋" w:hAnsi="仿宋" w:eastAsia="仿宋" w:cs="仿宋"/>
          <w:sz w:val="28"/>
          <w:szCs w:val="28"/>
        </w:rPr>
        <w:t>对应的评价结果</w:t>
      </w:r>
      <w:r>
        <w:rPr>
          <w:rFonts w:hint="eastAsia" w:ascii="仿宋" w:hAnsi="仿宋" w:eastAsia="仿宋" w:cs="仿宋"/>
          <w:bCs/>
          <w:sz w:val="28"/>
          <w:szCs w:val="28"/>
        </w:rPr>
        <w:t>为差。本次评定该项目实际得分</w:t>
      </w:r>
      <w:r>
        <w:rPr>
          <w:rFonts w:hint="eastAsia" w:ascii="仿宋" w:hAnsi="仿宋" w:eastAsia="仿宋" w:cs="仿宋"/>
          <w:bCs/>
          <w:sz w:val="28"/>
          <w:szCs w:val="28"/>
          <w:lang w:val="en-US" w:eastAsia="zh-CN"/>
        </w:rPr>
        <w:t>86.64</w:t>
      </w:r>
      <w:r>
        <w:rPr>
          <w:rFonts w:hint="eastAsia" w:ascii="仿宋" w:hAnsi="仿宋" w:eastAsia="仿宋" w:cs="仿宋"/>
          <w:bCs/>
          <w:sz w:val="28"/>
          <w:szCs w:val="28"/>
        </w:rPr>
        <w:t>分，评定等级为</w:t>
      </w:r>
      <w:r>
        <w:rPr>
          <w:rFonts w:hint="eastAsia" w:ascii="仿宋" w:hAnsi="仿宋" w:eastAsia="仿宋" w:cs="仿宋"/>
          <w:bCs/>
          <w:sz w:val="28"/>
          <w:szCs w:val="28"/>
          <w:lang w:val="en-US" w:eastAsia="zh-CN"/>
        </w:rPr>
        <w:t>良</w:t>
      </w:r>
      <w:r>
        <w:rPr>
          <w:rFonts w:hint="eastAsia" w:ascii="仿宋" w:hAnsi="仿宋" w:eastAsia="仿宋" w:cs="仿宋"/>
          <w:bCs/>
          <w:sz w:val="28"/>
          <w:szCs w:val="28"/>
        </w:rPr>
        <w:t>。</w:t>
      </w:r>
    </w:p>
    <w:p w14:paraId="20C3B692">
      <w:pPr>
        <w:pStyle w:val="3"/>
        <w:spacing w:line="360" w:lineRule="auto"/>
        <w:ind w:left="0" w:leftChars="0" w:firstLine="630" w:firstLineChars="200"/>
        <w:contextualSpacing/>
        <w:rPr>
          <w:rFonts w:hint="eastAsia" w:ascii="仿宋" w:hAnsi="仿宋" w:eastAsia="仿宋" w:cs="仿宋"/>
          <w:sz w:val="28"/>
          <w:szCs w:val="28"/>
          <w:highlight w:val="none"/>
          <w:lang w:eastAsia="zh-CN"/>
        </w:rPr>
      </w:pPr>
      <w:bookmarkStart w:id="175" w:name="_Toc10194"/>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、综合评价</w:t>
      </w:r>
      <w:bookmarkStart w:id="176" w:name="_Toc472652964"/>
      <w:r>
        <w:rPr>
          <w:rFonts w:hint="eastAsia" w:ascii="仿宋" w:hAnsi="仿宋" w:eastAsia="仿宋" w:cs="仿宋"/>
          <w:sz w:val="28"/>
          <w:szCs w:val="28"/>
          <w:highlight w:val="none"/>
        </w:rPr>
        <w:t>结论</w:t>
      </w:r>
      <w:bookmarkEnd w:id="175"/>
    </w:p>
    <w:p w14:paraId="3D70ACAE">
      <w:pPr>
        <w:pStyle w:val="10"/>
        <w:spacing w:before="0" w:beforeAutospacing="0" w:after="0" w:afterAutospacing="0" w:line="360" w:lineRule="auto"/>
        <w:ind w:firstLine="63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通过资料收集、问卷调查以及评价分析等评价程序，我们认为：2019年鄂州市自然资源和规划局第三次全国土地调查工作项目绩效评价为良</w:t>
      </w:r>
      <w:r>
        <w:rPr>
          <w:rFonts w:hint="eastAsia" w:ascii="仿宋" w:hAnsi="仿宋" w:eastAsia="仿宋" w:cs="仿宋"/>
          <w:sz w:val="28"/>
          <w:szCs w:val="28"/>
          <w:lang w:eastAsia="zh-CN"/>
        </w:rPr>
        <w:t>。本项目符合国家相关法律法规、国民经济发展和政府决策，项目管理有效，产出效果</w:t>
      </w:r>
      <w:r>
        <w:rPr>
          <w:rFonts w:hint="eastAsia" w:ascii="仿宋" w:hAnsi="仿宋" w:eastAsia="仿宋" w:cs="仿宋"/>
          <w:sz w:val="28"/>
          <w:szCs w:val="28"/>
          <w:lang w:val="en-US" w:eastAsia="zh-CN"/>
        </w:rPr>
        <w:t>较好</w:t>
      </w:r>
      <w:r>
        <w:rPr>
          <w:rFonts w:hint="eastAsia" w:ascii="仿宋" w:hAnsi="仿宋" w:eastAsia="仿宋" w:cs="仿宋"/>
          <w:sz w:val="28"/>
          <w:szCs w:val="28"/>
          <w:lang w:eastAsia="zh-CN"/>
        </w:rPr>
        <w:t>，社会效益</w:t>
      </w:r>
      <w:r>
        <w:rPr>
          <w:rFonts w:hint="eastAsia" w:ascii="仿宋" w:hAnsi="仿宋" w:eastAsia="仿宋" w:cs="仿宋"/>
          <w:sz w:val="28"/>
          <w:szCs w:val="28"/>
          <w:lang w:val="en-US" w:eastAsia="zh-CN"/>
        </w:rPr>
        <w:t>较好</w:t>
      </w:r>
      <w:r>
        <w:rPr>
          <w:rFonts w:hint="eastAsia" w:ascii="仿宋" w:hAnsi="仿宋" w:eastAsia="仿宋" w:cs="仿宋"/>
          <w:sz w:val="28"/>
          <w:szCs w:val="28"/>
          <w:lang w:eastAsia="zh-CN"/>
        </w:rPr>
        <w:t>，满意度高。项目实施有相应的资金保障、人员保障和制度保障，项目建设能够形成可持续的影响。</w:t>
      </w:r>
      <w:r>
        <w:rPr>
          <w:rFonts w:hint="eastAsia" w:ascii="仿宋" w:hAnsi="仿宋" w:eastAsia="仿宋" w:cs="仿宋"/>
          <w:sz w:val="28"/>
          <w:szCs w:val="28"/>
          <w:lang w:val="en-US" w:eastAsia="zh-CN"/>
        </w:rPr>
        <w:t>鄂州市自然资源和规划局认真履行部门职能，基本完成了2019年度既定目标任务，充分发挥作用，创造较好的社会效益，为实现土地资源信息社会化服务、满足经济社会发展、土地宏观调控及国土资源管理</w:t>
      </w:r>
      <w:bookmarkEnd w:id="176"/>
      <w:r>
        <w:rPr>
          <w:rFonts w:hint="eastAsia" w:ascii="仿宋" w:hAnsi="仿宋" w:eastAsia="仿宋" w:cs="仿宋"/>
          <w:sz w:val="28"/>
          <w:szCs w:val="28"/>
        </w:rPr>
        <w:t>提供了坚实的基础。</w:t>
      </w:r>
    </w:p>
    <w:p w14:paraId="22514D76">
      <w:pPr>
        <w:pStyle w:val="2"/>
        <w:numPr>
          <w:ilvl w:val="0"/>
          <w:numId w:val="0"/>
        </w:numPr>
        <w:spacing w:line="360" w:lineRule="auto"/>
        <w:ind w:leftChars="0" w:firstLine="630" w:firstLineChars="200"/>
        <w:contextualSpacing/>
        <w:rPr>
          <w:rFonts w:hint="eastAsia" w:ascii="仿宋" w:hAnsi="仿宋" w:eastAsia="仿宋" w:cs="仿宋"/>
          <w:sz w:val="28"/>
          <w:szCs w:val="28"/>
          <w:lang w:eastAsia="zh-CN"/>
        </w:rPr>
      </w:pPr>
      <w:bookmarkStart w:id="177" w:name="_Toc6378"/>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主要经验及做法、</w:t>
      </w:r>
      <w:r>
        <w:rPr>
          <w:rFonts w:hint="eastAsia" w:ascii="仿宋" w:hAnsi="仿宋" w:eastAsia="仿宋" w:cs="仿宋"/>
          <w:sz w:val="28"/>
          <w:szCs w:val="28"/>
        </w:rPr>
        <w:t>存在的问题</w:t>
      </w:r>
      <w:r>
        <w:rPr>
          <w:rFonts w:hint="eastAsia" w:ascii="仿宋" w:hAnsi="仿宋" w:eastAsia="仿宋" w:cs="仿宋"/>
          <w:sz w:val="28"/>
          <w:szCs w:val="28"/>
          <w:lang w:eastAsia="zh-CN"/>
        </w:rPr>
        <w:t>和建议</w:t>
      </w:r>
      <w:bookmarkEnd w:id="177"/>
    </w:p>
    <w:p w14:paraId="3792DA66">
      <w:pPr>
        <w:pStyle w:val="3"/>
        <w:rPr>
          <w:rFonts w:hint="eastAsia" w:ascii="仿宋" w:hAnsi="仿宋" w:eastAsia="仿宋" w:cs="仿宋"/>
          <w:sz w:val="28"/>
          <w:szCs w:val="28"/>
          <w:lang w:val="en-US" w:eastAsia="zh-CN"/>
        </w:rPr>
      </w:pPr>
      <w:bookmarkStart w:id="178" w:name="_Toc28942"/>
      <w:r>
        <w:rPr>
          <w:rFonts w:hint="eastAsia" w:ascii="仿宋" w:hAnsi="仿宋" w:eastAsia="仿宋" w:cs="仿宋"/>
          <w:sz w:val="28"/>
          <w:szCs w:val="28"/>
          <w:lang w:val="en-US" w:eastAsia="zh-CN"/>
        </w:rPr>
        <w:t>（一）主要经验及做法</w:t>
      </w:r>
      <w:bookmarkEnd w:id="178"/>
    </w:p>
    <w:p w14:paraId="2DF567C3">
      <w:pPr>
        <w:widowControl w:val="0"/>
        <w:numPr>
          <w:ilvl w:val="0"/>
          <w:numId w:val="0"/>
        </w:numPr>
        <w:spacing w:line="360" w:lineRule="auto"/>
        <w:ind w:firstLine="630" w:firstLineChars="200"/>
        <w:contextualSpacing/>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1、积极开展国土调查工作。市土地调查办负责调查工作的具体业务和日常管理事务，组建技术专家组和调查巡查组，及时发现和研究重大政策问题，对调查中遇到的重大技术问题进行研究解决。</w:t>
      </w:r>
    </w:p>
    <w:p w14:paraId="4907AE9B">
      <w:pPr>
        <w:widowControl w:val="0"/>
        <w:numPr>
          <w:ilvl w:val="0"/>
          <w:numId w:val="0"/>
        </w:numPr>
        <w:spacing w:line="360" w:lineRule="auto"/>
        <w:ind w:firstLine="630" w:firstLineChars="200"/>
        <w:contextualSpacing/>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严格按照国家制定的调查技术标准、操作规范等，明确各流程环节的技术要求及其操作程序、方法和检查办法，分阶段分级进行调查质量检查；根据土地调查成果多比例尺、多形式的特点，制定以数据为主体的成果标准，明确成果的表达形式，提高成果信息共享程度；按照国家规定的信息化标准和规范以及调查数据库建设的框架结构、内容、维护更新要求建设，提高土地利用信息应用服务质量；进一步充实、完善土地调查工作的软、硬件环境。充分应用成熟、实用的现代高新技术手段，全面提升本次调查的科技含量。</w:t>
      </w:r>
      <w:bookmarkStart w:id="179" w:name="_Toc6411"/>
    </w:p>
    <w:p w14:paraId="67B49895">
      <w:pPr>
        <w:widowControl w:val="0"/>
        <w:numPr>
          <w:ilvl w:val="0"/>
          <w:numId w:val="0"/>
        </w:numPr>
        <w:spacing w:line="360" w:lineRule="auto"/>
        <w:ind w:firstLine="630" w:firstLineChars="200"/>
        <w:contextualSpacing/>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引入</w:t>
      </w:r>
      <w:r>
        <w:rPr>
          <w:rFonts w:hint="eastAsia" w:ascii="仿宋" w:hAnsi="仿宋" w:eastAsia="仿宋" w:cs="仿宋"/>
          <w:sz w:val="28"/>
          <w:szCs w:val="28"/>
          <w:lang w:val="en-US" w:eastAsia="zh-CN"/>
        </w:rPr>
        <w:t>监管管理</w:t>
      </w:r>
      <w:r>
        <w:rPr>
          <w:rFonts w:hint="eastAsia" w:ascii="仿宋" w:hAnsi="仿宋" w:eastAsia="仿宋" w:cs="仿宋"/>
          <w:sz w:val="28"/>
          <w:szCs w:val="28"/>
        </w:rPr>
        <w:t>机制。依据政府采购法，按照“公平、公正、公开”的竞争原则，推行项目监理管理制，择优选择技术强、信誉好、质量高的单位为项目监理单位。项目实施全流程监管，落实质量责任终身追究制度，明确当事人和责任人，在后期应用阶段或国土资源管理其他业务工作中发现问题，继续追究相关单位及当事人责任。项目实行招投标管理制度，以合同方式约定双方职责、项目任务、成果质量</w:t>
      </w:r>
      <w:r>
        <w:rPr>
          <w:rFonts w:hint="eastAsia" w:cs="仿宋"/>
          <w:sz w:val="28"/>
          <w:szCs w:val="28"/>
          <w:lang w:eastAsia="zh-CN"/>
        </w:rPr>
        <w:t>以及</w:t>
      </w:r>
      <w:bookmarkStart w:id="182" w:name="_GoBack"/>
      <w:bookmarkEnd w:id="182"/>
      <w:r>
        <w:rPr>
          <w:rFonts w:hint="eastAsia" w:ascii="仿宋" w:hAnsi="仿宋" w:eastAsia="仿宋" w:cs="仿宋"/>
          <w:sz w:val="28"/>
          <w:szCs w:val="28"/>
        </w:rPr>
        <w:t>项目进展要求、经费支付方式等</w:t>
      </w:r>
      <w:r>
        <w:rPr>
          <w:rFonts w:hint="eastAsia" w:ascii="仿宋" w:hAnsi="仿宋" w:eastAsia="仿宋" w:cs="仿宋"/>
          <w:sz w:val="28"/>
          <w:szCs w:val="28"/>
          <w:lang w:eastAsia="zh-CN"/>
        </w:rPr>
        <w:t>。</w:t>
      </w:r>
    </w:p>
    <w:p w14:paraId="77F563A4">
      <w:pPr>
        <w:widowControl w:val="0"/>
        <w:numPr>
          <w:ilvl w:val="0"/>
          <w:numId w:val="0"/>
        </w:numPr>
        <w:spacing w:line="360" w:lineRule="auto"/>
        <w:ind w:firstLine="630" w:firstLineChars="200"/>
        <w:contextualSpacing/>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建立检查验收制度。采用分阶段成果检查制度，每一阶段成果需经检查合格后方转入下一阶段，避免将错误带入下阶段工作，保证成果质量；执行分级检查验收制度。区级土地调查成果由市级国土资源部门负责组织预检并报省级国土资源部门组织验收，确保土地调查的数据、图件与实地三者一致。</w:t>
      </w:r>
    </w:p>
    <w:p w14:paraId="1B7CE385">
      <w:pPr>
        <w:widowControl w:val="0"/>
        <w:numPr>
          <w:ilvl w:val="0"/>
          <w:numId w:val="0"/>
        </w:numPr>
        <w:spacing w:line="360" w:lineRule="auto"/>
        <w:ind w:firstLine="630" w:firstLineChars="200"/>
        <w:contextualSpacing/>
        <w:jc w:val="both"/>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CN"/>
        </w:rPr>
        <w:t>二</w:t>
      </w:r>
      <w:r>
        <w:rPr>
          <w:rFonts w:hint="eastAsia" w:ascii="仿宋" w:hAnsi="仿宋" w:eastAsia="仿宋" w:cs="仿宋"/>
          <w:b/>
          <w:bCs/>
          <w:sz w:val="28"/>
          <w:szCs w:val="28"/>
        </w:rPr>
        <w:t>）存在的问题</w:t>
      </w:r>
      <w:bookmarkEnd w:id="179"/>
    </w:p>
    <w:p w14:paraId="65EB9686">
      <w:pPr>
        <w:numPr>
          <w:ilvl w:val="0"/>
          <w:numId w:val="0"/>
        </w:numPr>
        <w:spacing w:line="360" w:lineRule="auto"/>
        <w:ind w:firstLine="630" w:firstLineChars="200"/>
        <w:contextualSpacing/>
        <w:rPr>
          <w:rFonts w:hint="default" w:ascii="仿宋" w:hAnsi="仿宋" w:eastAsia="仿宋" w:cs="仿宋"/>
          <w:kern w:val="0"/>
          <w:sz w:val="28"/>
          <w:szCs w:val="28"/>
          <w:lang w:val="en-US" w:eastAsia="zh-CN"/>
        </w:rPr>
      </w:pPr>
      <w:bookmarkStart w:id="180" w:name="_Toc14281"/>
      <w:r>
        <w:rPr>
          <w:rFonts w:hint="eastAsia" w:ascii="仿宋" w:hAnsi="仿宋" w:eastAsia="仿宋" w:cs="仿宋"/>
          <w:kern w:val="0"/>
          <w:sz w:val="28"/>
          <w:szCs w:val="28"/>
          <w:lang w:val="en-US" w:eastAsia="zh-CN"/>
        </w:rPr>
        <w:t>1、鄂州市自然资源和规划局未将2019年度第三次全国土地调查工作项目绩效细化分解为具体绩效指标；</w:t>
      </w:r>
    </w:p>
    <w:p w14:paraId="1D470F14">
      <w:pPr>
        <w:numPr>
          <w:ilvl w:val="0"/>
          <w:numId w:val="0"/>
        </w:numPr>
        <w:spacing w:line="360" w:lineRule="auto"/>
        <w:ind w:firstLine="630" w:firstLineChars="200"/>
        <w:contextualSpacing/>
        <w:rPr>
          <w:rFonts w:hint="eastAsia" w:ascii="仿宋" w:hAnsi="仿宋" w:eastAsia="仿宋" w:cs="仿宋"/>
          <w:color w:val="000000"/>
          <w:sz w:val="28"/>
          <w:szCs w:val="28"/>
          <w:lang w:val="en-US" w:eastAsia="zh-CN"/>
        </w:rPr>
      </w:pPr>
      <w:r>
        <w:rPr>
          <w:rFonts w:hint="eastAsia" w:ascii="仿宋" w:hAnsi="仿宋" w:eastAsia="仿宋" w:cs="仿宋"/>
          <w:kern w:val="0"/>
          <w:sz w:val="28"/>
          <w:szCs w:val="28"/>
          <w:lang w:val="en-US" w:eastAsia="zh-CN"/>
        </w:rPr>
        <w:t>2、鄂州市自然资源和规划局未对2019年度第三次全国土地调查工作项目</w:t>
      </w:r>
      <w:r>
        <w:rPr>
          <w:rFonts w:hint="eastAsia" w:ascii="仿宋" w:hAnsi="仿宋" w:eastAsia="仿宋" w:cs="仿宋"/>
          <w:color w:val="000000"/>
          <w:sz w:val="28"/>
          <w:szCs w:val="28"/>
          <w:lang w:val="en-US" w:eastAsia="zh-CN"/>
        </w:rPr>
        <w:t>采取相应的财务检查等必要的监控措施或手段，如未对项目资金进行专项审计；</w:t>
      </w:r>
    </w:p>
    <w:p w14:paraId="1BBB7463">
      <w:pPr>
        <w:numPr>
          <w:ilvl w:val="0"/>
          <w:numId w:val="0"/>
        </w:numPr>
        <w:spacing w:line="360" w:lineRule="auto"/>
        <w:ind w:firstLine="630" w:firstLineChars="200"/>
        <w:contextualSpacing/>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kern w:val="0"/>
          <w:sz w:val="28"/>
          <w:szCs w:val="28"/>
          <w:highlight w:val="none"/>
          <w:lang w:val="en-US" w:eastAsia="zh-CN"/>
        </w:rPr>
        <w:t>鄂州市自然资源和规划局2019年度第三次全国土地调查工作未按计划安排完成阶段任务。</w:t>
      </w:r>
    </w:p>
    <w:p w14:paraId="4CA5CD7C">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（三）建议</w:t>
      </w:r>
      <w:bookmarkEnd w:id="180"/>
    </w:p>
    <w:p w14:paraId="223F2274">
      <w:pPr>
        <w:widowControl w:val="0"/>
        <w:numPr>
          <w:ilvl w:val="0"/>
          <w:numId w:val="0"/>
        </w:numPr>
        <w:spacing w:line="360" w:lineRule="auto"/>
        <w:ind w:firstLine="630" w:firstLineChars="200"/>
        <w:contextualSpacing/>
        <w:jc w:val="both"/>
        <w:rPr>
          <w:rFonts w:hint="default" w:ascii="仿宋" w:hAnsi="仿宋" w:eastAsia="仿宋" w:cs="仿宋"/>
          <w:kern w:val="0"/>
          <w:sz w:val="28"/>
          <w:szCs w:val="28"/>
          <w:lang w:val="en-US" w:eastAsia="zh-CN"/>
        </w:rPr>
      </w:pPr>
      <w:bookmarkStart w:id="181" w:name="_Toc24481"/>
      <w:r>
        <w:rPr>
          <w:rFonts w:hint="eastAsia" w:ascii="仿宋" w:hAnsi="仿宋" w:eastAsia="仿宋" w:cs="仿宋"/>
          <w:kern w:val="0"/>
          <w:sz w:val="28"/>
          <w:szCs w:val="28"/>
          <w:lang w:val="en-US" w:eastAsia="zh-CN"/>
        </w:rPr>
        <w:t>1、加强预算管理，落实湖北省国土资源厅《关于做好第三次全国土地调查工作的通知》的要求，</w:t>
      </w:r>
      <w:r>
        <w:rPr>
          <w:rFonts w:hint="eastAsia" w:ascii="仿宋" w:hAnsi="仿宋" w:eastAsia="仿宋" w:cs="仿宋"/>
          <w:color w:val="000000"/>
          <w:sz w:val="28"/>
          <w:szCs w:val="28"/>
          <w:lang w:val="en-US" w:eastAsia="zh-CN"/>
        </w:rPr>
        <w:t>将2019年度绩效目标细化分解为具体的绩效指标，并定期对其进行评估。</w:t>
      </w:r>
    </w:p>
    <w:p w14:paraId="7C463303">
      <w:pPr>
        <w:widowControl w:val="0"/>
        <w:numPr>
          <w:ilvl w:val="0"/>
          <w:numId w:val="0"/>
        </w:numPr>
        <w:spacing w:line="360" w:lineRule="auto"/>
        <w:ind w:firstLine="630" w:firstLineChars="200"/>
        <w:contextualSpacing/>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2、建立健全财务管理规章制度，强化内部财务管理和审计监督，确保资金的使用效果和安全性，并加强资金使用管理的基础工作，加强跟踪监督土地调查专项资金管理使用情况，定期</w:t>
      </w:r>
      <w:r>
        <w:rPr>
          <w:rFonts w:hint="eastAsia" w:ascii="仿宋" w:hAnsi="仿宋" w:eastAsia="仿宋" w:cs="仿宋"/>
          <w:color w:val="000000"/>
          <w:sz w:val="28"/>
          <w:szCs w:val="28"/>
          <w:lang w:val="en-US" w:eastAsia="zh-CN"/>
        </w:rPr>
        <w:t>对项目资金进行专项审计。</w:t>
      </w:r>
    </w:p>
    <w:p w14:paraId="108898D2">
      <w:pPr>
        <w:spacing w:line="610" w:lineRule="exact"/>
        <w:ind w:firstLine="569" w:firstLineChars="18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3、加强资金的使用效率，加快项目完成进度，严格按照预算及时完成各项土地调查工作，并及时</w:t>
      </w:r>
      <w:r>
        <w:rPr>
          <w:rFonts w:hint="eastAsia" w:ascii="仿宋" w:hAnsi="仿宋" w:eastAsia="仿宋"/>
          <w:sz w:val="28"/>
          <w:szCs w:val="28"/>
        </w:rPr>
        <w:t>对项目绩效情况进行科学合理的评价</w:t>
      </w:r>
      <w:r>
        <w:rPr>
          <w:rFonts w:hint="eastAsia" w:ascii="仿宋" w:hAnsi="仿宋" w:eastAsia="仿宋"/>
          <w:sz w:val="28"/>
          <w:szCs w:val="28"/>
          <w:lang w:eastAsia="zh-CN"/>
        </w:rPr>
        <w:t>。</w:t>
      </w:r>
    </w:p>
    <w:p w14:paraId="4E7E4516">
      <w:pPr>
        <w:pStyle w:val="2"/>
        <w:spacing w:line="360" w:lineRule="auto"/>
        <w:ind w:firstLine="630" w:firstLineChars="200"/>
        <w:contextualSpacing/>
        <w:rPr>
          <w:rFonts w:hint="eastAsia" w:ascii="仿宋" w:hAnsi="仿宋" w:eastAsia="仿宋" w:cs="仿宋"/>
          <w:sz w:val="28"/>
          <w:szCs w:val="28"/>
          <w:lang w:eastAsia="zh-CN"/>
        </w:rPr>
      </w:pP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sz w:val="28"/>
          <w:szCs w:val="28"/>
          <w:lang w:eastAsia="zh-CN"/>
        </w:rPr>
        <w:t>其他说明事项</w:t>
      </w:r>
      <w:bookmarkEnd w:id="181"/>
    </w:p>
    <w:p w14:paraId="13336C3F">
      <w:pPr>
        <w:spacing w:line="360" w:lineRule="auto"/>
        <w:ind w:firstLine="560"/>
        <w:contextualSpacing/>
        <w:rPr>
          <w:rFonts w:hint="eastAsia" w:ascii="仿宋" w:hAnsi="仿宋" w:eastAsia="仿宋" w:cs="仿宋"/>
          <w:b w:val="0"/>
          <w:bCs w:val="0"/>
          <w:sz w:val="28"/>
          <w:szCs w:val="28"/>
          <w:lang w:eastAsia="zh-CN"/>
        </w:rPr>
      </w:pPr>
      <w:r>
        <w:rPr>
          <w:rFonts w:hint="eastAsia" w:ascii="仿宋" w:hAnsi="仿宋" w:eastAsia="仿宋" w:cs="仿宋"/>
          <w:sz w:val="28"/>
          <w:szCs w:val="28"/>
        </w:rPr>
        <w:t>本次绩效评价所涉及的项目采用抽样评审，由于时间关系，调查问卷人数有限。评价主要是依据项目单位提供的相关文件和有关信息进行，难以对项目整体实施绩效作出全面、准确的评价。</w:t>
      </w:r>
    </w:p>
    <w:p w14:paraId="68799E8B">
      <w:pPr>
        <w:ind w:left="0" w:leftChars="0" w:firstLine="0" w:firstLineChars="0"/>
      </w:pPr>
    </w:p>
    <w:sectPr>
      <w:footerReference r:id="rId21" w:type="default"/>
      <w:pgSz w:w="11906" w:h="16838"/>
      <w:pgMar w:top="2098" w:right="1474" w:bottom="1984" w:left="1587" w:header="851" w:footer="992" w:gutter="0"/>
      <w:pgNumType w:fmt="numberInDash"/>
      <w:cols w:space="720" w:num="1"/>
      <w:docGrid w:type="linesAndChars" w:linePitch="579" w:charSpace="7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1E06">
    <w:pPr>
      <w:pStyle w:val="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57E5">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1A3521">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cs="仿宋"/>
                              <w:sz w:val="28"/>
                              <w:szCs w:val="28"/>
                              <w:lang w:val="en-US" w:eastAsia="zh-CN"/>
                            </w:rPr>
                            <w:t>28</w:t>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91A3521">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cs="仿宋"/>
                        <w:sz w:val="28"/>
                        <w:szCs w:val="28"/>
                        <w:lang w:val="en-US" w:eastAsia="zh-CN"/>
                      </w:rPr>
                      <w:t>28</w:t>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874B">
    <w:pPr>
      <w:pStyle w:val="6"/>
      <w:framePr w:wrap="around" w:vAnchor="text" w:hAnchor="margin" w:xAlign="right" w:y="1"/>
      <w:ind w:firstLine="360"/>
      <w:rPr>
        <w:rStyle w:val="13"/>
      </w:rPr>
    </w:pPr>
    <w:r>
      <w:fldChar w:fldCharType="begin"/>
    </w:r>
    <w:r>
      <w:rPr>
        <w:rStyle w:val="13"/>
      </w:rPr>
      <w:instrText xml:space="preserve">PAGE  </w:instrText>
    </w:r>
    <w:r>
      <w:fldChar w:fldCharType="end"/>
    </w:r>
  </w:p>
  <w:p w14:paraId="565A8E8E">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8664">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132DE">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D95C6">
                          <w:pPr>
                            <w:pStyle w:val="6"/>
                            <w:ind w:firstLine="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5D95C6">
                    <w:pPr>
                      <w:pStyle w:val="6"/>
                      <w:ind w:firstLine="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530D">
    <w:pPr>
      <w:pStyle w:val="6"/>
      <w:ind w:firstLine="0" w:firstLineChars="0"/>
      <w:jc w:val="right"/>
    </w:pPr>
    <w:r>
      <w:rPr>
        <w:rFonts w:hint="eastAsia"/>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9794D">
    <w:pPr>
      <w:pStyle w:val="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37A4">
    <w:pPr>
      <w:pStyle w:val="6"/>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58E0">
    <w:pPr>
      <w:pStyle w:val="6"/>
      <w:jc w:val="center"/>
    </w:pPr>
  </w:p>
  <w:p w14:paraId="6AB27207">
    <w:pPr>
      <w:pStyle w:val="6"/>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7EE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CBA5FBF">
                          <w:pPr>
                            <w:pStyle w:val="6"/>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4J7NY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M4J7NYBAACwAwAADgAAAAAAAAABACAAAAAe&#10;AQAAZHJzL2Uyb0RvYy54bWxQSwUGAAAAAAYABgBZAQAAZgUAAAAA&#10;">
              <v:fill on="f" focussize="0,0"/>
              <v:stroke on="f"/>
              <v:imagedata o:title=""/>
              <o:lock v:ext="edit" aspectratio="f"/>
              <v:textbox inset="0mm,0mm,0mm,0mm" style="mso-fit-shape-to-text:t;">
                <w:txbxContent>
                  <w:p w14:paraId="3CBA5FBF">
                    <w:pPr>
                      <w:pStyle w:val="6"/>
                      <w:rPr>
                        <w:rFonts w:hint="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CE0D">
    <w:pPr>
      <w:pStyle w:val="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F5AD">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7B68">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F1689">
    <w:pPr>
      <w:pStyle w:val="7"/>
      <w:pBdr>
        <w:bottom w:val="none" w:color="auto" w:sz="0" w:space="0"/>
      </w:pBdr>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3978">
    <w:pPr>
      <w:pStyle w:val="7"/>
      <w:pBdr>
        <w:bottom w:val="single" w:color="auto" w:sz="4" w:space="0"/>
      </w:pBdr>
      <w:ind w:firstLine="0" w:firstLineChars="0"/>
      <w:jc w:val="both"/>
      <w:rPr>
        <w:lang w:val="en-US" w:eastAsia="zh-CN"/>
      </w:rPr>
    </w:pPr>
    <w:r>
      <w:rPr>
        <w:rFonts w:hint="eastAsia"/>
        <w:lang w:val="en-US" w:eastAsia="zh-CN"/>
      </w:rPr>
      <w:t>武汉安盛鑫会计师事务有限责任公司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8C67">
    <w:pPr>
      <w:pStyle w:val="7"/>
      <w:pBdr>
        <w:bottom w:val="none" w:color="auto" w:sz="0" w:space="0"/>
      </w:pBdr>
      <w:tabs>
        <w:tab w:val="left" w:pos="1041"/>
        <w:tab w:val="clear" w:pos="4153"/>
      </w:tabs>
      <w:ind w:firstLine="0" w:firstLineChars="0"/>
      <w:jc w:val="both"/>
      <w:rPr>
        <w:lang w:val="en-US" w:eastAsia="zh-CN"/>
      </w:rPr>
    </w:pPr>
    <w:r>
      <w:rPr>
        <w:rFonts w:hint="eastAsia"/>
        <w:lang w:val="en-US"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4120">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E09C8"/>
    <w:multiLevelType w:val="singleLevel"/>
    <w:tmpl w:val="F42E0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09B5E87"/>
    <w:rsid w:val="025D51FE"/>
    <w:rsid w:val="07057F00"/>
    <w:rsid w:val="07580C0D"/>
    <w:rsid w:val="095442F5"/>
    <w:rsid w:val="095F5781"/>
    <w:rsid w:val="096832EF"/>
    <w:rsid w:val="14D30A6F"/>
    <w:rsid w:val="1572435F"/>
    <w:rsid w:val="15FB6504"/>
    <w:rsid w:val="17E176A6"/>
    <w:rsid w:val="184351F3"/>
    <w:rsid w:val="1B95599C"/>
    <w:rsid w:val="1BA32FE4"/>
    <w:rsid w:val="1C5B05A5"/>
    <w:rsid w:val="1FB043D5"/>
    <w:rsid w:val="21EE1406"/>
    <w:rsid w:val="224B2CF3"/>
    <w:rsid w:val="257278B8"/>
    <w:rsid w:val="273C101C"/>
    <w:rsid w:val="2A231B33"/>
    <w:rsid w:val="2E4710ED"/>
    <w:rsid w:val="302465B0"/>
    <w:rsid w:val="3131797C"/>
    <w:rsid w:val="33761BDD"/>
    <w:rsid w:val="357E7209"/>
    <w:rsid w:val="368955E3"/>
    <w:rsid w:val="37124406"/>
    <w:rsid w:val="38DC7B51"/>
    <w:rsid w:val="3B4E5834"/>
    <w:rsid w:val="3BCB5FE2"/>
    <w:rsid w:val="3DAC050F"/>
    <w:rsid w:val="3DE4734C"/>
    <w:rsid w:val="3DF61BFA"/>
    <w:rsid w:val="41305398"/>
    <w:rsid w:val="427C4B23"/>
    <w:rsid w:val="43376CCD"/>
    <w:rsid w:val="436B1F1C"/>
    <w:rsid w:val="46AB518A"/>
    <w:rsid w:val="46BD1431"/>
    <w:rsid w:val="46C26A34"/>
    <w:rsid w:val="48085DB7"/>
    <w:rsid w:val="4A6643F0"/>
    <w:rsid w:val="4BA26947"/>
    <w:rsid w:val="4DF9696A"/>
    <w:rsid w:val="4E761971"/>
    <w:rsid w:val="4F2C26C5"/>
    <w:rsid w:val="4F937055"/>
    <w:rsid w:val="506F6B84"/>
    <w:rsid w:val="53D80A38"/>
    <w:rsid w:val="5A804304"/>
    <w:rsid w:val="5BD91264"/>
    <w:rsid w:val="5D8479D5"/>
    <w:rsid w:val="5E75702E"/>
    <w:rsid w:val="5FA26DDF"/>
    <w:rsid w:val="61B30DDC"/>
    <w:rsid w:val="63023038"/>
    <w:rsid w:val="63731715"/>
    <w:rsid w:val="63B105A9"/>
    <w:rsid w:val="688906A4"/>
    <w:rsid w:val="69045996"/>
    <w:rsid w:val="696F5E4D"/>
    <w:rsid w:val="70C61122"/>
    <w:rsid w:val="730337D4"/>
    <w:rsid w:val="7B4F73C9"/>
    <w:rsid w:val="7E544822"/>
    <w:rsid w:val="7EE6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10" w:firstLineChars="20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spacing w:before="220" w:beforeLines="0" w:beforeAutospacing="0" w:after="120" w:afterLines="0" w:afterAutospacing="0" w:line="560" w:lineRule="exact"/>
      <w:ind w:firstLine="0" w:firstLineChars="0"/>
      <w:jc w:val="left"/>
      <w:outlineLvl w:val="0"/>
    </w:pPr>
    <w:rPr>
      <w:rFonts w:ascii="黑体" w:hAnsi="黑体" w:eastAsia="黑体"/>
      <w:b/>
      <w:kern w:val="44"/>
    </w:rPr>
  </w:style>
  <w:style w:type="paragraph" w:styleId="3">
    <w:name w:val="heading 2"/>
    <w:basedOn w:val="1"/>
    <w:next w:val="1"/>
    <w:link w:val="16"/>
    <w:qFormat/>
    <w:uiPriority w:val="0"/>
    <w:pPr>
      <w:keepNext/>
      <w:keepLines/>
      <w:spacing w:before="20" w:after="20" w:line="560" w:lineRule="exact"/>
      <w:outlineLvl w:val="1"/>
    </w:pPr>
    <w:rPr>
      <w:rFonts w:ascii="楷体" w:hAnsi="楷体" w:eastAsia="楷体"/>
      <w:b/>
      <w:bCs/>
    </w:rPr>
  </w:style>
  <w:style w:type="paragraph" w:styleId="4">
    <w:name w:val="heading 3"/>
    <w:basedOn w:val="1"/>
    <w:next w:val="1"/>
    <w:qFormat/>
    <w:uiPriority w:val="0"/>
    <w:pPr>
      <w:keepNext/>
      <w:keepLines/>
      <w:spacing w:line="560" w:lineRule="exact"/>
      <w:outlineLvl w:val="2"/>
    </w:pPr>
    <w:rPr>
      <w:rFonts w:ascii="楷体" w:hAnsi="楷体" w:eastAsia="楷体"/>
      <w:b/>
      <w:bC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character" w:styleId="14">
    <w:name w:val="Hyperlink"/>
    <w:basedOn w:val="12"/>
    <w:qFormat/>
    <w:uiPriority w:val="99"/>
    <w:rPr>
      <w:color w:val="0000FF"/>
      <w:u w:val="single"/>
    </w:rPr>
  </w:style>
  <w:style w:type="paragraph" w:customStyle="1" w:styleId="15">
    <w:name w:val="_Style 5"/>
    <w:basedOn w:val="2"/>
    <w:next w:val="1"/>
    <w:qFormat/>
    <w:uiPriority w:val="39"/>
    <w:pPr>
      <w:widowControl/>
      <w:topLinePunct w:val="0"/>
      <w:spacing w:before="480" w:after="0" w:line="276" w:lineRule="auto"/>
      <w:jc w:val="left"/>
      <w:outlineLvl w:val="9"/>
    </w:pPr>
    <w:rPr>
      <w:rFonts w:ascii="Cambria" w:hAnsi="Cambria" w:eastAsia="宋体" w:cs="Times New Roman"/>
      <w:color w:val="365F91"/>
      <w:kern w:val="0"/>
      <w:sz w:val="28"/>
      <w:szCs w:val="28"/>
    </w:rPr>
  </w:style>
  <w:style w:type="character" w:customStyle="1" w:styleId="16">
    <w:name w:val="标题 2 Char1"/>
    <w:link w:val="3"/>
    <w:qFormat/>
    <w:uiPriority w:val="9"/>
    <w:rPr>
      <w:rFonts w:ascii="楷体" w:hAnsi="楷体" w:eastAsia="楷体"/>
      <w:b/>
      <w:bCs/>
    </w:rPr>
  </w:style>
  <w:style w:type="character" w:customStyle="1" w:styleId="17">
    <w:name w:val="font41"/>
    <w:basedOn w:val="12"/>
    <w:qFormat/>
    <w:uiPriority w:val="0"/>
    <w:rPr>
      <w:rFonts w:hint="eastAsia" w:ascii="宋体" w:hAnsi="宋体" w:eastAsia="宋体" w:cs="宋体"/>
      <w:color w:val="000000"/>
      <w:sz w:val="20"/>
      <w:szCs w:val="20"/>
      <w:u w:val="none"/>
    </w:rPr>
  </w:style>
  <w:style w:type="character" w:customStyle="1" w:styleId="18">
    <w:name w:val="font51"/>
    <w:basedOn w:val="12"/>
    <w:qFormat/>
    <w:uiPriority w:val="0"/>
    <w:rPr>
      <w:rFonts w:hint="default" w:ascii="Arial" w:hAnsi="Arial" w:cs="Arial"/>
      <w:color w:val="000000"/>
      <w:sz w:val="20"/>
      <w:szCs w:val="20"/>
      <w:u w:val="none"/>
    </w:rPr>
  </w:style>
  <w:style w:type="paragraph" w:customStyle="1" w:styleId="19">
    <w:name w:val="_Style 4"/>
    <w:basedOn w:val="2"/>
    <w:next w:val="1"/>
    <w:qFormat/>
    <w:uiPriority w:val="39"/>
    <w:pPr>
      <w:widowControl/>
      <w:spacing w:before="240" w:after="0" w:line="259" w:lineRule="auto"/>
      <w:jc w:val="left"/>
      <w:outlineLvl w:val="9"/>
    </w:pPr>
    <w:rPr>
      <w:rFonts w:ascii="Calibri Light" w:hAnsi="Calibri Light" w:eastAsia="宋体" w:cs="Times New Roman"/>
      <w:b w:val="0"/>
      <w:color w:val="2E74B5"/>
      <w:kern w:val="0"/>
      <w:szCs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25280</Words>
  <Characters>26885</Characters>
  <Lines>0</Lines>
  <Paragraphs>0</Paragraphs>
  <TotalTime>8</TotalTime>
  <ScaleCrop>false</ScaleCrop>
  <LinksUpToDate>false</LinksUpToDate>
  <CharactersWithSpaces>27119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2022-08-21T06:22:00Z</dcterms:created>
  <dc:creator>Administrator</dc:creator>
  <cp:lastModifiedBy>远烟</cp:lastModifiedBy>
  <dcterms:modified xsi:type="dcterms:W3CDTF">2025-03-28T03:45:33Z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A99296F810594A4684561B5703A7EE4C</vt:lpwstr>
  </property>
</Properties>
</file>