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923"/>
        <w:gridCol w:w="170"/>
        <w:gridCol w:w="30"/>
        <w:gridCol w:w="315"/>
        <w:gridCol w:w="539"/>
        <w:gridCol w:w="252"/>
        <w:gridCol w:w="6"/>
        <w:gridCol w:w="258"/>
        <w:gridCol w:w="266"/>
        <w:gridCol w:w="271"/>
        <w:gridCol w:w="59"/>
        <w:gridCol w:w="1011"/>
        <w:gridCol w:w="82"/>
        <w:gridCol w:w="1094"/>
        <w:gridCol w:w="334"/>
        <w:gridCol w:w="747"/>
        <w:gridCol w:w="957"/>
      </w:tblGrid>
      <w:tr>
        <w:tblPrEx>
          <w:tblLayout w:type="fixed"/>
          <w:tblCellMar>
            <w:top w:w="0" w:type="dxa"/>
            <w:left w:w="108" w:type="dxa"/>
            <w:bottom w:w="0" w:type="dxa"/>
            <w:right w:w="108" w:type="dxa"/>
          </w:tblCellMar>
        </w:tblPrEx>
        <w:trPr>
          <w:trHeight w:val="508" w:hRule="atLeast"/>
        </w:trPr>
        <w:tc>
          <w:tcPr>
            <w:tcW w:w="2557" w:type="dxa"/>
            <w:gridSpan w:val="3"/>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申报单位</w:t>
            </w:r>
            <w:r>
              <w:rPr>
                <w:rFonts w:hint="eastAsia" w:ascii="宋体" w:hAnsi="宋体" w:eastAsia="宋体" w:cs="宋体"/>
                <w:color w:val="auto"/>
                <w:kern w:val="0"/>
                <w:sz w:val="21"/>
                <w:szCs w:val="21"/>
                <w:lang w:val="en-US" w:eastAsia="zh-CN"/>
              </w:rPr>
              <w:t>:鄂州市督查考评办公室</w:t>
            </w:r>
          </w:p>
        </w:tc>
        <w:tc>
          <w:tcPr>
            <w:tcW w:w="515"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539"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6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5"/>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Layout w:type="fixed"/>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督查效能业务</w:t>
            </w:r>
          </w:p>
        </w:tc>
        <w:tc>
          <w:tcPr>
            <w:tcW w:w="1112"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常年性项目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持续性项目</w:t>
            </w:r>
          </w:p>
        </w:tc>
      </w:tr>
      <w:tr>
        <w:tblPrEx>
          <w:tblLayout w:type="fixed"/>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1、《中央办公厅关于进一步加强督促检查工作的意见》《省委办公厅关于进一步加强统督促检查工作的实施意见》《政府督查工作条例》、《国务院办公厅关于进一步加强政府督促检查工作的意见》（国办发〔2014〕42号）、《省人民政府办公厅关于进一步加强政府督促检查工作的实施意见》（鄂政办发〔2014〕60号）、《市人民政府关于进一步加强政府督促检查工作的实施意见》（鄂州政办发〔2015〕44号）；《市人民政府办公室关于印发2022年《政府工作报告》主要目标任务责任分解方案的通知》（鄂州政办函〔2022〕2号）《市人大常委会办公室  市人民政府办公室  市政协办公室关于做好2021年建议提案和议案建议案办理工作的通知》（鄂州政办函〔2021〕8号）《鄂州市12345效能监督工作办法》</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2、为保障党委督查各项督查任务顺利完成，推动重大决策部署和各项目标任务落到实处，必须通过召开会议部署、实地开展督查等方式推动工作落实。</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对经济社会发展的影响；党中央、国务院高度重视督促检查工作，党的十八大以来，党中央对督促检查工作提出了一系列新的要求，要求各地加大督查检查力度，避免有关单位有令不行、有禁不止；利用12345政务服务热线效能监督平台，以互联网平台为载体对部门履职进行舆论监督或效能监督，拓宽了群众的诉求渠道，督促群众诉求的落实。</w:t>
            </w:r>
          </w:p>
        </w:tc>
      </w:tr>
      <w:tr>
        <w:tblPrEx>
          <w:tblLayout w:type="fixed"/>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对市委常委会、政府常务会等明确事项、领导批示等贯彻落实情况发通报、专报，其它工作需要的通报、专报。到各农村区、乡镇、村（社区）及基层监测点进行调研减负、作风建设等工作。外出学习考察。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做好2023年建议提案和议案建议案办理工作。开展党委、政务督办会、工作协调会。迎接国务院大督查、省委办公厅等督查工作。业务对口单位来我市交流学习。根据省、市领导要求做相关工作公示、宣传，公开市《政府工作报告》主要目标任务、市建议提案及其他重点督办事项完成情况。效能评议推送服务对象评议信息，提高群众投诉不满意事项督办及时率。落实市委、市政府主要批示事项，督促市政府重点工作落实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运用纸媒宣传版面数</w:t>
            </w:r>
          </w:p>
        </w:tc>
        <w:tc>
          <w:tcPr>
            <w:tcW w:w="1094" w:type="dxa"/>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5</w:t>
            </w:r>
          </w:p>
        </w:tc>
        <w:tc>
          <w:tcPr>
            <w:tcW w:w="2038" w:type="dxa"/>
            <w:gridSpan w:val="3"/>
            <w:vAlign w:val="center"/>
          </w:tcPr>
          <w:p>
            <w:pPr>
              <w:widowControl/>
              <w:jc w:val="center"/>
              <w:rPr>
                <w:rFonts w:ascii="仿宋_GB2312" w:hAnsi="宋体" w:eastAsia="仿宋_GB2312" w:cs="Times New Roman"/>
                <w:kern w:val="0"/>
                <w:sz w:val="18"/>
                <w:szCs w:val="18"/>
              </w:rPr>
            </w:pPr>
            <w:r>
              <w:rPr>
                <w:rFonts w:hint="eastAsia" w:ascii="仿宋_GB2312" w:hAnsi="宋体" w:eastAsia="仿宋_GB2312" w:cs="仿宋_GB2312"/>
                <w:kern w:val="0"/>
                <w:sz w:val="18"/>
                <w:szCs w:val="18"/>
              </w:rPr>
              <w:t>3版×3万元/版=9万元；公开建议提案、其他重点工作完成情况1万元。通报效能评议和效能监督运用报纸8版。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下发纸质通报次数</w:t>
            </w:r>
          </w:p>
        </w:tc>
        <w:tc>
          <w:tcPr>
            <w:tcW w:w="1094" w:type="dxa"/>
            <w:vAlign w:val="center"/>
          </w:tcPr>
          <w:p>
            <w:pPr>
              <w:widowControl/>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10</w:t>
            </w:r>
          </w:p>
        </w:tc>
        <w:tc>
          <w:tcPr>
            <w:tcW w:w="2038" w:type="dxa"/>
            <w:gridSpan w:val="3"/>
            <w:vAlign w:val="center"/>
          </w:tcPr>
          <w:p>
            <w:pPr>
              <w:widowControl/>
              <w:jc w:val="center"/>
              <w:rPr>
                <w:rFonts w:ascii="仿宋_GB2312" w:hAnsi="宋体" w:eastAsia="仿宋_GB2312" w:cs="Times New Roman"/>
                <w:kern w:val="0"/>
                <w:sz w:val="18"/>
                <w:szCs w:val="18"/>
              </w:rPr>
            </w:pPr>
            <w:r>
              <w:rPr>
                <w:rFonts w:hint="eastAsia" w:ascii="仿宋_GB2312" w:hAnsi="宋体" w:eastAsia="仿宋_GB2312" w:cs="仿宋_GB2312"/>
                <w:kern w:val="0"/>
                <w:sz w:val="18"/>
                <w:szCs w:val="18"/>
              </w:rPr>
              <w:t>督查通报、专报，市委常委会会议纪要责任分解，领导批示件交办督办，上级督查反馈问题任务分解及反馈等资料。印制督查通报、专报3万元 国务院、省、市《政府工作报告》主要目标任务责任分解印刷费用2万元：国务院、省《政府工作报告》分别印制30份，2×40份×50元/份=4000元；市《政府工作报告》印制150份，每份40元，150份×40元/份=6000元。 印发省、市建议提案交办通知、办理方案、督办函费用：100份×30元/份=3000元； 迎接上级督查，印制迎检方案、接待手册、会议材料、上级督查反馈问题整改方案、督查发现问题整改情况报告费用2万元：全年4次，每次5000元，4次×5000元/次=20000元。 印发市政府常务会议纪要交办通知、重点督查工作督办函、落实情况的报告等其他资料费用2.8万元。 效能监督印刷费4万各类效能评议海报等。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统筹迎接省委、国务院、省政府督查，安排对接会议场及座谈会议室等</w:t>
            </w:r>
          </w:p>
        </w:tc>
        <w:tc>
          <w:tcPr>
            <w:tcW w:w="1094" w:type="dxa"/>
            <w:vAlign w:val="center"/>
          </w:tcPr>
          <w:p>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3次</w:t>
            </w:r>
          </w:p>
        </w:tc>
        <w:tc>
          <w:tcPr>
            <w:tcW w:w="2038" w:type="dxa"/>
            <w:gridSpan w:val="3"/>
            <w:vAlign w:val="center"/>
          </w:tcPr>
          <w:p>
            <w:pPr>
              <w:widowControl/>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全市党委督查工作会0.5万元；全市政务督查工作会0.5万元；全市建议提案交办暨督查业务培训会1万元；</w:t>
            </w:r>
          </w:p>
          <w:p>
            <w:pPr>
              <w:widowControl/>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效能监督：1.会议室租赁费：1万元；2.会议资料费：200人参会，每人资料费40元。3.效能评议年度总结；20个牌匾。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建议提案网络管理系统服务器租用费和技术维护</w:t>
            </w:r>
          </w:p>
        </w:tc>
        <w:tc>
          <w:tcPr>
            <w:tcW w:w="1094" w:type="dxa"/>
            <w:vAlign w:val="center"/>
          </w:tcPr>
          <w:p>
            <w:pPr>
              <w:widowControl/>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5.1</w:t>
            </w:r>
          </w:p>
        </w:tc>
        <w:tc>
          <w:tcPr>
            <w:tcW w:w="2038" w:type="dxa"/>
            <w:gridSpan w:val="3"/>
            <w:vAlign w:val="center"/>
          </w:tcPr>
          <w:p>
            <w:pPr>
              <w:widowControl/>
              <w:jc w:val="center"/>
              <w:rPr>
                <w:rFonts w:hint="eastAsia" w:ascii="仿宋_GB2312" w:hAnsi="宋体" w:eastAsia="仿宋_GB2312" w:cs="仿宋_GB2312"/>
                <w:kern w:val="0"/>
                <w:sz w:val="18"/>
                <w:szCs w:val="18"/>
              </w:rPr>
            </w:pPr>
            <w:r>
              <w:rPr>
                <w:rFonts w:hint="eastAsia" w:ascii="仿宋_GB2312" w:hAnsi="宋体" w:eastAsia="仿宋_GB2312" w:cs="仿宋_GB2312"/>
                <w:kern w:val="0"/>
                <w:sz w:val="18"/>
                <w:szCs w:val="18"/>
              </w:rPr>
              <w:t>①服务器租用费2万元。②技术维护费3万元。③短信服务费0.1万元。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确保我市建议提案办理满意率达到95%以上</w:t>
            </w:r>
          </w:p>
        </w:tc>
        <w:tc>
          <w:tcPr>
            <w:tcW w:w="1094" w:type="dxa"/>
            <w:vAlign w:val="center"/>
          </w:tcPr>
          <w:p>
            <w:pPr>
              <w:widowControl/>
              <w:jc w:val="center"/>
              <w:rPr>
                <w:rFonts w:ascii="仿宋_GB2312" w:hAnsi="宋体" w:eastAsia="仿宋_GB2312" w:cs="Times New Roman"/>
                <w:kern w:val="0"/>
              </w:rPr>
            </w:pPr>
            <w:r>
              <w:rPr>
                <w:rFonts w:hint="eastAsia"/>
              </w:rPr>
              <w:t>95%</w:t>
            </w:r>
          </w:p>
        </w:tc>
        <w:tc>
          <w:tcPr>
            <w:tcW w:w="2038" w:type="dxa"/>
            <w:gridSpan w:val="3"/>
            <w:vAlign w:val="center"/>
          </w:tcPr>
          <w:p>
            <w:pPr>
              <w:widowControl/>
              <w:jc w:val="center"/>
              <w:rPr>
                <w:rFonts w:ascii="仿宋_GB2312" w:hAnsi="宋体" w:eastAsia="仿宋_GB2312" w:cs="Times New Roman"/>
                <w:kern w:val="0"/>
                <w:sz w:val="18"/>
                <w:szCs w:val="18"/>
              </w:rPr>
            </w:pPr>
            <w:r>
              <w:rPr>
                <w:rFonts w:hint="eastAsia" w:ascii="仿宋_GB2312" w:hAnsi="宋体" w:eastAsia="仿宋_GB2312" w:cs="仿宋_GB2312"/>
                <w:kern w:val="0"/>
                <w:sz w:val="18"/>
                <w:szCs w:val="18"/>
              </w:rPr>
              <w:t>确保我市建议提案办理人大代表政协委员满意率达到95%以上。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每半年督办建议提案办理落实</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1953" w:type="dxa"/>
            <w:gridSpan w:val="7"/>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eastAsia="zh-CN"/>
              </w:rPr>
              <w:t>宣传费</w:t>
            </w:r>
          </w:p>
        </w:tc>
        <w:tc>
          <w:tcPr>
            <w:tcW w:w="1094"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20.6</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印刷费</w:t>
            </w:r>
          </w:p>
        </w:tc>
        <w:tc>
          <w:tcPr>
            <w:tcW w:w="1094"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13.3</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差旅费</w:t>
            </w:r>
          </w:p>
        </w:tc>
        <w:tc>
          <w:tcPr>
            <w:tcW w:w="1094" w:type="dxa"/>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w:t>
            </w:r>
          </w:p>
        </w:tc>
        <w:tc>
          <w:tcPr>
            <w:tcW w:w="2038" w:type="dxa"/>
            <w:gridSpan w:val="3"/>
            <w:vAlign w:val="center"/>
          </w:tcPr>
          <w:p>
            <w:pPr>
              <w:widowControl/>
              <w:jc w:val="center"/>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会务培训费</w:t>
            </w:r>
          </w:p>
        </w:tc>
        <w:tc>
          <w:tcPr>
            <w:tcW w:w="1094" w:type="dxa"/>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4</w:t>
            </w:r>
          </w:p>
        </w:tc>
        <w:tc>
          <w:tcPr>
            <w:tcW w:w="2038" w:type="dxa"/>
            <w:gridSpan w:val="3"/>
            <w:vAlign w:val="center"/>
          </w:tcPr>
          <w:p>
            <w:pPr>
              <w:widowControl/>
              <w:jc w:val="center"/>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推动市委市政府重大决策落实，督查频次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建议提案办理满意率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95%</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推动全市社会治理能力不断提升　</w:t>
            </w:r>
          </w:p>
        </w:tc>
        <w:tc>
          <w:tcPr>
            <w:tcW w:w="1094" w:type="dxa"/>
            <w:vAlign w:val="center"/>
          </w:tcPr>
          <w:p>
            <w:pPr>
              <w:widowControl/>
              <w:jc w:val="left"/>
              <w:rPr>
                <w:rFonts w:ascii="仿宋_GB2312" w:hAnsi="宋体" w:eastAsia="仿宋_GB2312" w:cs="Times New Roman"/>
                <w:kern w:val="0"/>
              </w:rPr>
            </w:pP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推动全市社会治理能力不断提升</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bottom"/>
          </w:tcPr>
          <w:p>
            <w:pPr>
              <w:widowControl/>
              <w:jc w:val="center"/>
              <w:rPr>
                <w:rFonts w:ascii="仿宋_GB2312" w:hAnsi="Arial" w:eastAsia="仿宋_GB2312" w:cs="Times New Roman"/>
                <w:kern w:val="0"/>
              </w:rPr>
            </w:pPr>
            <w:r>
              <w:rPr>
                <w:rFonts w:hint="eastAsia" w:ascii="仿宋_GB2312" w:hAnsi="Arial" w:eastAsia="仿宋_GB2312" w:cs="仿宋_GB2312"/>
                <w:kern w:val="0"/>
              </w:rPr>
              <w:t>社会公众满意度</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市委、市政府主要领导批示事项督办落实率</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5"/>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运用纸媒宣传版面数</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5</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center"/>
              <w:rPr>
                <w:rFonts w:hint="eastAsia" w:ascii="仿宋_GB2312" w:hAnsi="宋体" w:eastAsia="仿宋_GB2312" w:cs="仿宋_GB2312"/>
                <w:kern w:val="0"/>
              </w:rPr>
            </w:pPr>
          </w:p>
        </w:tc>
        <w:tc>
          <w:tcPr>
            <w:tcW w:w="1093" w:type="dxa"/>
            <w:gridSpan w:val="2"/>
            <w:vMerge w:val="continue"/>
            <w:vAlign w:val="center"/>
          </w:tcPr>
          <w:p>
            <w:pPr>
              <w:widowControl/>
              <w:jc w:val="center"/>
              <w:rPr>
                <w:rFonts w:hint="eastAsia" w:ascii="仿宋_GB2312" w:hAnsi="宋体" w:eastAsia="仿宋_GB2312" w:cs="仿宋_GB2312"/>
                <w:kern w:val="0"/>
              </w:rPr>
            </w:pPr>
          </w:p>
        </w:tc>
        <w:tc>
          <w:tcPr>
            <w:tcW w:w="1136" w:type="dxa"/>
            <w:gridSpan w:val="4"/>
            <w:vMerge w:val="continue"/>
            <w:vAlign w:val="center"/>
          </w:tcPr>
          <w:p>
            <w:pPr>
              <w:widowControl/>
              <w:jc w:val="center"/>
              <w:rPr>
                <w:rFonts w:hint="eastAsia" w:ascii="仿宋_GB2312" w:hAnsi="宋体" w:eastAsia="仿宋_GB2312" w:cs="仿宋_GB2312"/>
                <w:kern w:val="0"/>
              </w:rPr>
            </w:pPr>
          </w:p>
        </w:tc>
        <w:tc>
          <w:tcPr>
            <w:tcW w:w="860" w:type="dxa"/>
            <w:gridSpan w:val="5"/>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下发纸质通报次数</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vAlign w:val="center"/>
          </w:tcPr>
          <w:p>
            <w:pPr>
              <w:widowControl/>
              <w:jc w:val="left"/>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10</w:t>
            </w:r>
          </w:p>
        </w:tc>
        <w:tc>
          <w:tcPr>
            <w:tcW w:w="957" w:type="dxa"/>
            <w:vAlign w:val="center"/>
          </w:tcPr>
          <w:p>
            <w:pPr>
              <w:widowControl/>
              <w:jc w:val="left"/>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center"/>
              <w:rPr>
                <w:rFonts w:hint="eastAsia" w:ascii="仿宋_GB2312" w:hAnsi="宋体" w:eastAsia="仿宋_GB2312" w:cs="仿宋_GB2312"/>
                <w:kern w:val="0"/>
              </w:rPr>
            </w:pPr>
          </w:p>
        </w:tc>
        <w:tc>
          <w:tcPr>
            <w:tcW w:w="1093" w:type="dxa"/>
            <w:gridSpan w:val="2"/>
            <w:vMerge w:val="continue"/>
            <w:vAlign w:val="center"/>
          </w:tcPr>
          <w:p>
            <w:pPr>
              <w:widowControl/>
              <w:jc w:val="center"/>
              <w:rPr>
                <w:rFonts w:hint="eastAsia" w:ascii="仿宋_GB2312" w:hAnsi="宋体" w:eastAsia="仿宋_GB2312" w:cs="仿宋_GB2312"/>
                <w:kern w:val="0"/>
              </w:rPr>
            </w:pPr>
          </w:p>
        </w:tc>
        <w:tc>
          <w:tcPr>
            <w:tcW w:w="1136" w:type="dxa"/>
            <w:gridSpan w:val="4"/>
            <w:vMerge w:val="continue"/>
            <w:vAlign w:val="center"/>
          </w:tcPr>
          <w:p>
            <w:pPr>
              <w:widowControl/>
              <w:jc w:val="center"/>
              <w:rPr>
                <w:rFonts w:hint="eastAsia" w:ascii="仿宋_GB2312" w:hAnsi="宋体" w:eastAsia="仿宋_GB2312" w:cs="仿宋_GB2312"/>
                <w:kern w:val="0"/>
              </w:rPr>
            </w:pPr>
          </w:p>
        </w:tc>
        <w:tc>
          <w:tcPr>
            <w:tcW w:w="860" w:type="dxa"/>
            <w:gridSpan w:val="5"/>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统筹迎接省委、国务院、省政府督查，安排对接会议场及座谈会议室等</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3次</w:t>
            </w:r>
          </w:p>
        </w:tc>
        <w:tc>
          <w:tcPr>
            <w:tcW w:w="957" w:type="dxa"/>
            <w:vAlign w:val="center"/>
          </w:tcPr>
          <w:p>
            <w:pPr>
              <w:widowControl/>
              <w:jc w:val="left"/>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建议提案网络管理系统服务器租用费和技术维护</w:t>
            </w:r>
          </w:p>
        </w:tc>
        <w:tc>
          <w:tcPr>
            <w:tcW w:w="1093"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5.1</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5.1</w:t>
            </w:r>
            <w:r>
              <w:rPr>
                <w:rFonts w:hint="eastAsia" w:ascii="仿宋_GB2312" w:hAnsi="宋体" w:eastAsia="仿宋_GB2312" w:cs="仿宋_GB2312"/>
                <w:kern w:val="0"/>
              </w:rPr>
              <w:t>　</w:t>
            </w:r>
          </w:p>
        </w:tc>
        <w:tc>
          <w:tcPr>
            <w:tcW w:w="1081" w:type="dxa"/>
            <w:gridSpan w:val="2"/>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3.1</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sz w:val="18"/>
                <w:szCs w:val="18"/>
              </w:rPr>
              <w:t>　</w:t>
            </w:r>
            <w:r>
              <w:rPr>
                <w:rFonts w:hint="eastAsia" w:ascii="宋体" w:hAnsi="宋体" w:eastAsia="宋体" w:cs="Times New Roman"/>
                <w:kern w:val="0"/>
                <w:sz w:val="18"/>
                <w:szCs w:val="18"/>
                <w:lang w:val="en-US" w:eastAsia="zh-CN"/>
              </w:rPr>
              <w:t>为节约行政经费支出，经与市行政审批局沟通，已将服务器转移至政务云上，节约了拨缴资金2万元。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确保我市建议提案办理满意率达到95%以上</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95%</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95%</w:t>
            </w: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95%</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每半年督办建议提案办理落实</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宣传费</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center"/>
              <w:rPr>
                <w:rFonts w:hint="eastAsia" w:ascii="仿宋_GB2312" w:hAnsi="宋体" w:eastAsia="仿宋_GB2312" w:cs="仿宋_GB2312"/>
                <w:kern w:val="0"/>
              </w:rPr>
            </w:pPr>
          </w:p>
        </w:tc>
        <w:tc>
          <w:tcPr>
            <w:tcW w:w="860" w:type="dxa"/>
            <w:gridSpan w:val="5"/>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印刷费</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left"/>
              <w:rPr>
                <w:rFonts w:hint="eastAsia" w:ascii="仿宋_GB2312" w:hAnsi="宋体" w:eastAsia="仿宋_GB2312" w:cs="仿宋_GB2312"/>
                <w:kern w:val="0"/>
              </w:rPr>
            </w:pPr>
          </w:p>
        </w:tc>
        <w:tc>
          <w:tcPr>
            <w:tcW w:w="1081" w:type="dxa"/>
            <w:gridSpan w:val="2"/>
            <w:vAlign w:val="center"/>
          </w:tcPr>
          <w:p>
            <w:pPr>
              <w:widowControl/>
              <w:jc w:val="left"/>
              <w:rPr>
                <w:rFonts w:hint="eastAsia" w:ascii="仿宋_GB2312" w:hAnsi="宋体" w:eastAsia="仿宋_GB2312" w:cs="仿宋_GB2312"/>
                <w:kern w:val="0"/>
              </w:rPr>
            </w:pPr>
          </w:p>
        </w:tc>
        <w:tc>
          <w:tcPr>
            <w:tcW w:w="957" w:type="dxa"/>
            <w:vAlign w:val="center"/>
          </w:tcPr>
          <w:p>
            <w:pPr>
              <w:widowControl/>
              <w:jc w:val="left"/>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center"/>
              <w:rPr>
                <w:rFonts w:hint="eastAsia" w:ascii="仿宋_GB2312" w:hAnsi="宋体" w:eastAsia="仿宋_GB2312" w:cs="仿宋_GB2312"/>
                <w:kern w:val="0"/>
              </w:rPr>
            </w:pPr>
          </w:p>
        </w:tc>
        <w:tc>
          <w:tcPr>
            <w:tcW w:w="860" w:type="dxa"/>
            <w:gridSpan w:val="5"/>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差旅费</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left"/>
              <w:rPr>
                <w:rFonts w:hint="eastAsia" w:ascii="仿宋_GB2312" w:hAnsi="宋体" w:eastAsia="仿宋_GB2312" w:cs="仿宋_GB2312"/>
                <w:kern w:val="0"/>
              </w:rPr>
            </w:pPr>
          </w:p>
        </w:tc>
        <w:tc>
          <w:tcPr>
            <w:tcW w:w="1081" w:type="dxa"/>
            <w:gridSpan w:val="2"/>
            <w:vAlign w:val="center"/>
          </w:tcPr>
          <w:p>
            <w:pPr>
              <w:widowControl/>
              <w:jc w:val="left"/>
              <w:rPr>
                <w:rFonts w:hint="eastAsia" w:ascii="仿宋_GB2312" w:hAnsi="宋体" w:eastAsia="仿宋_GB2312" w:cs="仿宋_GB2312"/>
                <w:kern w:val="0"/>
              </w:rPr>
            </w:pPr>
          </w:p>
        </w:tc>
        <w:tc>
          <w:tcPr>
            <w:tcW w:w="957" w:type="dxa"/>
            <w:vAlign w:val="center"/>
          </w:tcPr>
          <w:p>
            <w:pPr>
              <w:widowControl/>
              <w:jc w:val="left"/>
              <w:rPr>
                <w:rFonts w:hint="eastAsia"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会务培训费</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推动市委市政府重大决策落实，督查频次</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建议提案办理满意率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推动全市社会治理能力不断提升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推动全市社会治理能力不断提升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社会公众满意度</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市委、市政府主要领导批示事项督办落实率……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Layout w:type="fixed"/>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7"/>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blPrEx>
          <w:tblLayout w:type="fixed"/>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Layout w:type="fixed"/>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Pr>
        <w:tabs>
          <w:tab w:val="left" w:pos="643"/>
        </w:tabs>
        <w:bidi w:val="0"/>
        <w:jc w:val="left"/>
        <w:rPr>
          <w:rFonts w:ascii="等线" w:hAnsi="等线" w:eastAsia="等线" w:cs="等线"/>
          <w:kern w:val="2"/>
          <w:sz w:val="21"/>
          <w:szCs w:val="21"/>
          <w:lang w:val="en-US" w:eastAsia="zh-CN" w:bidi="ar-SA"/>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923"/>
        <w:gridCol w:w="170"/>
        <w:gridCol w:w="30"/>
        <w:gridCol w:w="315"/>
        <w:gridCol w:w="539"/>
        <w:gridCol w:w="252"/>
        <w:gridCol w:w="6"/>
        <w:gridCol w:w="258"/>
        <w:gridCol w:w="266"/>
        <w:gridCol w:w="271"/>
        <w:gridCol w:w="59"/>
        <w:gridCol w:w="1011"/>
        <w:gridCol w:w="82"/>
        <w:gridCol w:w="1094"/>
        <w:gridCol w:w="334"/>
        <w:gridCol w:w="747"/>
        <w:gridCol w:w="957"/>
      </w:tblGrid>
      <w:tr>
        <w:tblPrEx>
          <w:tblLayout w:type="fixed"/>
          <w:tblCellMar>
            <w:top w:w="0" w:type="dxa"/>
            <w:left w:w="108" w:type="dxa"/>
            <w:bottom w:w="0" w:type="dxa"/>
            <w:right w:w="108" w:type="dxa"/>
          </w:tblCellMar>
        </w:tblPrEx>
        <w:trPr>
          <w:trHeight w:val="508" w:hRule="atLeast"/>
        </w:trPr>
        <w:tc>
          <w:tcPr>
            <w:tcW w:w="2557" w:type="dxa"/>
            <w:gridSpan w:val="3"/>
            <w:tcBorders>
              <w:top w:val="nil"/>
              <w:left w:val="nil"/>
              <w:bottom w:val="nil"/>
              <w:right w:val="nil"/>
            </w:tcBorders>
            <w:shd w:val="clear" w:color="auto" w:fill="auto"/>
            <w:noWrap/>
            <w:vAlign w:val="center"/>
          </w:tcPr>
          <w:p>
            <w:pPr>
              <w:widowControl/>
              <w:spacing w:line="24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申报单位：</w:t>
            </w:r>
            <w:r>
              <w:rPr>
                <w:rFonts w:hint="eastAsia" w:ascii="宋体" w:hAnsi="宋体" w:eastAsia="宋体" w:cs="宋体"/>
                <w:color w:val="auto"/>
                <w:kern w:val="0"/>
                <w:sz w:val="21"/>
                <w:szCs w:val="21"/>
                <w:lang w:eastAsia="zh-CN"/>
              </w:rPr>
              <w:t>鄂州市督查考评办公室</w:t>
            </w:r>
          </w:p>
        </w:tc>
        <w:tc>
          <w:tcPr>
            <w:tcW w:w="515"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539"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6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5"/>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Layout w:type="fixed"/>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绩效目标管理和考核业务</w:t>
            </w:r>
          </w:p>
        </w:tc>
        <w:tc>
          <w:tcPr>
            <w:tcW w:w="1112"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常年性项目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持续性项目</w:t>
            </w:r>
          </w:p>
        </w:tc>
      </w:tr>
      <w:tr>
        <w:tblPrEx>
          <w:tblLayout w:type="fixed"/>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1、《市委办公室 市政府办公室关于印发&lt;鄂州市城乡融合高质量发展绩效考核评价办法（试行）&gt;的通知》（鄂州办发〔2019〕6号）；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2、《市委办公室印发&lt;关于围绕“四个全面”战略布局健全和完善市管领导班子和领导干部年度实绩考评体系的实施意见&gt;的通知》（鄂州办发〔2015〕30号）。</w:t>
            </w:r>
          </w:p>
        </w:tc>
      </w:tr>
      <w:tr>
        <w:tblPrEx>
          <w:tblLayout w:type="fixed"/>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根据每年省政绩目标项目清单、市委市政府工作重点，动态调整绩效考核指标体系，落实基层减负要求，全面规范考核、考评等事项，不断增强考核工作的科学性、针对性，突出重点、注重实效。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印制《2023年度市级绩效考核目标汇编》、2023年度工作目标、考核体系、考核方案。三季度年“省考指标”完成情况通报。月度监测情况通报。省目标考核组年终对我市考核；省考核专家授课；业务对口单位来我市交流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工作通报</w:t>
            </w:r>
          </w:p>
        </w:tc>
        <w:tc>
          <w:tcPr>
            <w:tcW w:w="1094" w:type="dxa"/>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8次</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三季度年“省考指标”完成情况通报、2023年度“省考指标”完成结果及反馈情况通报，其它工作需要的通报5次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考核频次</w:t>
            </w:r>
          </w:p>
        </w:tc>
        <w:tc>
          <w:tcPr>
            <w:tcW w:w="1094" w:type="dxa"/>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仿宋_GB2312"/>
                <w:kern w:val="0"/>
                <w:lang w:val="en-US" w:eastAsia="zh-CN"/>
              </w:rPr>
              <w:t>2次</w:t>
            </w:r>
          </w:p>
        </w:tc>
        <w:tc>
          <w:tcPr>
            <w:tcW w:w="2038" w:type="dxa"/>
            <w:gridSpan w:val="3"/>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1.省政绩考核组对我市2022年度工作考核；</w:t>
            </w:r>
          </w:p>
          <w:p>
            <w:pPr>
              <w:widowControl/>
              <w:jc w:val="center"/>
              <w:rPr>
                <w:rFonts w:ascii="仿宋_GB2312" w:hAnsi="宋体" w:eastAsia="仿宋_GB2312" w:cs="Times New Roman"/>
                <w:kern w:val="0"/>
              </w:rPr>
            </w:pPr>
            <w:r>
              <w:rPr>
                <w:rFonts w:hint="eastAsia" w:ascii="仿宋_GB2312" w:hAnsi="宋体" w:eastAsia="仿宋_GB2312" w:cs="仿宋_GB2312"/>
                <w:kern w:val="0"/>
              </w:rPr>
              <w:t>2.全市2023年度综合考核工作。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tcBorders/>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报纸、电视宣传、公示的相关费用</w:t>
            </w:r>
          </w:p>
        </w:tc>
        <w:tc>
          <w:tcPr>
            <w:tcW w:w="1094" w:type="dxa"/>
            <w:vAlign w:val="center"/>
          </w:tcPr>
          <w:p>
            <w:pPr>
              <w:widowControl/>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9万</w:t>
            </w:r>
          </w:p>
        </w:tc>
        <w:tc>
          <w:tcPr>
            <w:tcW w:w="2038" w:type="dxa"/>
            <w:gridSpan w:val="3"/>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考核结果公示9万（3版×3万）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抽检覆盖率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通过公开透明、动态管理，促进各单位对标对表，高质量完成目标任务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年度检查任务按时完成率</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通过公开透明、动态管理，促进各单位对标对表，高质量完成目标任务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推动市委市政府重大决策落实</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推动全市重大项目加快建设，推进经济社会健康有序发展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检查结果公开率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问题整改落实率</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bottom"/>
          </w:tcPr>
          <w:p>
            <w:pPr>
              <w:widowControl/>
              <w:jc w:val="center"/>
              <w:rPr>
                <w:rFonts w:ascii="仿宋_GB2312" w:hAnsi="Arial" w:eastAsia="仿宋_GB2312" w:cs="Times New Roman"/>
                <w:kern w:val="0"/>
              </w:rPr>
            </w:pPr>
            <w:r>
              <w:rPr>
                <w:rFonts w:hint="eastAsia" w:ascii="仿宋_GB2312" w:hAnsi="Arial"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5"/>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工作通报</w:t>
            </w:r>
          </w:p>
        </w:tc>
        <w:tc>
          <w:tcPr>
            <w:tcW w:w="1093"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8</w:t>
            </w:r>
          </w:p>
        </w:tc>
        <w:tc>
          <w:tcPr>
            <w:tcW w:w="1094" w:type="dxa"/>
            <w:vAlign w:val="center"/>
          </w:tcPr>
          <w:p>
            <w:pPr>
              <w:widowControl/>
              <w:jc w:val="center"/>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8</w:t>
            </w:r>
          </w:p>
        </w:tc>
        <w:tc>
          <w:tcPr>
            <w:tcW w:w="1081"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8</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三季度年“省考指标”完成情况通报、2023年度“省考指标”完成结果及反馈情况通报，其它工作需要的通报5次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考核频次</w:t>
            </w:r>
          </w:p>
        </w:tc>
        <w:tc>
          <w:tcPr>
            <w:tcW w:w="1093"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2</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val="en-US" w:eastAsia="zh-CN"/>
              </w:rPr>
              <w:t>2</w:t>
            </w: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2</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hint="eastAsia" w:ascii="仿宋_GB2312" w:hAnsi="宋体" w:eastAsia="仿宋_GB2312" w:cs="仿宋_GB2312"/>
                <w:kern w:val="0"/>
              </w:rPr>
            </w:pPr>
            <w:r>
              <w:rPr>
                <w:rFonts w:hint="eastAsia" w:ascii="仿宋_GB2312" w:hAnsi="宋体" w:eastAsia="仿宋_GB2312" w:cs="仿宋_GB2312"/>
                <w:kern w:val="0"/>
              </w:rPr>
              <w:t>报纸、电视宣传、公示的相关费用</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lang w:val="en-US" w:eastAsia="zh-CN"/>
              </w:rPr>
            </w:pPr>
          </w:p>
        </w:tc>
        <w:tc>
          <w:tcPr>
            <w:tcW w:w="1081" w:type="dxa"/>
            <w:gridSpan w:val="2"/>
            <w:vAlign w:val="center"/>
          </w:tcPr>
          <w:p>
            <w:pPr>
              <w:widowControl/>
              <w:jc w:val="left"/>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9</w:t>
            </w:r>
          </w:p>
        </w:tc>
        <w:tc>
          <w:tcPr>
            <w:tcW w:w="957" w:type="dxa"/>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考核结果公示9万（3版×3万）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抽检覆盖率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100%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年度检查任务按时完成率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检查结果公开率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100%</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100%</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问题整改落实率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　100%</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　100%</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rPr>
              <w:t>　100%</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bookmarkStart w:id="0" w:name="_GoBack"/>
            <w:bookmarkEnd w:id="0"/>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Layout w:type="fixed"/>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7"/>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blPrEx>
          <w:tblLayout w:type="fixed"/>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Layout w:type="fixed"/>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Pr>
        <w:tabs>
          <w:tab w:val="left" w:pos="643"/>
        </w:tabs>
        <w:bidi w:val="0"/>
        <w:jc w:val="left"/>
        <w:rPr>
          <w:rFonts w:ascii="等线" w:hAnsi="等线" w:eastAsia="等线" w:cs="等线"/>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MTU4MWZhZTVlNzFkZTBlZjFkMGVhYjM4MjMzYWQifQ=="/>
  </w:docVars>
  <w:rsids>
    <w:rsidRoot w:val="62E502C3"/>
    <w:rsid w:val="1AB03212"/>
    <w:rsid w:val="52D30AC0"/>
    <w:rsid w:val="62E502C3"/>
    <w:rsid w:val="65D8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dcterms:modified xsi:type="dcterms:W3CDTF">2023-11-07T03:12:14Z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58246E038A894A6580A1DBF854195D43_11</vt:lpwstr>
  </property>
</Properties>
</file>