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鄂州市地方金融工作局2022年度部门决算</w:t>
      </w:r>
    </w:p>
    <w:p>
      <w:pPr>
        <w:shd w:val="clear" w:color="auto" w:fill="FFFFFF"/>
        <w:spacing w:before="240" w:after="240" w:line="360" w:lineRule="auto"/>
        <w:ind w:firstLine="6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    录</w:t>
      </w:r>
    </w:p>
    <w:p>
      <w:pPr>
        <w:shd w:val="clear" w:color="auto" w:fill="FFFFFF"/>
        <w:spacing w:before="240" w:after="240" w:line="360" w:lineRule="auto"/>
        <w:ind w:firstLine="640"/>
        <w:rPr>
          <w:rFonts w:hint="eastAsia" w:ascii="黑体" w:hAnsi="黑体" w:eastAsia="黑体" w:cs="黑体"/>
        </w:rPr>
      </w:pPr>
      <w:r>
        <w:rPr>
          <w:rFonts w:hint="eastAsia" w:ascii="黑体" w:hAnsi="黑体" w:eastAsia="黑体" w:cs="黑体"/>
          <w:szCs w:val="32"/>
        </w:rPr>
        <w:t>第一部分  鄂州市地方金融工作局概况</w:t>
      </w:r>
    </w:p>
    <w:p>
      <w:pPr>
        <w:tabs>
          <w:tab w:val="right" w:leader="middleDot" w:pos="8400"/>
        </w:tabs>
        <w:adjustRightInd w:val="0"/>
        <w:snapToGrid w:val="0"/>
        <w:spacing w:line="360" w:lineRule="auto"/>
        <w:ind w:right="-781" w:rightChars="-244" w:firstLine="640" w:firstLineChars="200"/>
        <w:rPr>
          <w:rFonts w:ascii="仿宋_GB2312" w:hAnsi="宋体"/>
          <w:bCs/>
          <w:szCs w:val="32"/>
        </w:rPr>
      </w:pPr>
      <w:r>
        <w:rPr>
          <w:rFonts w:hint="eastAsia" w:ascii="仿宋_GB2312" w:hAnsi="宋体"/>
          <w:bCs/>
          <w:szCs w:val="32"/>
        </w:rPr>
        <w:t>一、部门主要职责</w:t>
      </w:r>
      <w:r>
        <w:rPr>
          <w:rFonts w:hint="eastAsia" w:ascii="仿宋_GB2312" w:hAnsi="宋体"/>
          <w:bCs/>
          <w:szCs w:val="32"/>
        </w:rPr>
        <w:tab/>
      </w:r>
      <w:r>
        <w:rPr>
          <w:rFonts w:hint="eastAsia" w:ascii="仿宋_GB2312" w:hAnsi="宋体"/>
          <w:bCs/>
          <w:szCs w:val="32"/>
        </w:rPr>
        <w:t>1</w:t>
      </w:r>
    </w:p>
    <w:p>
      <w:pPr>
        <w:tabs>
          <w:tab w:val="right" w:leader="middleDot" w:pos="8400"/>
        </w:tabs>
        <w:adjustRightInd w:val="0"/>
        <w:snapToGrid w:val="0"/>
        <w:spacing w:line="360" w:lineRule="auto"/>
        <w:ind w:right="-781" w:rightChars="-244" w:firstLine="640" w:firstLineChars="200"/>
        <w:rPr>
          <w:rFonts w:hint="eastAsia" w:ascii="仿宋_GB2312" w:hAnsi="宋体" w:eastAsia="仿宋_GB2312"/>
          <w:bCs/>
          <w:szCs w:val="32"/>
          <w:lang w:val="en-US" w:eastAsia="zh-CN"/>
        </w:rPr>
      </w:pPr>
      <w:r>
        <w:rPr>
          <w:rFonts w:hint="eastAsia" w:ascii="仿宋_GB2312" w:hAnsi="宋体"/>
          <w:bCs/>
          <w:szCs w:val="32"/>
        </w:rPr>
        <w:t>二、机构设置情况</w:t>
      </w:r>
      <w:r>
        <w:rPr>
          <w:rFonts w:hint="eastAsia" w:ascii="仿宋_GB2312" w:hAnsi="宋体"/>
          <w:bCs/>
          <w:szCs w:val="32"/>
        </w:rPr>
        <w:tab/>
      </w:r>
      <w:r>
        <w:rPr>
          <w:rFonts w:hint="eastAsia" w:ascii="仿宋_GB2312" w:hAnsi="宋体"/>
          <w:bCs/>
          <w:szCs w:val="32"/>
          <w:lang w:val="en-US" w:eastAsia="zh-CN"/>
        </w:rPr>
        <w:t>2</w:t>
      </w:r>
    </w:p>
    <w:p>
      <w:pPr>
        <w:shd w:val="clear" w:color="auto" w:fill="FFFFFF"/>
        <w:spacing w:before="240" w:after="240" w:line="360" w:lineRule="auto"/>
        <w:ind w:firstLine="640"/>
      </w:pPr>
      <w:r>
        <w:rPr>
          <w:rFonts w:ascii="黑体" w:hAnsi="黑体" w:eastAsia="黑体" w:cs="黑体"/>
          <w:szCs w:val="32"/>
        </w:rPr>
        <w:t>第二部分 </w:t>
      </w:r>
      <w:r>
        <w:rPr>
          <w:rFonts w:hint="eastAsia" w:ascii="黑体" w:hAnsi="黑体" w:eastAsia="黑体" w:cs="黑体"/>
          <w:szCs w:val="32"/>
        </w:rPr>
        <w:t>鄂州市地方金融工作局</w:t>
      </w:r>
      <w:r>
        <w:rPr>
          <w:rFonts w:ascii="黑体" w:hAnsi="黑体" w:eastAsia="黑体" w:cs="黑体"/>
          <w:szCs w:val="32"/>
        </w:rPr>
        <w:t>20</w:t>
      </w:r>
      <w:r>
        <w:rPr>
          <w:rFonts w:hint="eastAsia" w:ascii="黑体" w:hAnsi="黑体" w:eastAsia="黑体" w:cs="黑体"/>
          <w:szCs w:val="32"/>
        </w:rPr>
        <w:t>22</w:t>
      </w:r>
      <w:r>
        <w:rPr>
          <w:rFonts w:ascii="黑体" w:hAnsi="黑体" w:eastAsia="黑体" w:cs="黑体"/>
          <w:szCs w:val="32"/>
        </w:rPr>
        <w:t>年度部门决算表</w:t>
      </w:r>
    </w:p>
    <w:p>
      <w:pPr>
        <w:tabs>
          <w:tab w:val="right" w:leader="middleDot" w:pos="8400"/>
        </w:tabs>
        <w:spacing w:line="360" w:lineRule="auto"/>
        <w:ind w:firstLine="640" w:firstLineChars="200"/>
        <w:rPr>
          <w:rFonts w:hint="eastAsia" w:eastAsia="仿宋_GB2312"/>
          <w:lang w:val="en-US" w:eastAsia="zh-CN"/>
        </w:rPr>
      </w:pPr>
      <w:r>
        <w:rPr>
          <w:rFonts w:hint="eastAsia"/>
        </w:rPr>
        <w:t>一、收入支出决算总表</w:t>
      </w:r>
      <w:r>
        <w:rPr>
          <w:rFonts w:hint="eastAsia"/>
        </w:rPr>
        <w:tab/>
      </w:r>
      <w:r>
        <w:rPr>
          <w:rFonts w:hint="eastAsia"/>
          <w:lang w:val="en-US" w:eastAsia="zh-CN"/>
        </w:rPr>
        <w:t>3</w:t>
      </w:r>
    </w:p>
    <w:p>
      <w:pPr>
        <w:tabs>
          <w:tab w:val="right" w:leader="middleDot" w:pos="8400"/>
        </w:tabs>
        <w:spacing w:line="360" w:lineRule="auto"/>
        <w:ind w:firstLine="640" w:firstLineChars="200"/>
        <w:rPr>
          <w:rFonts w:hint="eastAsia" w:eastAsia="仿宋_GB2312"/>
          <w:lang w:val="en-US" w:eastAsia="zh-CN"/>
        </w:rPr>
      </w:pPr>
      <w:r>
        <w:rPr>
          <w:rFonts w:hint="eastAsia"/>
        </w:rPr>
        <w:t>二、收入决算表</w:t>
      </w:r>
      <w:r>
        <w:rPr>
          <w:rFonts w:hint="eastAsia"/>
        </w:rPr>
        <w:tab/>
      </w:r>
      <w:r>
        <w:rPr>
          <w:rFonts w:hint="eastAsia"/>
          <w:lang w:val="en-US" w:eastAsia="zh-CN"/>
        </w:rPr>
        <w:t>4</w:t>
      </w:r>
    </w:p>
    <w:p>
      <w:pPr>
        <w:tabs>
          <w:tab w:val="right" w:leader="middleDot" w:pos="8400"/>
        </w:tabs>
        <w:spacing w:line="360" w:lineRule="auto"/>
        <w:ind w:firstLine="640" w:firstLineChars="200"/>
        <w:rPr>
          <w:rFonts w:hint="eastAsia" w:eastAsia="仿宋_GB2312"/>
          <w:lang w:val="en-US" w:eastAsia="zh-CN"/>
        </w:rPr>
      </w:pPr>
      <w:r>
        <w:rPr>
          <w:rFonts w:hint="eastAsia"/>
        </w:rPr>
        <w:t>三、支出决算表</w:t>
      </w:r>
      <w:r>
        <w:rPr>
          <w:rFonts w:hint="eastAsia"/>
        </w:rPr>
        <w:tab/>
      </w:r>
      <w:r>
        <w:rPr>
          <w:rFonts w:hint="eastAsia"/>
          <w:lang w:val="en-US" w:eastAsia="zh-CN"/>
        </w:rPr>
        <w:t>5</w:t>
      </w:r>
    </w:p>
    <w:p>
      <w:pPr>
        <w:tabs>
          <w:tab w:val="right" w:leader="middleDot" w:pos="8400"/>
        </w:tabs>
        <w:spacing w:line="360" w:lineRule="auto"/>
        <w:ind w:firstLine="640" w:firstLineChars="200"/>
        <w:rPr>
          <w:rFonts w:hint="eastAsia" w:eastAsia="仿宋_GB2312"/>
          <w:lang w:val="en-US" w:eastAsia="zh-CN"/>
        </w:rPr>
      </w:pPr>
      <w:r>
        <w:rPr>
          <w:rFonts w:hint="eastAsia"/>
        </w:rPr>
        <w:t>四、财政拨款收入支出决算总表</w:t>
      </w:r>
      <w:r>
        <w:rPr>
          <w:rFonts w:hint="eastAsia"/>
        </w:rPr>
        <w:tab/>
      </w:r>
      <w:r>
        <w:rPr>
          <w:rFonts w:hint="eastAsia"/>
          <w:lang w:val="en-US" w:eastAsia="zh-CN"/>
        </w:rPr>
        <w:t>6</w:t>
      </w:r>
    </w:p>
    <w:p>
      <w:pPr>
        <w:tabs>
          <w:tab w:val="right" w:leader="middleDot" w:pos="8400"/>
        </w:tabs>
        <w:spacing w:line="360" w:lineRule="auto"/>
        <w:ind w:firstLine="640" w:firstLineChars="200"/>
        <w:rPr>
          <w:rFonts w:hint="eastAsia" w:eastAsia="仿宋_GB2312"/>
          <w:lang w:val="en-US" w:eastAsia="zh-CN"/>
        </w:rPr>
      </w:pPr>
      <w:r>
        <w:rPr>
          <w:rFonts w:hint="eastAsia"/>
        </w:rPr>
        <w:t>五、一般公共预算财政拨款支出决算表</w:t>
      </w:r>
      <w:r>
        <w:rPr>
          <w:rFonts w:hint="eastAsia"/>
        </w:rPr>
        <w:tab/>
      </w:r>
      <w:r>
        <w:rPr>
          <w:rFonts w:hint="eastAsia"/>
          <w:lang w:val="en-US" w:eastAsia="zh-CN"/>
        </w:rPr>
        <w:t>7</w:t>
      </w:r>
    </w:p>
    <w:p>
      <w:pPr>
        <w:tabs>
          <w:tab w:val="right" w:leader="middleDot" w:pos="8400"/>
        </w:tabs>
        <w:spacing w:line="360" w:lineRule="auto"/>
        <w:ind w:firstLine="640" w:firstLineChars="200"/>
        <w:rPr>
          <w:rFonts w:hint="eastAsia" w:eastAsia="仿宋_GB2312"/>
          <w:lang w:val="en-US" w:eastAsia="zh-CN"/>
        </w:rPr>
      </w:pPr>
      <w:r>
        <w:rPr>
          <w:rFonts w:hint="eastAsia"/>
        </w:rPr>
        <w:t>六、一般公共预算财政拨款基本支出决算明细表</w:t>
      </w:r>
      <w:r>
        <w:rPr>
          <w:rFonts w:hint="eastAsia"/>
        </w:rPr>
        <w:tab/>
      </w:r>
      <w:r>
        <w:rPr>
          <w:rFonts w:hint="eastAsia"/>
          <w:lang w:val="en-US" w:eastAsia="zh-CN"/>
        </w:rPr>
        <w:t>8</w:t>
      </w:r>
    </w:p>
    <w:p>
      <w:pPr>
        <w:tabs>
          <w:tab w:val="right" w:leader="middleDot" w:pos="8400"/>
        </w:tabs>
        <w:spacing w:line="360" w:lineRule="auto"/>
        <w:ind w:firstLine="640" w:firstLineChars="200"/>
        <w:rPr>
          <w:rFonts w:hint="eastAsia" w:eastAsia="仿宋_GB2312"/>
          <w:lang w:val="en-US" w:eastAsia="zh-CN"/>
        </w:rPr>
      </w:pPr>
      <w:r>
        <w:rPr>
          <w:rFonts w:hint="eastAsia"/>
        </w:rPr>
        <w:t>七、政府性基金预算财政拨款收入支出决算表</w:t>
      </w:r>
      <w:r>
        <w:rPr>
          <w:rFonts w:hint="eastAsia"/>
        </w:rPr>
        <w:tab/>
      </w:r>
      <w:r>
        <w:rPr>
          <w:rFonts w:hint="eastAsia"/>
          <w:lang w:val="en-US" w:eastAsia="zh-CN"/>
        </w:rPr>
        <w:t>9</w:t>
      </w:r>
    </w:p>
    <w:p>
      <w:pPr>
        <w:tabs>
          <w:tab w:val="right" w:leader="middleDot" w:pos="8400"/>
        </w:tabs>
        <w:spacing w:line="360" w:lineRule="auto"/>
        <w:ind w:firstLine="640" w:firstLineChars="200"/>
        <w:rPr>
          <w:rFonts w:hint="default" w:eastAsia="仿宋_GB2312"/>
          <w:lang w:val="en-US" w:eastAsia="zh-CN"/>
        </w:rPr>
      </w:pPr>
      <w:r>
        <w:rPr>
          <w:rFonts w:hint="eastAsia"/>
        </w:rPr>
        <w:t>八、国有资本经营预算财政拨款支出决算表</w:t>
      </w:r>
      <w:r>
        <w:rPr>
          <w:rFonts w:hint="eastAsia"/>
        </w:rPr>
        <w:tab/>
      </w:r>
      <w:r>
        <w:rPr>
          <w:rFonts w:hint="eastAsia"/>
          <w:lang w:val="en-US" w:eastAsia="zh-CN"/>
        </w:rPr>
        <w:t>9</w:t>
      </w:r>
    </w:p>
    <w:p>
      <w:pPr>
        <w:tabs>
          <w:tab w:val="right" w:leader="middleDot" w:pos="8400"/>
        </w:tabs>
        <w:spacing w:line="360" w:lineRule="auto"/>
        <w:ind w:firstLine="640" w:firstLineChars="200"/>
        <w:rPr>
          <w:rFonts w:hint="eastAsia" w:ascii="黑体" w:hAnsi="黑体" w:eastAsia="仿宋_GB2312" w:cs="黑体"/>
          <w:szCs w:val="32"/>
          <w:lang w:val="en-US" w:eastAsia="zh-CN"/>
        </w:rPr>
      </w:pPr>
      <w:r>
        <w:rPr>
          <w:rFonts w:hint="eastAsia"/>
        </w:rPr>
        <w:t>九、财政拨款“三公”经费支出决算表</w:t>
      </w:r>
      <w:r>
        <w:rPr>
          <w:rFonts w:hint="eastAsia"/>
        </w:rPr>
        <w:tab/>
      </w:r>
      <w:r>
        <w:rPr>
          <w:rFonts w:hint="eastAsia"/>
          <w:lang w:val="en-US" w:eastAsia="zh-CN"/>
        </w:rPr>
        <w:t>9</w:t>
      </w:r>
    </w:p>
    <w:p>
      <w:pPr>
        <w:shd w:val="clear" w:color="auto" w:fill="FFFFFF"/>
        <w:spacing w:before="240" w:after="240" w:line="360" w:lineRule="auto"/>
        <w:ind w:firstLine="640"/>
        <w:rPr>
          <w:rFonts w:hint="eastAsia" w:ascii="黑体" w:hAnsi="黑体" w:eastAsia="黑体" w:cs="黑体"/>
          <w:szCs w:val="32"/>
        </w:rPr>
        <w:sectPr>
          <w:headerReference r:id="rId3" w:type="default"/>
          <w:footerReference r:id="rId4" w:type="default"/>
          <w:pgSz w:w="11906" w:h="16838"/>
          <w:pgMar w:top="2098" w:right="1474" w:bottom="1984" w:left="1587" w:header="851" w:footer="992" w:gutter="0"/>
          <w:pgNumType w:start="1"/>
          <w:cols w:space="720" w:num="1"/>
          <w:docGrid w:type="lines" w:linePitch="312" w:charSpace="0"/>
        </w:sectPr>
      </w:pPr>
    </w:p>
    <w:p>
      <w:pPr>
        <w:shd w:val="clear" w:color="auto" w:fill="FFFFFF"/>
        <w:spacing w:before="240" w:after="240" w:line="360" w:lineRule="auto"/>
        <w:ind w:firstLine="640"/>
      </w:pPr>
      <w:r>
        <w:rPr>
          <w:rFonts w:ascii="黑体" w:hAnsi="黑体" w:eastAsia="黑体" w:cs="黑体"/>
          <w:szCs w:val="32"/>
        </w:rPr>
        <w:t>第三部分 </w:t>
      </w:r>
      <w:r>
        <w:rPr>
          <w:rFonts w:hint="eastAsia" w:ascii="黑体" w:hAnsi="黑体" w:eastAsia="黑体" w:cs="黑体"/>
          <w:szCs w:val="32"/>
        </w:rPr>
        <w:t>鄂州市地方金融工作局</w:t>
      </w:r>
      <w:r>
        <w:rPr>
          <w:rFonts w:ascii="黑体" w:hAnsi="黑体" w:eastAsia="黑体" w:cs="黑体"/>
          <w:szCs w:val="32"/>
        </w:rPr>
        <w:t>20</w:t>
      </w:r>
      <w:r>
        <w:rPr>
          <w:rFonts w:hint="eastAsia" w:ascii="黑体" w:hAnsi="黑体" w:eastAsia="黑体" w:cs="黑体"/>
          <w:szCs w:val="32"/>
        </w:rPr>
        <w:t>22</w:t>
      </w:r>
      <w:r>
        <w:rPr>
          <w:rFonts w:ascii="黑体" w:hAnsi="黑体" w:eastAsia="黑体" w:cs="黑体"/>
          <w:szCs w:val="32"/>
        </w:rPr>
        <w:t>年度部门决算情况说明</w:t>
      </w:r>
    </w:p>
    <w:p>
      <w:pPr>
        <w:tabs>
          <w:tab w:val="right" w:leader="middleDot" w:pos="8400"/>
        </w:tabs>
        <w:spacing w:line="360" w:lineRule="auto"/>
        <w:ind w:firstLine="640" w:firstLineChars="200"/>
        <w:rPr>
          <w:rFonts w:hint="default" w:eastAsia="仿宋_GB2312"/>
          <w:lang w:val="en-US" w:eastAsia="zh-CN"/>
        </w:rPr>
      </w:pPr>
      <w:r>
        <w:rPr>
          <w:rFonts w:hint="eastAsia"/>
        </w:rPr>
        <w:t>一、收入支出决算总体情况说明</w:t>
      </w:r>
      <w:r>
        <w:rPr>
          <w:rFonts w:hint="eastAsia"/>
        </w:rPr>
        <w:tab/>
      </w:r>
      <w:r>
        <w:rPr>
          <w:rFonts w:hint="eastAsia"/>
          <w:lang w:val="en-US" w:eastAsia="zh-CN"/>
        </w:rPr>
        <w:t>10</w:t>
      </w:r>
    </w:p>
    <w:p>
      <w:pPr>
        <w:tabs>
          <w:tab w:val="right" w:leader="middleDot" w:pos="8400"/>
        </w:tabs>
        <w:spacing w:line="360" w:lineRule="auto"/>
        <w:ind w:firstLine="640" w:firstLineChars="200"/>
        <w:rPr>
          <w:rFonts w:hint="default" w:eastAsia="仿宋_GB2312"/>
          <w:lang w:val="en-US" w:eastAsia="zh-CN"/>
        </w:rPr>
      </w:pPr>
      <w:r>
        <w:rPr>
          <w:rFonts w:hint="eastAsia"/>
        </w:rPr>
        <w:t>二、收入决算情况说明</w:t>
      </w:r>
      <w:r>
        <w:rPr>
          <w:rFonts w:hint="eastAsia"/>
        </w:rPr>
        <w:tab/>
      </w:r>
      <w:r>
        <w:rPr>
          <w:rFonts w:hint="eastAsia"/>
          <w:lang w:val="en-US" w:eastAsia="zh-CN"/>
        </w:rPr>
        <w:t>10</w:t>
      </w:r>
    </w:p>
    <w:p>
      <w:pPr>
        <w:tabs>
          <w:tab w:val="right" w:leader="middleDot" w:pos="8400"/>
        </w:tabs>
        <w:spacing w:line="360" w:lineRule="auto"/>
        <w:ind w:firstLine="640" w:firstLineChars="200"/>
        <w:rPr>
          <w:rFonts w:hint="default" w:eastAsia="仿宋_GB2312"/>
          <w:lang w:val="en-US" w:eastAsia="zh-CN"/>
        </w:rPr>
      </w:pPr>
      <w:r>
        <w:rPr>
          <w:rFonts w:hint="eastAsia"/>
        </w:rPr>
        <w:t>三、支出决算情况说明</w:t>
      </w:r>
      <w:r>
        <w:rPr>
          <w:rFonts w:hint="eastAsia"/>
        </w:rPr>
        <w:tab/>
      </w:r>
      <w:r>
        <w:rPr>
          <w:rFonts w:hint="eastAsia"/>
          <w:lang w:val="en-US" w:eastAsia="zh-CN"/>
        </w:rPr>
        <w:t>11</w:t>
      </w:r>
    </w:p>
    <w:p>
      <w:pPr>
        <w:tabs>
          <w:tab w:val="right" w:leader="middleDot" w:pos="8400"/>
        </w:tabs>
        <w:spacing w:line="360" w:lineRule="auto"/>
        <w:ind w:firstLine="640" w:firstLineChars="200"/>
        <w:rPr>
          <w:rFonts w:hint="default" w:eastAsia="仿宋_GB2312"/>
          <w:lang w:val="en-US" w:eastAsia="zh-CN"/>
        </w:rPr>
      </w:pPr>
      <w:r>
        <w:rPr>
          <w:rFonts w:hint="eastAsia"/>
        </w:rPr>
        <w:t>四、财政拨款收入支出决算总体情况说明</w:t>
      </w:r>
      <w:r>
        <w:rPr>
          <w:rFonts w:hint="eastAsia"/>
        </w:rPr>
        <w:tab/>
      </w:r>
      <w:r>
        <w:rPr>
          <w:rFonts w:hint="eastAsia"/>
          <w:lang w:val="en-US" w:eastAsia="zh-CN"/>
        </w:rPr>
        <w:t>12</w:t>
      </w:r>
    </w:p>
    <w:p>
      <w:pPr>
        <w:tabs>
          <w:tab w:val="right" w:leader="middleDot" w:pos="8400"/>
        </w:tabs>
        <w:spacing w:line="360" w:lineRule="auto"/>
        <w:ind w:firstLine="640" w:firstLineChars="200"/>
        <w:rPr>
          <w:rFonts w:hint="default" w:eastAsia="仿宋_GB2312"/>
          <w:lang w:val="en-US" w:eastAsia="zh-CN"/>
        </w:rPr>
      </w:pPr>
      <w:r>
        <w:rPr>
          <w:rFonts w:hint="eastAsia"/>
        </w:rPr>
        <w:t>五、一般公共预算财政拨款支出决算情况说明</w:t>
      </w:r>
      <w:r>
        <w:rPr>
          <w:rFonts w:hint="eastAsia"/>
        </w:rPr>
        <w:tab/>
      </w:r>
      <w:r>
        <w:rPr>
          <w:rFonts w:hint="eastAsia"/>
          <w:lang w:val="en-US" w:eastAsia="zh-CN"/>
        </w:rPr>
        <w:t>12</w:t>
      </w:r>
    </w:p>
    <w:p>
      <w:pPr>
        <w:tabs>
          <w:tab w:val="right" w:leader="middleDot" w:pos="8400"/>
        </w:tabs>
        <w:spacing w:line="360" w:lineRule="auto"/>
        <w:ind w:firstLine="640" w:firstLineChars="200"/>
      </w:pPr>
      <w:r>
        <w:rPr>
          <w:rFonts w:hint="eastAsia"/>
        </w:rPr>
        <w:t>六、一般公共预算财政拨款基本支出决算情况说明</w:t>
      </w:r>
      <w:r>
        <w:rPr>
          <w:rFonts w:hint="eastAsia"/>
        </w:rPr>
        <w:tab/>
      </w:r>
      <w:r>
        <w:rPr>
          <w:rFonts w:hint="eastAsia"/>
        </w:rPr>
        <w:t>1</w:t>
      </w:r>
      <w:r>
        <w:rPr>
          <w:rFonts w:hint="eastAsia"/>
          <w:lang w:val="en-US" w:eastAsia="zh-CN"/>
        </w:rPr>
        <w:t>4</w:t>
      </w:r>
    </w:p>
    <w:p>
      <w:pPr>
        <w:tabs>
          <w:tab w:val="right" w:leader="middleDot" w:pos="8400"/>
        </w:tabs>
        <w:spacing w:line="360" w:lineRule="auto"/>
        <w:ind w:firstLine="640" w:firstLineChars="200"/>
        <w:rPr>
          <w:rFonts w:ascii="仿宋_GB2312" w:hAnsi="仿宋_GB2312" w:cs="仿宋_GB2312"/>
          <w:szCs w:val="32"/>
        </w:rPr>
      </w:pPr>
      <w:r>
        <w:rPr>
          <w:rFonts w:hint="eastAsia"/>
        </w:rPr>
        <w:t>七、政府性基金预算财政拨款收入支出决算情况说明</w:t>
      </w:r>
      <w:r>
        <w:rPr>
          <w:rFonts w:hint="eastAsia"/>
        </w:rPr>
        <w:tab/>
      </w:r>
      <w:r>
        <w:rPr>
          <w:rFonts w:hint="eastAsia"/>
        </w:rPr>
        <w:t>1</w:t>
      </w:r>
      <w:r>
        <w:rPr>
          <w:rFonts w:hint="eastAsia"/>
          <w:lang w:val="en-US" w:eastAsia="zh-CN"/>
        </w:rPr>
        <w:t>5</w:t>
      </w:r>
      <w:r>
        <w:rPr>
          <w:rFonts w:hint="eastAsia"/>
        </w:rPr>
        <w:t xml:space="preserve"> </w:t>
      </w:r>
    </w:p>
    <w:p>
      <w:pPr>
        <w:tabs>
          <w:tab w:val="right" w:leader="middleDot" w:pos="8400"/>
        </w:tabs>
        <w:spacing w:line="360" w:lineRule="auto"/>
        <w:ind w:left="640" w:leftChars="200"/>
        <w:rPr>
          <w:rFonts w:hint="eastAsia" w:eastAsia="仿宋_GB2312"/>
          <w:lang w:eastAsia="zh-CN"/>
        </w:rPr>
      </w:pPr>
      <w:r>
        <w:rPr>
          <w:rFonts w:hint="eastAsia"/>
        </w:rPr>
        <w:t>八、国有资本经营预算财政拨款支出决算情况说明</w:t>
      </w:r>
      <w:r>
        <w:rPr>
          <w:rFonts w:hint="eastAsia"/>
        </w:rPr>
        <w:tab/>
      </w:r>
      <w:r>
        <w:rPr>
          <w:rFonts w:hint="eastAsia"/>
        </w:rPr>
        <w:t>1</w:t>
      </w:r>
      <w:r>
        <w:rPr>
          <w:rFonts w:hint="eastAsia"/>
          <w:lang w:val="en-US" w:eastAsia="zh-CN"/>
        </w:rPr>
        <w:t>5</w:t>
      </w:r>
    </w:p>
    <w:p>
      <w:pPr>
        <w:tabs>
          <w:tab w:val="right" w:leader="middleDot" w:pos="8400"/>
        </w:tabs>
        <w:spacing w:line="360" w:lineRule="auto"/>
        <w:ind w:firstLine="640" w:firstLineChars="200"/>
      </w:pPr>
      <w:r>
        <w:rPr>
          <w:rFonts w:hint="eastAsia"/>
        </w:rPr>
        <w:t>九、财政拨款“三公”经费支出决算情况说明</w:t>
      </w:r>
      <w:r>
        <w:rPr>
          <w:rFonts w:hint="eastAsia"/>
        </w:rPr>
        <w:tab/>
      </w:r>
      <w:r>
        <w:rPr>
          <w:rFonts w:hint="eastAsia"/>
        </w:rPr>
        <w:t>1</w:t>
      </w:r>
      <w:r>
        <w:rPr>
          <w:rFonts w:hint="eastAsia"/>
          <w:lang w:val="en-US" w:eastAsia="zh-CN"/>
        </w:rPr>
        <w:t>5</w:t>
      </w:r>
      <w:r>
        <w:rPr>
          <w:rFonts w:hint="eastAsia"/>
        </w:rPr>
        <w:t xml:space="preserve"> </w:t>
      </w:r>
    </w:p>
    <w:p>
      <w:pPr>
        <w:tabs>
          <w:tab w:val="right" w:leader="middleDot" w:pos="8400"/>
        </w:tabs>
        <w:spacing w:line="360" w:lineRule="auto"/>
        <w:ind w:left="640" w:leftChars="200"/>
        <w:rPr>
          <w:rFonts w:hint="eastAsia" w:eastAsia="仿宋_GB2312"/>
          <w:lang w:eastAsia="zh-CN"/>
        </w:rPr>
      </w:pPr>
      <w:r>
        <w:rPr>
          <w:rFonts w:hint="eastAsia"/>
        </w:rPr>
        <w:t>十、机关运行经费支出说明</w:t>
      </w:r>
      <w:r>
        <w:rPr>
          <w:rFonts w:hint="eastAsia"/>
        </w:rPr>
        <w:tab/>
      </w:r>
      <w:r>
        <w:rPr>
          <w:rFonts w:hint="eastAsia"/>
        </w:rPr>
        <w:t>1</w:t>
      </w:r>
      <w:r>
        <w:rPr>
          <w:rFonts w:hint="eastAsia"/>
          <w:lang w:val="en-US" w:eastAsia="zh-CN"/>
        </w:rPr>
        <w:t>7</w:t>
      </w:r>
    </w:p>
    <w:p>
      <w:pPr>
        <w:tabs>
          <w:tab w:val="right" w:leader="middleDot" w:pos="8400"/>
        </w:tabs>
        <w:spacing w:line="360" w:lineRule="auto"/>
        <w:ind w:left="640" w:leftChars="200"/>
        <w:rPr>
          <w:rFonts w:hint="eastAsia" w:eastAsia="仿宋_GB2312"/>
          <w:lang w:eastAsia="zh-CN"/>
        </w:rPr>
      </w:pPr>
      <w:r>
        <w:rPr>
          <w:rFonts w:hint="eastAsia"/>
        </w:rPr>
        <w:t>十一、政府采购支出说明</w:t>
      </w:r>
      <w:r>
        <w:rPr>
          <w:rFonts w:hint="eastAsia"/>
        </w:rPr>
        <w:tab/>
      </w:r>
      <w:r>
        <w:rPr>
          <w:rFonts w:hint="eastAsia"/>
        </w:rPr>
        <w:t>1</w:t>
      </w:r>
      <w:r>
        <w:rPr>
          <w:rFonts w:hint="eastAsia"/>
          <w:lang w:val="en-US" w:eastAsia="zh-CN"/>
        </w:rPr>
        <w:t>7</w:t>
      </w:r>
    </w:p>
    <w:p>
      <w:pPr>
        <w:tabs>
          <w:tab w:val="right" w:leader="middleDot" w:pos="8400"/>
        </w:tabs>
        <w:spacing w:line="360" w:lineRule="auto"/>
        <w:ind w:left="640" w:leftChars="200"/>
        <w:rPr>
          <w:rFonts w:hint="eastAsia" w:eastAsia="仿宋_GB2312"/>
          <w:lang w:val="en-US" w:eastAsia="zh-CN"/>
        </w:rPr>
      </w:pPr>
      <w:r>
        <w:rPr>
          <w:rFonts w:hint="eastAsia"/>
        </w:rPr>
        <w:t>十二、国有资产占用情况说明</w:t>
      </w:r>
      <w:r>
        <w:rPr>
          <w:rFonts w:hint="eastAsia"/>
        </w:rPr>
        <w:tab/>
      </w:r>
      <w:r>
        <w:rPr>
          <w:rFonts w:hint="eastAsia"/>
        </w:rPr>
        <w:t>1</w:t>
      </w:r>
      <w:r>
        <w:rPr>
          <w:rFonts w:hint="eastAsia"/>
          <w:lang w:val="en-US" w:eastAsia="zh-CN"/>
        </w:rPr>
        <w:t>7</w:t>
      </w:r>
    </w:p>
    <w:p>
      <w:pPr>
        <w:tabs>
          <w:tab w:val="right" w:leader="middleDot" w:pos="8400"/>
        </w:tabs>
        <w:spacing w:line="360" w:lineRule="auto"/>
        <w:ind w:firstLine="640" w:firstLineChars="200"/>
        <w:rPr>
          <w:rFonts w:hint="eastAsia" w:eastAsia="仿宋_GB2312"/>
          <w:lang w:val="en-US" w:eastAsia="zh-CN"/>
        </w:rPr>
      </w:pPr>
      <w:r>
        <w:rPr>
          <w:rFonts w:hint="eastAsia"/>
        </w:rPr>
        <w:t>十三、预算绩效情况说明</w:t>
      </w:r>
      <w:r>
        <w:rPr>
          <w:rFonts w:hint="eastAsia"/>
        </w:rPr>
        <w:tab/>
      </w:r>
      <w:r>
        <w:rPr>
          <w:rFonts w:hint="eastAsia"/>
        </w:rPr>
        <w:t>1</w:t>
      </w:r>
      <w:r>
        <w:rPr>
          <w:rFonts w:hint="eastAsia"/>
          <w:lang w:val="en-US" w:eastAsia="zh-CN"/>
        </w:rPr>
        <w:t>7</w:t>
      </w:r>
    </w:p>
    <w:p>
      <w:pPr>
        <w:tabs>
          <w:tab w:val="right" w:leader="middleDot" w:pos="8400"/>
        </w:tabs>
        <w:spacing w:line="360" w:lineRule="auto"/>
        <w:ind w:firstLine="640" w:firstLineChars="200"/>
        <w:rPr>
          <w:rFonts w:hint="eastAsia" w:eastAsia="仿宋_GB2312"/>
          <w:lang w:val="en-US" w:eastAsia="zh-CN"/>
        </w:rPr>
      </w:pPr>
      <w:r>
        <w:rPr>
          <w:rFonts w:hint="eastAsia"/>
        </w:rPr>
        <w:t>十四、专项支出、转移支付支出情况说明</w:t>
      </w:r>
      <w:r>
        <w:rPr>
          <w:rFonts w:hint="eastAsia"/>
        </w:rPr>
        <w:tab/>
      </w:r>
      <w:r>
        <w:rPr>
          <w:rFonts w:hint="eastAsia"/>
        </w:rPr>
        <w:t>1</w:t>
      </w:r>
      <w:r>
        <w:rPr>
          <w:rFonts w:hint="eastAsia"/>
          <w:lang w:val="en-US" w:eastAsia="zh-CN"/>
        </w:rPr>
        <w:t>9</w:t>
      </w:r>
    </w:p>
    <w:p>
      <w:pPr>
        <w:shd w:val="clear" w:color="auto" w:fill="FFFFFF"/>
        <w:tabs>
          <w:tab w:val="right" w:leader="middleDot" w:pos="8400"/>
        </w:tabs>
        <w:spacing w:before="240" w:after="240" w:line="360" w:lineRule="auto"/>
        <w:ind w:firstLine="640"/>
        <w:rPr>
          <w:rFonts w:hint="default" w:eastAsia="黑体"/>
          <w:lang w:val="en-US" w:eastAsia="zh-CN"/>
        </w:rPr>
      </w:pPr>
      <w:r>
        <w:rPr>
          <w:rFonts w:ascii="黑体" w:hAnsi="黑体" w:eastAsia="黑体" w:cs="黑体"/>
          <w:szCs w:val="32"/>
        </w:rPr>
        <w:t xml:space="preserve">第四部分  </w:t>
      </w:r>
      <w:r>
        <w:rPr>
          <w:rFonts w:hint="eastAsia" w:ascii="黑体" w:hAnsi="黑体" w:eastAsia="黑体" w:cs="黑体"/>
          <w:szCs w:val="32"/>
        </w:rPr>
        <w:t>其他需要说明的情况</w:t>
      </w:r>
      <w:r>
        <w:rPr>
          <w:rFonts w:hint="eastAsia" w:ascii="黑体" w:hAnsi="黑体" w:eastAsia="黑体" w:cs="黑体"/>
          <w:szCs w:val="32"/>
        </w:rPr>
        <w:tab/>
      </w:r>
      <w:r>
        <w:rPr>
          <w:rFonts w:hint="eastAsia" w:ascii="Times New Roman" w:hAnsi="Times New Roman" w:cs="Times New Roman"/>
          <w:lang w:val="en-US" w:eastAsia="zh-CN"/>
        </w:rPr>
        <w:t>20</w:t>
      </w:r>
    </w:p>
    <w:p>
      <w:pPr>
        <w:shd w:val="clear" w:color="auto" w:fill="FFFFFF"/>
        <w:tabs>
          <w:tab w:val="right" w:leader="middleDot" w:pos="8400"/>
        </w:tabs>
        <w:spacing w:before="240" w:after="240" w:line="360" w:lineRule="auto"/>
        <w:ind w:firstLine="640"/>
        <w:rPr>
          <w:rFonts w:hint="default" w:ascii="黑体" w:hAnsi="黑体" w:eastAsia="黑体" w:cs="黑体"/>
          <w:szCs w:val="32"/>
          <w:lang w:val="en-US" w:eastAsia="zh-CN"/>
        </w:rPr>
      </w:pPr>
      <w:r>
        <w:rPr>
          <w:rFonts w:ascii="黑体" w:hAnsi="黑体" w:eastAsia="黑体" w:cs="黑体"/>
          <w:szCs w:val="32"/>
        </w:rPr>
        <w:t>第五部分  名词解释</w:t>
      </w:r>
      <w:r>
        <w:rPr>
          <w:rFonts w:hint="eastAsia" w:ascii="黑体" w:hAnsi="黑体" w:eastAsia="黑体" w:cs="黑体"/>
          <w:szCs w:val="32"/>
        </w:rPr>
        <w:tab/>
      </w:r>
      <w:r>
        <w:rPr>
          <w:rFonts w:hint="eastAsia" w:ascii="Times New Roman" w:hAnsi="Times New Roman" w:cs="Times New Roman"/>
          <w:lang w:val="en-US" w:eastAsia="zh-CN"/>
        </w:rPr>
        <w:t>20</w:t>
      </w:r>
    </w:p>
    <w:p>
      <w:pPr>
        <w:tabs>
          <w:tab w:val="right" w:leader="middleDot" w:pos="8400"/>
        </w:tabs>
        <w:spacing w:line="360" w:lineRule="auto"/>
        <w:ind w:firstLine="640" w:firstLineChars="200"/>
        <w:rPr>
          <w:rFonts w:hint="eastAsia" w:ascii="黑体" w:hAnsi="黑体" w:eastAsia="黑体" w:cs="黑体"/>
          <w:szCs w:val="32"/>
          <w:lang w:val="en-US" w:eastAsia="zh-CN"/>
        </w:rPr>
      </w:pPr>
      <w:r>
        <w:rPr>
          <w:rFonts w:hint="eastAsia" w:ascii="黑体" w:hAnsi="黑体" w:eastAsia="黑体" w:cs="黑体"/>
          <w:szCs w:val="32"/>
        </w:rPr>
        <w:t>第六部分  附件</w:t>
      </w:r>
      <w:r>
        <w:rPr>
          <w:rFonts w:hint="eastAsia" w:ascii="黑体" w:hAnsi="黑体" w:eastAsia="黑体" w:cs="黑体"/>
          <w:szCs w:val="32"/>
        </w:rPr>
        <w:tab/>
      </w:r>
      <w:r>
        <w:rPr>
          <w:rFonts w:hint="eastAsia" w:ascii="Times New Roman" w:hAnsi="Times New Roman" w:cs="Times New Roman"/>
        </w:rPr>
        <w:t>2</w:t>
      </w:r>
      <w:r>
        <w:rPr>
          <w:rFonts w:hint="eastAsia" w:ascii="Times New Roman" w:hAnsi="Times New Roman" w:cs="Times New Roman"/>
          <w:lang w:val="en-US" w:eastAsia="zh-CN"/>
        </w:rPr>
        <w:t>4</w:t>
      </w:r>
    </w:p>
    <w:p>
      <w:pPr>
        <w:ind w:firstLine="640" w:firstLineChars="200"/>
        <w:rPr>
          <w:rFonts w:hint="eastAsia" w:ascii="黑体" w:hAnsi="黑体" w:eastAsia="黑体" w:cs="黑体"/>
          <w:szCs w:val="32"/>
        </w:rPr>
      </w:pPr>
    </w:p>
    <w:p>
      <w:pPr>
        <w:ind w:firstLine="640" w:firstLineChars="200"/>
        <w:rPr>
          <w:rFonts w:hint="eastAsia" w:ascii="黑体" w:hAnsi="黑体" w:eastAsia="黑体" w:cs="黑体"/>
          <w:szCs w:val="32"/>
        </w:rPr>
        <w:sectPr>
          <w:footerReference r:id="rId5" w:type="default"/>
          <w:pgSz w:w="11906" w:h="16838"/>
          <w:pgMar w:top="1440" w:right="1800" w:bottom="1440" w:left="1800" w:header="851" w:footer="992" w:gutter="0"/>
          <w:cols w:space="425" w:num="1"/>
          <w:docGrid w:type="lines" w:linePitch="312" w:charSpace="0"/>
        </w:sectPr>
      </w:pPr>
    </w:p>
    <w:p>
      <w:pPr>
        <w:ind w:firstLine="640" w:firstLineChars="200"/>
        <w:rPr>
          <w:rFonts w:hint="eastAsia" w:ascii="黑体" w:hAnsi="黑体" w:eastAsia="黑体" w:cs="黑体"/>
          <w:szCs w:val="32"/>
        </w:rPr>
      </w:pPr>
      <w:r>
        <w:rPr>
          <w:rFonts w:hint="eastAsia" w:ascii="黑体" w:hAnsi="黑体" w:eastAsia="黑体" w:cs="黑体"/>
          <w:szCs w:val="32"/>
        </w:rPr>
        <w:t>第一部分  鄂州市地方金融工作局概况</w:t>
      </w:r>
    </w:p>
    <w:p>
      <w:pPr>
        <w:adjustRightInd w:val="0"/>
        <w:spacing w:line="360" w:lineRule="auto"/>
        <w:ind w:firstLine="640" w:firstLineChars="200"/>
        <w:rPr>
          <w:rFonts w:hint="eastAsia" w:ascii="黑体" w:hAnsi="黑体" w:eastAsia="黑体" w:cs="黑体"/>
          <w:bCs/>
          <w:szCs w:val="32"/>
        </w:rPr>
      </w:pPr>
      <w:r>
        <w:rPr>
          <w:rFonts w:hint="eastAsia" w:ascii="黑体" w:hAnsi="黑体" w:eastAsia="黑体" w:cs="黑体"/>
          <w:bCs/>
          <w:szCs w:val="32"/>
        </w:rPr>
        <w:t>一、部门主要职责</w:t>
      </w:r>
    </w:p>
    <w:p>
      <w:pPr>
        <w:pStyle w:val="5"/>
        <w:widowControl/>
        <w:shd w:val="clear" w:color="auto" w:fill="FFFFFF"/>
        <w:spacing w:before="0" w:beforeAutospacing="0" w:after="0" w:afterAutospacing="0" w:line="360" w:lineRule="auto"/>
        <w:ind w:firstLine="640"/>
        <w:rPr>
          <w:rFonts w:hint="eastAsia" w:ascii="仿宋" w:hAnsi="仿宋" w:eastAsia="仿宋" w:cs="仿宋"/>
          <w:kern w:val="2"/>
          <w:sz w:val="32"/>
          <w:szCs w:val="32"/>
        </w:rPr>
      </w:pPr>
      <w:r>
        <w:rPr>
          <w:rFonts w:hint="eastAsia" w:ascii="仿宋" w:hAnsi="仿宋" w:eastAsia="仿宋" w:cs="仿宋"/>
          <w:kern w:val="2"/>
          <w:sz w:val="32"/>
          <w:szCs w:val="32"/>
        </w:rPr>
        <w:t>1.拟订促进金融服务全市经济社会发展的政策措施，组织开展政府与金融机构合作、金融机构和企业对接，引导金融机构加大对全市经济社会发展的支持力度。协调推进全市金融改革创新工作。</w:t>
      </w:r>
    </w:p>
    <w:p>
      <w:pPr>
        <w:pStyle w:val="5"/>
        <w:widowControl/>
        <w:shd w:val="clear" w:color="auto" w:fill="FFFFFF"/>
        <w:spacing w:before="0" w:beforeAutospacing="0" w:after="0" w:afterAutospacing="0" w:line="360" w:lineRule="auto"/>
        <w:ind w:firstLine="640"/>
        <w:rPr>
          <w:rFonts w:hint="eastAsia" w:ascii="仿宋" w:hAnsi="仿宋" w:eastAsia="仿宋" w:cs="仿宋"/>
          <w:kern w:val="2"/>
          <w:sz w:val="32"/>
          <w:szCs w:val="32"/>
        </w:rPr>
      </w:pPr>
      <w:r>
        <w:rPr>
          <w:rFonts w:hint="eastAsia" w:ascii="仿宋" w:hAnsi="仿宋" w:eastAsia="仿宋" w:cs="仿宋"/>
          <w:kern w:val="2"/>
          <w:sz w:val="32"/>
          <w:szCs w:val="32"/>
        </w:rPr>
        <w:t>2.负责协调联络省级金融管理部门、金融机构驻鄂州分支机构，开展对外金融交流。</w:t>
      </w:r>
    </w:p>
    <w:p>
      <w:pPr>
        <w:pStyle w:val="5"/>
        <w:widowControl/>
        <w:shd w:val="clear" w:color="auto" w:fill="FFFFFF"/>
        <w:spacing w:before="0" w:beforeAutospacing="0" w:after="0" w:afterAutospacing="0" w:line="360" w:lineRule="auto"/>
        <w:ind w:firstLine="640"/>
        <w:rPr>
          <w:rFonts w:hint="eastAsia" w:ascii="仿宋" w:hAnsi="仿宋" w:eastAsia="仿宋" w:cs="仿宋"/>
          <w:kern w:val="2"/>
          <w:sz w:val="32"/>
          <w:szCs w:val="32"/>
        </w:rPr>
      </w:pPr>
      <w:r>
        <w:rPr>
          <w:rFonts w:hint="eastAsia" w:ascii="仿宋" w:hAnsi="仿宋" w:eastAsia="仿宋" w:cs="仿宋"/>
          <w:kern w:val="2"/>
          <w:sz w:val="32"/>
          <w:szCs w:val="32"/>
        </w:rPr>
        <w:t>3.协助配合省级金融管理部门驻鄂州分支机构整顿和规范全市金融秩序，建立金融突发事件应急处置机制，防范、化解、处置各类地方金融风险。配合省级金融管理部门驻鄂州分支机构协调推进互联网金融清理整治工作。协调落实市委、市政府防范和处置非法集资等非法金融的各项工作部署。</w:t>
      </w:r>
    </w:p>
    <w:p>
      <w:pPr>
        <w:pStyle w:val="5"/>
        <w:widowControl/>
        <w:shd w:val="clear" w:color="auto" w:fill="FFFFFF"/>
        <w:spacing w:before="0" w:beforeAutospacing="0" w:after="0" w:afterAutospacing="0" w:line="360" w:lineRule="auto"/>
        <w:ind w:firstLine="640"/>
        <w:rPr>
          <w:rFonts w:hint="eastAsia" w:ascii="仿宋" w:hAnsi="仿宋" w:eastAsia="仿宋" w:cs="仿宋"/>
          <w:kern w:val="2"/>
          <w:sz w:val="32"/>
          <w:szCs w:val="32"/>
        </w:rPr>
      </w:pPr>
      <w:r>
        <w:rPr>
          <w:rFonts w:hint="eastAsia" w:ascii="仿宋" w:hAnsi="仿宋" w:eastAsia="仿宋" w:cs="仿宋"/>
          <w:kern w:val="2"/>
          <w:sz w:val="32"/>
          <w:szCs w:val="32"/>
        </w:rPr>
        <w:t>4.根据相关规定制定小额贷款公司、融资担保公司、典当行、融资租赁公司等地方类金融机构和其他地方金融组织的相关监管政策措施并组织实施，对权限内的金融组织实施行政许可和日常监管，查处违法违规行为。</w:t>
      </w:r>
    </w:p>
    <w:p>
      <w:pPr>
        <w:pStyle w:val="5"/>
        <w:widowControl/>
        <w:shd w:val="clear" w:color="auto" w:fill="FFFFFF"/>
        <w:spacing w:before="0" w:beforeAutospacing="0" w:after="0" w:afterAutospacing="0" w:line="360" w:lineRule="auto"/>
        <w:ind w:firstLine="640"/>
        <w:rPr>
          <w:rFonts w:hint="eastAsia" w:ascii="仿宋" w:hAnsi="仿宋" w:eastAsia="仿宋" w:cs="仿宋"/>
          <w:kern w:val="2"/>
          <w:sz w:val="32"/>
          <w:szCs w:val="32"/>
        </w:rPr>
      </w:pPr>
      <w:r>
        <w:rPr>
          <w:rFonts w:hint="eastAsia" w:ascii="仿宋" w:hAnsi="仿宋" w:eastAsia="仿宋" w:cs="仿宋"/>
          <w:kern w:val="2"/>
          <w:sz w:val="32"/>
          <w:szCs w:val="32"/>
        </w:rPr>
        <w:t>5.拟订全市多层次资本市场建设的相关政策措施、规划并组织实施。拟订推进企业上市的政策措施并组织实施，指导和推进企业改制上市等直接融资工作，负责全市上市后备资源培育工作。</w:t>
      </w:r>
    </w:p>
    <w:p>
      <w:pPr>
        <w:pStyle w:val="5"/>
        <w:widowControl/>
        <w:shd w:val="clear" w:color="auto" w:fill="FFFFFF"/>
        <w:spacing w:before="0" w:beforeAutospacing="0" w:after="0" w:afterAutospacing="0" w:line="360" w:lineRule="auto"/>
        <w:ind w:firstLine="640"/>
        <w:rPr>
          <w:rFonts w:hint="eastAsia" w:ascii="仿宋" w:hAnsi="仿宋" w:eastAsia="仿宋" w:cs="仿宋"/>
          <w:kern w:val="2"/>
          <w:sz w:val="32"/>
          <w:szCs w:val="32"/>
        </w:rPr>
      </w:pPr>
      <w:r>
        <w:rPr>
          <w:rFonts w:hint="eastAsia" w:ascii="仿宋" w:hAnsi="仿宋" w:eastAsia="仿宋" w:cs="仿宋"/>
          <w:kern w:val="2"/>
          <w:sz w:val="32"/>
          <w:szCs w:val="32"/>
        </w:rPr>
        <w:t>6.会同有关部门加强全市信用环境建设，推进改善金融生态环境，推进全市金融知识宣传普及工作。</w:t>
      </w:r>
    </w:p>
    <w:p>
      <w:pPr>
        <w:pStyle w:val="5"/>
        <w:widowControl/>
        <w:shd w:val="clear" w:color="auto" w:fill="FFFFFF"/>
        <w:spacing w:before="0" w:beforeAutospacing="0" w:after="0" w:afterAutospacing="0" w:line="360" w:lineRule="auto"/>
        <w:ind w:firstLine="640"/>
        <w:rPr>
          <w:rFonts w:hint="eastAsia" w:ascii="仿宋" w:hAnsi="仿宋" w:eastAsia="仿宋" w:cs="仿宋"/>
          <w:kern w:val="2"/>
          <w:sz w:val="32"/>
          <w:szCs w:val="32"/>
        </w:rPr>
      </w:pPr>
      <w:r>
        <w:rPr>
          <w:rFonts w:hint="eastAsia" w:ascii="仿宋" w:hAnsi="仿宋" w:eastAsia="仿宋" w:cs="仿宋"/>
          <w:kern w:val="2"/>
          <w:sz w:val="32"/>
          <w:szCs w:val="32"/>
        </w:rPr>
        <w:t>7.对全市各区政府地方金融工作进行业务指导，推进市区协同联动机制建设。参与、指导全市金融人才资源培育和队伍建设工作。</w:t>
      </w:r>
    </w:p>
    <w:p>
      <w:pPr>
        <w:pStyle w:val="5"/>
        <w:widowControl/>
        <w:shd w:val="clear" w:color="auto" w:fill="FFFFFF"/>
        <w:spacing w:before="0" w:beforeAutospacing="0" w:after="0" w:afterAutospacing="0" w:line="360" w:lineRule="auto"/>
        <w:ind w:firstLine="640"/>
        <w:rPr>
          <w:rFonts w:hint="eastAsia" w:ascii="仿宋" w:hAnsi="仿宋" w:eastAsia="仿宋" w:cs="仿宋"/>
          <w:kern w:val="2"/>
          <w:sz w:val="32"/>
          <w:szCs w:val="32"/>
        </w:rPr>
      </w:pPr>
      <w:r>
        <w:rPr>
          <w:rFonts w:hint="eastAsia" w:ascii="仿宋" w:hAnsi="仿宋" w:eastAsia="仿宋" w:cs="仿宋"/>
          <w:kern w:val="2"/>
          <w:sz w:val="32"/>
          <w:szCs w:val="32"/>
        </w:rPr>
        <w:t>8.完成上级交办的其他任务。</w:t>
      </w:r>
    </w:p>
    <w:p>
      <w:pPr>
        <w:adjustRightInd w:val="0"/>
        <w:spacing w:line="360" w:lineRule="auto"/>
        <w:ind w:firstLine="640" w:firstLineChars="200"/>
        <w:rPr>
          <w:rFonts w:ascii="仿宋_GB2312" w:hAnsi="宋体"/>
          <w:bCs/>
          <w:szCs w:val="32"/>
        </w:rPr>
      </w:pPr>
      <w:r>
        <w:rPr>
          <w:rFonts w:hint="eastAsia" w:ascii="黑体" w:hAnsi="黑体" w:eastAsia="黑体" w:cs="黑体"/>
          <w:bCs/>
          <w:szCs w:val="32"/>
        </w:rPr>
        <w:t>二、机构设置情况</w:t>
      </w:r>
    </w:p>
    <w:p>
      <w:pPr>
        <w:spacing w:line="360" w:lineRule="auto"/>
        <w:ind w:firstLine="640"/>
        <w:rPr>
          <w:rFonts w:ascii="仿宋_GB2312" w:hAnsi="仿宋_GB2312" w:cs="仿宋_GB2312"/>
          <w:szCs w:val="32"/>
        </w:rPr>
      </w:pPr>
      <w:r>
        <w:rPr>
          <w:rFonts w:hint="eastAsia" w:ascii="仿宋_GB2312" w:hAnsi="仿宋_GB2312" w:cs="仿宋_GB2312"/>
          <w:szCs w:val="32"/>
        </w:rPr>
        <w:t>从单位构成看，鄂州市地方金融工作局部门决算由实行独立核算的鄂州市地方金融工作局本级决算和0个下属单位决算组成。</w:t>
      </w:r>
    </w:p>
    <w:p>
      <w:pPr>
        <w:spacing w:line="360" w:lineRule="auto"/>
        <w:ind w:firstLine="640"/>
        <w:rPr>
          <w:rFonts w:hint="eastAsia" w:ascii="仿宋" w:hAnsi="仿宋" w:eastAsia="仿宋" w:cs="仿宋"/>
          <w:szCs w:val="32"/>
        </w:rPr>
      </w:pPr>
      <w:r>
        <w:rPr>
          <w:rFonts w:hint="eastAsia" w:ascii="仿宋_GB2312" w:hAnsi="仿宋_GB2312" w:cs="仿宋_GB2312"/>
          <w:szCs w:val="32"/>
        </w:rPr>
        <w:t>纳入鄂州市地方金融工作局2022年度部门决算编制范围的二级预算单位包括：鄂州市地方金融工作局（本级）</w:t>
      </w:r>
    </w:p>
    <w:p>
      <w:pPr>
        <w:spacing w:line="360" w:lineRule="auto"/>
        <w:ind w:firstLine="640" w:firstLineChars="200"/>
        <w:rPr>
          <w:rFonts w:ascii="仿宋_GB2312" w:hAnsi="仿宋_GB2312" w:cs="仿宋_GB2312"/>
          <w:szCs w:val="32"/>
        </w:rPr>
      </w:pPr>
      <w:r>
        <w:rPr>
          <w:rFonts w:hint="eastAsia" w:ascii="仿宋_GB2312" w:hAnsi="仿宋_GB2312" w:cs="仿宋_GB2312"/>
          <w:szCs w:val="32"/>
        </w:rPr>
        <w:t>机构设置情况:地方金融工作局内设机构共有5个,分别是办公室、金融一科、金融二科、金融三科、金融四科。</w:t>
      </w:r>
    </w:p>
    <w:p>
      <w:pPr>
        <w:ind w:firstLine="640"/>
        <w:rPr>
          <w:rFonts w:hint="eastAsia" w:ascii="黑体" w:hAnsi="黑体" w:eastAsia="黑体" w:cs="黑体"/>
          <w:szCs w:val="32"/>
        </w:rPr>
      </w:pPr>
    </w:p>
    <w:p>
      <w:pPr>
        <w:ind w:firstLine="640"/>
        <w:rPr>
          <w:rFonts w:hint="eastAsia" w:ascii="黑体" w:hAnsi="黑体" w:eastAsia="黑体" w:cs="黑体"/>
          <w:szCs w:val="32"/>
        </w:rPr>
      </w:pPr>
    </w:p>
    <w:p>
      <w:pPr>
        <w:ind w:firstLine="640"/>
        <w:rPr>
          <w:rFonts w:hint="eastAsia" w:ascii="黑体" w:hAnsi="黑体" w:eastAsia="黑体" w:cs="黑体"/>
          <w:szCs w:val="32"/>
        </w:rPr>
      </w:pPr>
    </w:p>
    <w:p>
      <w:pPr>
        <w:ind w:firstLine="640"/>
        <w:rPr>
          <w:rFonts w:hint="eastAsia" w:ascii="黑体" w:hAnsi="黑体" w:eastAsia="黑体" w:cs="黑体"/>
          <w:szCs w:val="32"/>
        </w:rPr>
      </w:pPr>
    </w:p>
    <w:p>
      <w:pPr>
        <w:ind w:firstLine="640"/>
        <w:rPr>
          <w:rFonts w:hint="eastAsia" w:ascii="黑体" w:hAnsi="黑体" w:eastAsia="黑体" w:cs="黑体"/>
          <w:szCs w:val="32"/>
        </w:rPr>
      </w:pPr>
    </w:p>
    <w:p>
      <w:pPr>
        <w:ind w:firstLine="640"/>
        <w:rPr>
          <w:rFonts w:hint="eastAsia" w:ascii="黑体" w:hAnsi="黑体" w:eastAsia="黑体" w:cs="黑体"/>
          <w:szCs w:val="32"/>
        </w:rPr>
      </w:pPr>
    </w:p>
    <w:p>
      <w:pPr>
        <w:ind w:firstLine="640"/>
        <w:rPr>
          <w:rFonts w:hint="eastAsia" w:ascii="黑体" w:hAnsi="黑体" w:eastAsia="黑体" w:cs="黑体"/>
          <w:szCs w:val="32"/>
        </w:rPr>
      </w:pPr>
    </w:p>
    <w:p>
      <w:pPr>
        <w:ind w:firstLine="640"/>
        <w:rPr>
          <w:rFonts w:hint="eastAsia" w:ascii="黑体" w:hAnsi="黑体" w:eastAsia="黑体" w:cs="黑体"/>
          <w:szCs w:val="32"/>
        </w:rPr>
      </w:pPr>
    </w:p>
    <w:p>
      <w:pPr>
        <w:ind w:firstLine="640"/>
        <w:rPr>
          <w:rFonts w:hint="eastAsia" w:ascii="黑体" w:hAnsi="黑体" w:eastAsia="黑体" w:cs="黑体"/>
          <w:szCs w:val="32"/>
        </w:rPr>
      </w:pPr>
      <w:r>
        <w:rPr>
          <w:rFonts w:hint="eastAsia" w:ascii="黑体" w:hAnsi="黑体" w:eastAsia="黑体" w:cs="黑体"/>
          <w:szCs w:val="32"/>
        </w:rPr>
        <w:t>第二部分  2022年度部门决算表</w:t>
      </w:r>
    </w:p>
    <w:p>
      <w:pPr>
        <w:adjustRightInd w:val="0"/>
        <w:snapToGrid w:val="0"/>
        <w:spacing w:line="580" w:lineRule="atLeast"/>
        <w:ind w:right="-781" w:rightChars="-244" w:firstLine="640" w:firstLineChars="200"/>
        <w:rPr>
          <w:rFonts w:hint="eastAsia" w:ascii="黑体" w:hAnsi="黑体" w:eastAsia="黑体" w:cs="黑体"/>
          <w:bCs/>
          <w:szCs w:val="32"/>
        </w:rPr>
      </w:pPr>
      <w:r>
        <w:rPr>
          <w:rFonts w:hint="eastAsia" w:ascii="黑体" w:hAnsi="黑体" w:eastAsia="黑体" w:cs="黑体"/>
          <w:bCs/>
          <w:szCs w:val="32"/>
        </w:rPr>
        <w:t>一、收入支出决算总表</w:t>
      </w:r>
    </w:p>
    <w:p>
      <w:pPr>
        <w:adjustRightInd w:val="0"/>
        <w:snapToGrid w:val="0"/>
        <w:spacing w:line="580" w:lineRule="atLeast"/>
        <w:ind w:right="-781" w:rightChars="-244"/>
        <w:jc w:val="left"/>
        <w:rPr>
          <w:rFonts w:hint="eastAsia" w:ascii="黑体" w:hAnsi="黑体" w:eastAsia="黑体" w:cs="黑体"/>
          <w:bCs/>
          <w:szCs w:val="32"/>
          <w:lang w:eastAsia="zh-CN"/>
        </w:rPr>
      </w:pPr>
      <w:r>
        <w:rPr>
          <w:rFonts w:hint="eastAsia" w:ascii="黑体" w:hAnsi="黑体" w:eastAsia="黑体" w:cs="黑体"/>
          <w:bCs/>
          <w:szCs w:val="32"/>
          <w:lang w:eastAsia="zh-CN"/>
        </w:rPr>
        <w:drawing>
          <wp:inline distT="0" distB="0" distL="114300" distR="114300">
            <wp:extent cx="5475605" cy="7404100"/>
            <wp:effectExtent l="0" t="0" r="10795" b="2540"/>
            <wp:docPr id="1" name="图片 1" descr="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01"/>
                    <pic:cNvPicPr>
                      <a:picLocks noChangeAspect="true"/>
                    </pic:cNvPicPr>
                  </pic:nvPicPr>
                  <pic:blipFill>
                    <a:blip r:embed="rId8"/>
                    <a:stretch>
                      <a:fillRect/>
                    </a:stretch>
                  </pic:blipFill>
                  <pic:spPr>
                    <a:xfrm>
                      <a:off x="0" y="0"/>
                      <a:ext cx="5475605" cy="7404100"/>
                    </a:xfrm>
                    <a:prstGeom prst="rect">
                      <a:avLst/>
                    </a:prstGeom>
                  </pic:spPr>
                </pic:pic>
              </a:graphicData>
            </a:graphic>
          </wp:inline>
        </w:drawing>
      </w:r>
    </w:p>
    <w:p>
      <w:pPr>
        <w:adjustRightInd w:val="0"/>
        <w:snapToGrid w:val="0"/>
        <w:spacing w:line="580" w:lineRule="atLeast"/>
        <w:ind w:right="-781" w:rightChars="-244"/>
        <w:jc w:val="left"/>
        <w:rPr>
          <w:rFonts w:hint="eastAsia" w:ascii="黑体" w:hAnsi="黑体" w:eastAsia="黑体" w:cs="黑体"/>
          <w:bCs/>
          <w:szCs w:val="32"/>
          <w:lang w:eastAsia="zh-CN"/>
        </w:rPr>
      </w:pPr>
    </w:p>
    <w:p>
      <w:pPr>
        <w:numPr>
          <w:ilvl w:val="0"/>
          <w:numId w:val="1"/>
        </w:num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收入决算表</w:t>
      </w:r>
    </w:p>
    <w:p>
      <w:pPr>
        <w:adjustRightInd w:val="0"/>
        <w:snapToGrid w:val="0"/>
        <w:spacing w:line="580" w:lineRule="atLeast"/>
      </w:pPr>
    </w:p>
    <w:p>
      <w:pPr>
        <w:adjustRightInd w:val="0"/>
        <w:snapToGrid w:val="0"/>
        <w:spacing w:line="580" w:lineRule="atLeast"/>
        <w:rPr>
          <w:rFonts w:hint="eastAsia" w:eastAsia="仿宋_GB2312"/>
          <w:lang w:eastAsia="zh-CN"/>
        </w:rPr>
      </w:pPr>
      <w:r>
        <w:rPr>
          <w:rFonts w:hint="eastAsia" w:eastAsia="仿宋_GB2312"/>
          <w:lang w:eastAsia="zh-CN"/>
        </w:rPr>
        <w:drawing>
          <wp:inline distT="0" distB="0" distL="114300" distR="114300">
            <wp:extent cx="5700395" cy="4869180"/>
            <wp:effectExtent l="0" t="0" r="14605" b="7620"/>
            <wp:docPr id="4" name="图片 4" descr="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02"/>
                    <pic:cNvPicPr>
                      <a:picLocks noChangeAspect="true"/>
                    </pic:cNvPicPr>
                  </pic:nvPicPr>
                  <pic:blipFill>
                    <a:blip r:embed="rId9"/>
                    <a:stretch>
                      <a:fillRect/>
                    </a:stretch>
                  </pic:blipFill>
                  <pic:spPr>
                    <a:xfrm>
                      <a:off x="0" y="0"/>
                      <a:ext cx="5700395" cy="4869180"/>
                    </a:xfrm>
                    <a:prstGeom prst="rect">
                      <a:avLst/>
                    </a:prstGeom>
                  </pic:spPr>
                </pic:pic>
              </a:graphicData>
            </a:graphic>
          </wp:inline>
        </w:drawing>
      </w:r>
    </w:p>
    <w:p>
      <w:pPr>
        <w:adjustRightInd w:val="0"/>
        <w:snapToGrid w:val="0"/>
        <w:spacing w:line="580" w:lineRule="atLeast"/>
      </w:pPr>
    </w:p>
    <w:p>
      <w:pPr>
        <w:adjustRightInd w:val="0"/>
        <w:snapToGrid w:val="0"/>
        <w:spacing w:line="580" w:lineRule="atLeast"/>
      </w:pPr>
    </w:p>
    <w:p>
      <w:pPr>
        <w:adjustRightInd w:val="0"/>
        <w:snapToGrid w:val="0"/>
        <w:spacing w:line="580" w:lineRule="atLeast"/>
      </w:pPr>
    </w:p>
    <w:p>
      <w:pPr>
        <w:adjustRightInd w:val="0"/>
        <w:snapToGrid w:val="0"/>
        <w:spacing w:line="580" w:lineRule="atLeast"/>
      </w:pPr>
    </w:p>
    <w:p>
      <w:pPr>
        <w:adjustRightInd w:val="0"/>
        <w:snapToGrid w:val="0"/>
        <w:spacing w:line="580" w:lineRule="atLeast"/>
      </w:pPr>
    </w:p>
    <w:p>
      <w:pPr>
        <w:adjustRightInd w:val="0"/>
        <w:snapToGrid w:val="0"/>
        <w:spacing w:line="580" w:lineRule="atLeast"/>
      </w:pPr>
    </w:p>
    <w:p>
      <w:pPr>
        <w:adjustRightInd w:val="0"/>
        <w:snapToGrid w:val="0"/>
        <w:spacing w:line="580" w:lineRule="atLeast"/>
      </w:pPr>
    </w:p>
    <w:p>
      <w:pPr>
        <w:adjustRightInd w:val="0"/>
        <w:snapToGrid w:val="0"/>
        <w:spacing w:line="580" w:lineRule="atLeast"/>
      </w:pPr>
    </w:p>
    <w:p>
      <w:pPr>
        <w:numPr>
          <w:ilvl w:val="0"/>
          <w:numId w:val="1"/>
        </w:num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支出决算表</w:t>
      </w:r>
    </w:p>
    <w:p>
      <w:pPr>
        <w:adjustRightInd w:val="0"/>
        <w:snapToGrid w:val="0"/>
        <w:spacing w:line="580" w:lineRule="atLeast"/>
        <w:rPr>
          <w:rFonts w:hint="eastAsia" w:ascii="黑体" w:hAnsi="黑体" w:eastAsia="黑体" w:cs="黑体"/>
          <w:bCs/>
          <w:szCs w:val="32"/>
          <w:lang w:eastAsia="zh-CN"/>
        </w:rPr>
      </w:pPr>
      <w:r>
        <w:rPr>
          <w:rFonts w:hint="eastAsia" w:ascii="黑体" w:hAnsi="黑体" w:eastAsia="黑体" w:cs="黑体"/>
          <w:bCs/>
          <w:szCs w:val="32"/>
          <w:lang w:eastAsia="zh-CN"/>
        </w:rPr>
        <w:drawing>
          <wp:inline distT="0" distB="0" distL="114300" distR="114300">
            <wp:extent cx="5967730" cy="7450455"/>
            <wp:effectExtent l="0" t="0" r="6350" b="1905"/>
            <wp:docPr id="5" name="图片 5" descr="0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03"/>
                    <pic:cNvPicPr>
                      <a:picLocks noChangeAspect="true"/>
                    </pic:cNvPicPr>
                  </pic:nvPicPr>
                  <pic:blipFill>
                    <a:blip r:embed="rId10"/>
                    <a:stretch>
                      <a:fillRect/>
                    </a:stretch>
                  </pic:blipFill>
                  <pic:spPr>
                    <a:xfrm>
                      <a:off x="0" y="0"/>
                      <a:ext cx="5967730" cy="7450455"/>
                    </a:xfrm>
                    <a:prstGeom prst="rect">
                      <a:avLst/>
                    </a:prstGeom>
                  </pic:spPr>
                </pic:pic>
              </a:graphicData>
            </a:graphic>
          </wp:inline>
        </w:drawing>
      </w:r>
    </w:p>
    <w:p>
      <w:pPr>
        <w:adjustRightInd w:val="0"/>
        <w:snapToGrid w:val="0"/>
        <w:spacing w:line="580" w:lineRule="atLeast"/>
        <w:rPr>
          <w:rFonts w:hint="eastAsia" w:ascii="黑体" w:hAnsi="黑体" w:eastAsia="黑体" w:cs="黑体"/>
          <w:bCs/>
          <w:szCs w:val="32"/>
          <w:lang w:eastAsia="zh-CN"/>
        </w:rPr>
      </w:pPr>
    </w:p>
    <w:p>
      <w:pPr>
        <w:adjustRightInd w:val="0"/>
        <w:snapToGrid w:val="0"/>
        <w:spacing w:line="580" w:lineRule="atLeast"/>
        <w:rPr>
          <w:rFonts w:hint="eastAsia" w:ascii="黑体" w:hAnsi="黑体" w:eastAsia="黑体" w:cs="黑体"/>
          <w:bCs/>
          <w:szCs w:val="32"/>
          <w:lang w:eastAsia="zh-CN"/>
        </w:rPr>
      </w:pPr>
    </w:p>
    <w:p>
      <w:pPr>
        <w:numPr>
          <w:ilvl w:val="0"/>
          <w:numId w:val="1"/>
        </w:num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财政拨款收入支出决算总表</w:t>
      </w:r>
    </w:p>
    <w:p>
      <w:pPr>
        <w:numPr>
          <w:ilvl w:val="0"/>
          <w:numId w:val="0"/>
        </w:numPr>
        <w:adjustRightInd w:val="0"/>
        <w:snapToGrid w:val="0"/>
        <w:spacing w:line="580" w:lineRule="atLeast"/>
        <w:rPr>
          <w:rFonts w:hint="eastAsia" w:ascii="黑体" w:hAnsi="黑体" w:eastAsia="黑体" w:cs="黑体"/>
          <w:bCs/>
          <w:szCs w:val="32"/>
        </w:rPr>
      </w:pPr>
    </w:p>
    <w:p>
      <w:pPr>
        <w:numPr>
          <w:ilvl w:val="0"/>
          <w:numId w:val="0"/>
        </w:numPr>
        <w:adjustRightInd w:val="0"/>
        <w:snapToGrid w:val="0"/>
        <w:spacing w:line="580" w:lineRule="atLeast"/>
        <w:rPr>
          <w:rFonts w:hint="eastAsia" w:ascii="黑体" w:hAnsi="黑体" w:eastAsia="黑体" w:cs="黑体"/>
          <w:bCs/>
          <w:szCs w:val="32"/>
        </w:rPr>
      </w:pPr>
    </w:p>
    <w:p>
      <w:pPr>
        <w:adjustRightInd w:val="0"/>
        <w:snapToGrid w:val="0"/>
        <w:spacing w:line="580" w:lineRule="atLeast"/>
        <w:rPr>
          <w:rFonts w:hint="eastAsia" w:eastAsia="仿宋_GB2312"/>
          <w:lang w:eastAsia="zh-CN"/>
        </w:rPr>
      </w:pPr>
      <w:r>
        <w:rPr>
          <w:rFonts w:hint="eastAsia" w:eastAsia="仿宋_GB2312"/>
          <w:lang w:eastAsia="zh-CN"/>
        </w:rPr>
        <w:drawing>
          <wp:inline distT="0" distB="0" distL="114300" distR="114300">
            <wp:extent cx="5269865" cy="6619240"/>
            <wp:effectExtent l="0" t="0" r="3175" b="10160"/>
            <wp:docPr id="6" name="图片 6" descr="0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04"/>
                    <pic:cNvPicPr>
                      <a:picLocks noChangeAspect="true"/>
                    </pic:cNvPicPr>
                  </pic:nvPicPr>
                  <pic:blipFill>
                    <a:blip r:embed="rId11"/>
                    <a:stretch>
                      <a:fillRect/>
                    </a:stretch>
                  </pic:blipFill>
                  <pic:spPr>
                    <a:xfrm>
                      <a:off x="0" y="0"/>
                      <a:ext cx="5269865" cy="6619240"/>
                    </a:xfrm>
                    <a:prstGeom prst="rect">
                      <a:avLst/>
                    </a:prstGeom>
                  </pic:spPr>
                </pic:pic>
              </a:graphicData>
            </a:graphic>
          </wp:inline>
        </w:drawing>
      </w:r>
    </w:p>
    <w:p>
      <w:pPr>
        <w:adjustRightInd w:val="0"/>
        <w:snapToGrid w:val="0"/>
        <w:spacing w:line="580" w:lineRule="atLeast"/>
      </w:pPr>
    </w:p>
    <w:p>
      <w:pPr>
        <w:adjustRightInd w:val="0"/>
        <w:snapToGrid w:val="0"/>
        <w:spacing w:line="580" w:lineRule="atLeast"/>
      </w:pPr>
    </w:p>
    <w:p>
      <w:pPr>
        <w:pStyle w:val="2"/>
      </w:pPr>
      <w:bookmarkStart w:id="0" w:name="_GoBack"/>
      <w:bookmarkEnd w:id="0"/>
    </w:p>
    <w:p>
      <w:pPr>
        <w:numPr>
          <w:ilvl w:val="0"/>
          <w:numId w:val="1"/>
        </w:num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一般公共预算财政拨款支出决算表</w:t>
      </w:r>
    </w:p>
    <w:p>
      <w:pPr>
        <w:numPr>
          <w:ilvl w:val="0"/>
          <w:numId w:val="0"/>
        </w:numPr>
        <w:adjustRightInd w:val="0"/>
        <w:snapToGrid w:val="0"/>
        <w:spacing w:line="580" w:lineRule="atLeast"/>
        <w:rPr>
          <w:rFonts w:hint="eastAsia" w:ascii="黑体" w:hAnsi="黑体" w:eastAsia="黑体" w:cs="黑体"/>
          <w:bCs/>
          <w:szCs w:val="32"/>
        </w:rPr>
      </w:pPr>
    </w:p>
    <w:p>
      <w:pPr>
        <w:adjustRightInd w:val="0"/>
        <w:snapToGrid w:val="0"/>
        <w:spacing w:line="580" w:lineRule="atLeast"/>
        <w:rPr>
          <w:rFonts w:hint="eastAsia" w:ascii="黑体" w:hAnsi="黑体" w:eastAsia="黑体" w:cs="黑体"/>
          <w:bCs/>
          <w:szCs w:val="32"/>
          <w:lang w:eastAsia="zh-CN"/>
        </w:rPr>
      </w:pPr>
      <w:r>
        <w:rPr>
          <w:rFonts w:hint="eastAsia" w:ascii="黑体" w:hAnsi="黑体" w:eastAsia="黑体" w:cs="黑体"/>
          <w:bCs/>
          <w:szCs w:val="32"/>
          <w:lang w:eastAsia="zh-CN"/>
        </w:rPr>
        <w:drawing>
          <wp:inline distT="0" distB="0" distL="114300" distR="114300">
            <wp:extent cx="5993765" cy="7418705"/>
            <wp:effectExtent l="0" t="0" r="10795" b="3175"/>
            <wp:docPr id="8" name="图片 8" descr="0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05"/>
                    <pic:cNvPicPr>
                      <a:picLocks noChangeAspect="true"/>
                    </pic:cNvPicPr>
                  </pic:nvPicPr>
                  <pic:blipFill>
                    <a:blip r:embed="rId12"/>
                    <a:stretch>
                      <a:fillRect/>
                    </a:stretch>
                  </pic:blipFill>
                  <pic:spPr>
                    <a:xfrm>
                      <a:off x="0" y="0"/>
                      <a:ext cx="5993765" cy="7418705"/>
                    </a:xfrm>
                    <a:prstGeom prst="rect">
                      <a:avLst/>
                    </a:prstGeom>
                  </pic:spPr>
                </pic:pic>
              </a:graphicData>
            </a:graphic>
          </wp:inline>
        </w:drawing>
      </w:r>
    </w:p>
    <w:p>
      <w:pPr>
        <w:adjustRightInd w:val="0"/>
        <w:snapToGrid w:val="0"/>
        <w:spacing w:line="580" w:lineRule="atLeast"/>
        <w:rPr>
          <w:rFonts w:hint="eastAsia" w:ascii="黑体" w:hAnsi="黑体" w:eastAsia="黑体" w:cs="黑体"/>
          <w:bCs/>
          <w:szCs w:val="32"/>
          <w:lang w:eastAsia="zh-CN"/>
        </w:rPr>
      </w:pPr>
    </w:p>
    <w:p>
      <w:pPr>
        <w:numPr>
          <w:ilvl w:val="0"/>
          <w:numId w:val="1"/>
        </w:num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一般公共预算财政拨款基本支出决算明细表</w:t>
      </w:r>
    </w:p>
    <w:p>
      <w:pPr>
        <w:numPr>
          <w:ilvl w:val="0"/>
          <w:numId w:val="0"/>
        </w:numPr>
        <w:adjustRightInd w:val="0"/>
        <w:snapToGrid w:val="0"/>
        <w:spacing w:line="580" w:lineRule="atLeast"/>
        <w:rPr>
          <w:rFonts w:hint="eastAsia" w:ascii="黑体" w:hAnsi="黑体" w:eastAsia="黑体" w:cs="黑体"/>
          <w:bCs/>
          <w:szCs w:val="32"/>
        </w:rPr>
      </w:pPr>
    </w:p>
    <w:p>
      <w:pPr>
        <w:adjustRightInd w:val="0"/>
        <w:snapToGrid w:val="0"/>
        <w:spacing w:line="580" w:lineRule="atLeast"/>
        <w:rPr>
          <w:rFonts w:hint="eastAsia" w:ascii="黑体" w:hAnsi="黑体" w:eastAsia="黑体" w:cs="黑体"/>
          <w:bCs/>
          <w:szCs w:val="32"/>
          <w:lang w:eastAsia="zh-CN"/>
        </w:rPr>
      </w:pPr>
      <w:r>
        <w:rPr>
          <w:rFonts w:hint="eastAsia" w:ascii="黑体" w:hAnsi="黑体" w:eastAsia="黑体" w:cs="黑体"/>
          <w:bCs/>
          <w:szCs w:val="32"/>
          <w:lang w:eastAsia="zh-CN"/>
        </w:rPr>
        <w:drawing>
          <wp:inline distT="0" distB="0" distL="114300" distR="114300">
            <wp:extent cx="5269230" cy="6742430"/>
            <wp:effectExtent l="0" t="0" r="3810" b="8890"/>
            <wp:docPr id="10" name="图片 10" descr="0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06"/>
                    <pic:cNvPicPr>
                      <a:picLocks noChangeAspect="true"/>
                    </pic:cNvPicPr>
                  </pic:nvPicPr>
                  <pic:blipFill>
                    <a:blip r:embed="rId13"/>
                    <a:stretch>
                      <a:fillRect/>
                    </a:stretch>
                  </pic:blipFill>
                  <pic:spPr>
                    <a:xfrm>
                      <a:off x="0" y="0"/>
                      <a:ext cx="5269230" cy="6742430"/>
                    </a:xfrm>
                    <a:prstGeom prst="rect">
                      <a:avLst/>
                    </a:prstGeom>
                  </pic:spPr>
                </pic:pic>
              </a:graphicData>
            </a:graphic>
          </wp:inline>
        </w:drawing>
      </w:r>
    </w:p>
    <w:p>
      <w:pPr>
        <w:adjustRightInd w:val="0"/>
        <w:snapToGrid w:val="0"/>
        <w:spacing w:line="580" w:lineRule="atLeast"/>
        <w:rPr>
          <w:rFonts w:hint="eastAsia" w:ascii="黑体" w:hAnsi="黑体" w:eastAsia="黑体" w:cs="黑体"/>
          <w:bCs/>
          <w:szCs w:val="32"/>
          <w:lang w:eastAsia="zh-CN"/>
        </w:rPr>
      </w:pPr>
    </w:p>
    <w:p>
      <w:pPr>
        <w:adjustRightInd w:val="0"/>
        <w:snapToGrid w:val="0"/>
        <w:spacing w:line="580" w:lineRule="atLeast"/>
        <w:rPr>
          <w:rFonts w:hint="eastAsia" w:ascii="黑体" w:hAnsi="黑体" w:eastAsia="黑体" w:cs="黑体"/>
          <w:bCs/>
          <w:szCs w:val="32"/>
          <w:lang w:eastAsia="zh-CN"/>
        </w:rPr>
      </w:pPr>
    </w:p>
    <w:p>
      <w:pPr>
        <w:adjustRightInd w:val="0"/>
        <w:snapToGrid w:val="0"/>
        <w:spacing w:line="580" w:lineRule="atLeast"/>
        <w:rPr>
          <w:rFonts w:hint="eastAsia" w:ascii="黑体" w:hAnsi="黑体" w:eastAsia="黑体" w:cs="黑体"/>
          <w:bCs/>
          <w:szCs w:val="32"/>
          <w:lang w:eastAsia="zh-CN"/>
        </w:rPr>
      </w:pPr>
    </w:p>
    <w:p>
      <w:pPr>
        <w:numPr>
          <w:ilvl w:val="0"/>
          <w:numId w:val="1"/>
        </w:num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政府性基金预算财政拨款收入支出决算表</w:t>
      </w:r>
    </w:p>
    <w:p>
      <w:pPr>
        <w:adjustRightInd w:val="0"/>
        <w:snapToGrid w:val="0"/>
        <w:spacing w:line="580" w:lineRule="atLeast"/>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drawing>
          <wp:inline distT="0" distB="0" distL="114300" distR="114300">
            <wp:extent cx="5264150" cy="2628900"/>
            <wp:effectExtent l="0" t="0" r="8890" b="7620"/>
            <wp:docPr id="11" name="图片 11" descr="0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07"/>
                    <pic:cNvPicPr>
                      <a:picLocks noChangeAspect="true"/>
                    </pic:cNvPicPr>
                  </pic:nvPicPr>
                  <pic:blipFill>
                    <a:blip r:embed="rId14"/>
                    <a:stretch>
                      <a:fillRect/>
                    </a:stretch>
                  </pic:blipFill>
                  <pic:spPr>
                    <a:xfrm>
                      <a:off x="0" y="0"/>
                      <a:ext cx="5264150" cy="2628900"/>
                    </a:xfrm>
                    <a:prstGeom prst="rect">
                      <a:avLst/>
                    </a:prstGeom>
                  </pic:spPr>
                </pic:pic>
              </a:graphicData>
            </a:graphic>
          </wp:inline>
        </w:drawing>
      </w:r>
    </w:p>
    <w:p>
      <w:pPr>
        <w:adjustRightInd w:val="0"/>
        <w:snapToGrid w:val="0"/>
        <w:spacing w:line="580" w:lineRule="atLeast"/>
        <w:rPr>
          <w:rFonts w:ascii="仿宋_GB2312" w:hAnsi="仿宋_GB2312" w:cs="仿宋_GB2312"/>
          <w:szCs w:val="32"/>
        </w:rPr>
      </w:pPr>
      <w:r>
        <w:rPr>
          <w:rFonts w:hint="eastAsia" w:ascii="仿宋_GB2312" w:hAnsi="仿宋_GB2312" w:cs="仿宋_GB2312"/>
          <w:szCs w:val="32"/>
        </w:rPr>
        <w:t>说明：本单位当年无政府性基金预算财政拨款收入支出</w:t>
      </w:r>
    </w:p>
    <w:p>
      <w:pPr>
        <w:rPr>
          <w:rFonts w:ascii="仿宋_GB2312" w:hAnsi="仿宋_GB2312" w:cs="仿宋_GB2312"/>
          <w:szCs w:val="32"/>
        </w:rPr>
      </w:pPr>
    </w:p>
    <w:p>
      <w:pPr>
        <w:numPr>
          <w:ilvl w:val="0"/>
          <w:numId w:val="1"/>
        </w:num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国有资本经营预算财政拨款支出决算表</w:t>
      </w:r>
    </w:p>
    <w:p>
      <w:pPr>
        <w:adjustRightInd w:val="0"/>
        <w:snapToGrid w:val="0"/>
        <w:spacing w:line="580" w:lineRule="atLeast"/>
        <w:rPr>
          <w:rFonts w:hint="eastAsia" w:ascii="黑体" w:hAnsi="黑体" w:eastAsia="黑体" w:cs="黑体"/>
          <w:bCs/>
          <w:szCs w:val="32"/>
          <w:lang w:eastAsia="zh-CN"/>
        </w:rPr>
      </w:pPr>
      <w:r>
        <w:rPr>
          <w:rFonts w:hint="eastAsia" w:ascii="黑体" w:hAnsi="黑体" w:eastAsia="黑体" w:cs="黑体"/>
          <w:bCs/>
          <w:szCs w:val="32"/>
          <w:lang w:eastAsia="zh-CN"/>
        </w:rPr>
        <w:drawing>
          <wp:inline distT="0" distB="0" distL="114300" distR="114300">
            <wp:extent cx="5268595" cy="2369185"/>
            <wp:effectExtent l="0" t="0" r="4445" b="8255"/>
            <wp:docPr id="12" name="图片 12" descr="0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08"/>
                    <pic:cNvPicPr>
                      <a:picLocks noChangeAspect="true"/>
                    </pic:cNvPicPr>
                  </pic:nvPicPr>
                  <pic:blipFill>
                    <a:blip r:embed="rId15"/>
                    <a:stretch>
                      <a:fillRect/>
                    </a:stretch>
                  </pic:blipFill>
                  <pic:spPr>
                    <a:xfrm>
                      <a:off x="0" y="0"/>
                      <a:ext cx="5268595" cy="2369185"/>
                    </a:xfrm>
                    <a:prstGeom prst="rect">
                      <a:avLst/>
                    </a:prstGeom>
                  </pic:spPr>
                </pic:pic>
              </a:graphicData>
            </a:graphic>
          </wp:inline>
        </w:drawing>
      </w:r>
    </w:p>
    <w:p>
      <w:pPr>
        <w:adjustRightInd w:val="0"/>
        <w:snapToGrid w:val="0"/>
        <w:spacing w:line="580" w:lineRule="atLeast"/>
        <w:rPr>
          <w:rFonts w:hint="eastAsia" w:ascii="黑体" w:hAnsi="黑体" w:eastAsia="黑体" w:cs="黑体"/>
          <w:bCs/>
          <w:szCs w:val="32"/>
        </w:rPr>
      </w:pPr>
      <w:r>
        <w:rPr>
          <w:rFonts w:hint="eastAsia" w:ascii="仿宋_GB2312" w:hAnsi="仿宋_GB2312" w:cs="仿宋_GB2312"/>
          <w:szCs w:val="32"/>
        </w:rPr>
        <w:t>说明：本单位当年无国有资本经营预算财政拨款支出</w:t>
      </w:r>
    </w:p>
    <w:p>
      <w:pPr>
        <w:numPr>
          <w:ilvl w:val="0"/>
          <w:numId w:val="1"/>
        </w:num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财政拨款“三公”经费支出决算表</w:t>
      </w:r>
    </w:p>
    <w:p>
      <w:pPr>
        <w:adjustRightInd w:val="0"/>
        <w:snapToGrid w:val="0"/>
        <w:spacing w:line="580" w:lineRule="atLeast"/>
        <w:rPr>
          <w:rFonts w:hint="eastAsia" w:ascii="黑体" w:hAnsi="黑体" w:eastAsia="黑体" w:cs="黑体"/>
          <w:bCs/>
          <w:szCs w:val="32"/>
          <w:lang w:eastAsia="zh-CN"/>
        </w:rPr>
      </w:pPr>
      <w:r>
        <w:rPr>
          <w:rFonts w:hint="eastAsia" w:ascii="黑体" w:hAnsi="黑体" w:eastAsia="黑体" w:cs="黑体"/>
          <w:bCs/>
          <w:szCs w:val="32"/>
          <w:lang w:eastAsia="zh-CN"/>
        </w:rPr>
        <w:drawing>
          <wp:inline distT="0" distB="0" distL="114300" distR="114300">
            <wp:extent cx="5265420" cy="1204595"/>
            <wp:effectExtent l="0" t="0" r="7620" b="14605"/>
            <wp:docPr id="13" name="图片 13" descr="0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09"/>
                    <pic:cNvPicPr>
                      <a:picLocks noChangeAspect="true"/>
                    </pic:cNvPicPr>
                  </pic:nvPicPr>
                  <pic:blipFill>
                    <a:blip r:embed="rId16"/>
                    <a:stretch>
                      <a:fillRect/>
                    </a:stretch>
                  </pic:blipFill>
                  <pic:spPr>
                    <a:xfrm>
                      <a:off x="0" y="0"/>
                      <a:ext cx="5265420" cy="1204595"/>
                    </a:xfrm>
                    <a:prstGeom prst="rect">
                      <a:avLst/>
                    </a:prstGeom>
                  </pic:spPr>
                </pic:pic>
              </a:graphicData>
            </a:graphic>
          </wp:inline>
        </w:drawing>
      </w:r>
    </w:p>
    <w:p>
      <w:pPr>
        <w:rPr>
          <w:rFonts w:hint="eastAsia" w:ascii="黑体" w:hAnsi="黑体" w:eastAsia="黑体" w:cs="黑体"/>
          <w:szCs w:val="32"/>
        </w:rPr>
      </w:pPr>
    </w:p>
    <w:p>
      <w:pPr>
        <w:ind w:firstLine="640"/>
        <w:rPr>
          <w:rFonts w:hint="eastAsia" w:ascii="黑体" w:hAnsi="黑体" w:eastAsia="黑体" w:cs="黑体"/>
          <w:szCs w:val="32"/>
        </w:rPr>
      </w:pPr>
      <w:r>
        <w:rPr>
          <w:rFonts w:hint="eastAsia" w:ascii="黑体" w:hAnsi="黑体" w:eastAsia="黑体" w:cs="黑体"/>
          <w:szCs w:val="32"/>
        </w:rPr>
        <w:t>第三部分  2022年度部门决算情况说明</w:t>
      </w:r>
    </w:p>
    <w:p>
      <w:p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一、收入支出决算总体情况说明</w:t>
      </w:r>
    </w:p>
    <w:p>
      <w:pPr>
        <w:adjustRightInd w:val="0"/>
        <w:snapToGrid w:val="0"/>
        <w:spacing w:line="580" w:lineRule="atLeast"/>
        <w:ind w:firstLine="640" w:firstLineChars="200"/>
        <w:rPr>
          <w:rFonts w:ascii="仿宋_GB2312" w:hAnsi="宋体"/>
          <w:bCs/>
          <w:sz w:val="30"/>
          <w:szCs w:val="30"/>
        </w:rPr>
      </w:pPr>
      <w:r>
        <w:rPr>
          <w:rFonts w:hint="eastAsia" w:ascii="仿宋_GB2312" w:hAnsi="宋体"/>
          <w:bCs/>
          <w:szCs w:val="32"/>
        </w:rPr>
        <w:t>2022年度收、支总计均为720.41万元。与2021年度相比，收、支总计各增加415.63万元，增长136.37%，主要原因是2021申报的生态价值机制项目505万元未实施，今年新增企业上市奖励资金500万元。</w:t>
      </w:r>
    </w:p>
    <w:p>
      <w:pPr>
        <w:adjustRightInd w:val="0"/>
        <w:snapToGrid w:val="0"/>
        <w:spacing w:line="580" w:lineRule="atLeast"/>
        <w:jc w:val="center"/>
        <w:rPr>
          <w:rFonts w:ascii="仿宋_GB2312" w:hAnsi="宋体"/>
          <w:bCs/>
          <w:sz w:val="30"/>
          <w:szCs w:val="30"/>
        </w:rPr>
      </w:pPr>
      <w:r>
        <w:rPr>
          <w:rFonts w:hint="eastAsia" w:ascii="仿宋_GB2312" w:hAnsi="宋体"/>
          <w:bCs/>
          <w:sz w:val="30"/>
          <w:szCs w:val="30"/>
        </w:rPr>
        <w:t>图1：收、支决算总计变动情况</w:t>
      </w:r>
    </w:p>
    <w:p>
      <w:pPr>
        <w:adjustRightInd w:val="0"/>
        <w:snapToGrid w:val="0"/>
        <w:spacing w:line="580" w:lineRule="atLeast"/>
        <w:jc w:val="center"/>
        <w:rPr>
          <w:rFonts w:ascii="仿宋_GB2312" w:hAnsi="宋体"/>
          <w:bCs/>
          <w:sz w:val="30"/>
          <w:szCs w:val="30"/>
        </w:rPr>
      </w:pPr>
      <w:r>
        <w:rPr>
          <w:rFonts w:hint="eastAsia" w:ascii="仿宋_GB2312" w:hAnsi="宋体"/>
          <w:bCs/>
          <w:szCs w:val="32"/>
        </w:rPr>
        <w:object>
          <v:shape id="_x0000_i1025" o:spt="75" alt="" type="#_x0000_t75" style="height:228.9pt;width:368.1pt;" o:ole="t" filled="f" o:preferrelative="t" stroked="f" coordsize="21600,21600">
            <v:path/>
            <v:fill on="f" focussize="0,0"/>
            <v:stroke on="f"/>
            <v:imagedata r:id="rId18" o:title=""/>
            <o:lock v:ext="edit" aspectratio="t"/>
            <w10:wrap type="none"/>
            <w10:anchorlock/>
          </v:shape>
          <o:OLEObject Type="Embed" ProgID="Excel.Chart.8" ShapeID="_x0000_i1025" DrawAspect="Content" ObjectID="_1468075725" r:id="rId17">
            <o:LockedField>false</o:LockedField>
          </o:OLEObject>
        </w:object>
      </w:r>
    </w:p>
    <w:p>
      <w:p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二、收入决算情况说明</w:t>
      </w:r>
    </w:p>
    <w:p>
      <w:pPr>
        <w:rPr>
          <w:rFonts w:ascii="仿宋_GB2312" w:hAnsi="仿宋_GB2312" w:cs="仿宋_GB2312"/>
          <w:sz w:val="30"/>
          <w:szCs w:val="30"/>
        </w:rPr>
      </w:pPr>
      <w:r>
        <w:rPr>
          <w:rFonts w:hint="eastAsia" w:ascii="仿宋_GB2312" w:hAnsi="宋体"/>
          <w:bCs/>
          <w:szCs w:val="32"/>
        </w:rPr>
        <w:t xml:space="preserve">    </w:t>
      </w:r>
      <w:r>
        <w:rPr>
          <w:rFonts w:hint="eastAsia"/>
        </w:rPr>
        <w:t>2022年度收入合计720.40万元，与2021年度相比，收入合计增加415.62万元，增长136.37%。其中：财政拨款收入695.07万元，占本年收入96.48%；上级补助收入0 万元，占本年收入 0 %；事业收入0 万元，占本年收入0%；经营收入0万元，占本年收入0 %；附属单位上缴收入0万元，占本年收入0%；其他收入25.33万元，占本年收入3.52%。</w:t>
      </w:r>
    </w:p>
    <w:p>
      <w:pPr>
        <w:jc w:val="center"/>
        <w:rPr>
          <w:rFonts w:hint="eastAsia" w:ascii="仿宋_GB2312" w:hAnsi="仿宋_GB2312" w:cs="仿宋_GB2312"/>
          <w:sz w:val="30"/>
          <w:szCs w:val="30"/>
        </w:rPr>
      </w:pPr>
    </w:p>
    <w:p>
      <w:pPr>
        <w:jc w:val="center"/>
        <w:rPr>
          <w:rFonts w:ascii="仿宋_GB2312" w:hAnsi="仿宋_GB2312" w:cs="仿宋_GB2312"/>
          <w:sz w:val="30"/>
          <w:szCs w:val="30"/>
        </w:rPr>
      </w:pPr>
      <w:r>
        <w:rPr>
          <w:rFonts w:hint="eastAsia" w:ascii="仿宋_GB2312" w:hAnsi="仿宋_GB2312" w:cs="仿宋_GB2312"/>
          <w:sz w:val="30"/>
          <w:szCs w:val="30"/>
        </w:rPr>
        <w:t>图2：收入决算结构</w:t>
      </w:r>
    </w:p>
    <w:p>
      <w:pPr>
        <w:jc w:val="center"/>
      </w:pPr>
      <w:r>
        <w:drawing>
          <wp:inline distT="0" distB="0" distL="114300" distR="114300">
            <wp:extent cx="4143375" cy="2752090"/>
            <wp:effectExtent l="4445" t="4445" r="5080" b="81915"/>
            <wp:docPr id="1032" name="图表 1" descr="7b0a202020202263686172745265734964223a202232303437363038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三、支出决算情况说明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Cs/>
          <w:kern w:val="44"/>
          <w:szCs w:val="32"/>
        </w:rPr>
      </w:pPr>
      <w:r>
        <w:rPr>
          <w:bCs/>
          <w:kern w:val="44"/>
          <w:szCs w:val="32"/>
        </w:rPr>
        <w:t>2022年度支出合计</w:t>
      </w:r>
      <w:r>
        <w:rPr>
          <w:rFonts w:hint="eastAsia"/>
          <w:bCs/>
          <w:kern w:val="44"/>
          <w:szCs w:val="32"/>
        </w:rPr>
        <w:t>720.41</w:t>
      </w:r>
      <w:r>
        <w:rPr>
          <w:bCs/>
          <w:kern w:val="44"/>
          <w:szCs w:val="32"/>
        </w:rPr>
        <w:t>万元，与2021年度相比，支出合计增加</w:t>
      </w:r>
      <w:r>
        <w:rPr>
          <w:rFonts w:hint="eastAsia"/>
          <w:bCs/>
          <w:kern w:val="44"/>
          <w:szCs w:val="32"/>
        </w:rPr>
        <w:t>415.64</w:t>
      </w:r>
      <w:r>
        <w:rPr>
          <w:bCs/>
          <w:kern w:val="44"/>
          <w:szCs w:val="32"/>
        </w:rPr>
        <w:t>万元，增长</w:t>
      </w:r>
      <w:r>
        <w:rPr>
          <w:rFonts w:hint="eastAsia"/>
          <w:bCs/>
          <w:kern w:val="44"/>
          <w:szCs w:val="32"/>
        </w:rPr>
        <w:t>136.78</w:t>
      </w:r>
      <w:r>
        <w:rPr>
          <w:bCs/>
          <w:kern w:val="44"/>
          <w:szCs w:val="32"/>
        </w:rPr>
        <w:t>%。其中：基本支出</w:t>
      </w:r>
      <w:r>
        <w:rPr>
          <w:rFonts w:hint="eastAsia"/>
          <w:bCs/>
          <w:kern w:val="44"/>
          <w:szCs w:val="32"/>
        </w:rPr>
        <w:t>286.10</w:t>
      </w:r>
      <w:r>
        <w:rPr>
          <w:bCs/>
          <w:kern w:val="44"/>
          <w:szCs w:val="32"/>
        </w:rPr>
        <w:t>万元，占本年支出</w:t>
      </w:r>
      <w:r>
        <w:rPr>
          <w:rFonts w:hint="eastAsia"/>
          <w:bCs/>
          <w:kern w:val="44"/>
          <w:szCs w:val="32"/>
        </w:rPr>
        <w:t>39.71</w:t>
      </w:r>
      <w:r>
        <w:rPr>
          <w:bCs/>
          <w:kern w:val="44"/>
          <w:szCs w:val="32"/>
        </w:rPr>
        <w:t>%；项目支出</w:t>
      </w:r>
      <w:r>
        <w:rPr>
          <w:rFonts w:hint="eastAsia"/>
          <w:bCs/>
          <w:kern w:val="44"/>
          <w:szCs w:val="32"/>
        </w:rPr>
        <w:t>434.31</w:t>
      </w:r>
      <w:r>
        <w:rPr>
          <w:bCs/>
          <w:kern w:val="44"/>
          <w:szCs w:val="32"/>
        </w:rPr>
        <w:t>万元，占本年支出</w:t>
      </w:r>
      <w:r>
        <w:rPr>
          <w:rFonts w:hint="eastAsia"/>
          <w:bCs/>
          <w:kern w:val="44"/>
          <w:szCs w:val="32"/>
        </w:rPr>
        <w:t>60.29</w:t>
      </w:r>
      <w:r>
        <w:rPr>
          <w:bCs/>
          <w:kern w:val="44"/>
          <w:szCs w:val="32"/>
        </w:rPr>
        <w:t>%；上缴上级支出0万元，占本年支出0%；经营支出0万元，占本年支出0%；对附属单位补助支出0万元，占本年支出0%。</w:t>
      </w:r>
    </w:p>
    <w:p>
      <w:pPr>
        <w:jc w:val="center"/>
        <w:rPr>
          <w:rFonts w:ascii="仿宋_GB2312" w:hAnsi="仿宋_GB2312" w:cs="仿宋_GB2312"/>
          <w:color w:val="FF0000"/>
          <w:sz w:val="30"/>
          <w:szCs w:val="30"/>
        </w:rPr>
      </w:pPr>
      <w:r>
        <w:rPr>
          <w:rFonts w:hint="eastAsia" w:ascii="仿宋_GB2312" w:hAnsi="仿宋_GB2312" w:cs="仿宋_GB2312"/>
          <w:color w:val="FF0000"/>
          <w:sz w:val="30"/>
          <w:szCs w:val="30"/>
        </w:rPr>
        <w:t>图3：支出决算结构</w:t>
      </w:r>
    </w:p>
    <w:p>
      <w:pPr>
        <w:jc w:val="center"/>
      </w:pPr>
      <w:r>
        <w:rPr>
          <w:rFonts w:hint="eastAsia" w:eastAsia="仿宋_GB2312"/>
          <w:lang w:val="en-US" w:eastAsia="zh-CN"/>
        </w:rPr>
        <w:object>
          <v:shape id="_x0000_i1027" o:spt="75" alt="" type="#_x0000_t75" style="height:196.15pt;width:338.9pt;" o:ole="t" filled="f" o:preferrelative="t" stroked="f" coordsize="21600,21600">
            <v:path/>
            <v:fill on="f" focussize="0,0"/>
            <v:stroke on="f"/>
            <v:imagedata r:id="rId21" o:title=""/>
            <o:lock v:ext="edit" aspectratio="t"/>
            <w10:wrap type="none"/>
            <w10:anchorlock/>
          </v:shape>
          <o:OLEObject Type="Embed" ProgID="Excel.Chart.8" ShapeID="_x0000_i1027" DrawAspect="Content" ObjectID="_1468075726" r:id="rId20">
            <o:LockedField>false</o:LockedField>
          </o:OLEObject>
        </w:object>
      </w:r>
    </w:p>
    <w:p>
      <w:pPr>
        <w:ind w:firstLine="640" w:firstLineChars="200"/>
        <w:rPr>
          <w:rFonts w:hint="eastAsia" w:ascii="黑体" w:hAnsi="黑体" w:eastAsia="黑体" w:cs="黑体"/>
        </w:rPr>
      </w:pPr>
      <w:r>
        <w:rPr>
          <w:rFonts w:hint="eastAsia" w:ascii="黑体" w:hAnsi="黑体" w:eastAsia="黑体" w:cs="黑体"/>
        </w:rPr>
        <w:t>四、财政拨款收入支出决算总体情况说明</w:t>
      </w:r>
    </w:p>
    <w:p>
      <w:pPr>
        <w:adjustRightInd w:val="0"/>
        <w:snapToGrid w:val="0"/>
        <w:spacing w:line="580" w:lineRule="atLeast"/>
        <w:ind w:firstLine="640" w:firstLineChars="200"/>
      </w:pPr>
      <w:r>
        <w:rPr>
          <w:rFonts w:hint="eastAsia"/>
        </w:rPr>
        <w:t>2022年度财政拨款收、支总计均为695.07万元。与2021年度相比，财政拨款收、支总计各增加了398.02万元，增长133.99%。主要原因是2021申报的生态价值机制项目505万元未实施，今年新增企业上市奖励资金500万元。</w:t>
      </w:r>
    </w:p>
    <w:p>
      <w:pPr>
        <w:adjustRightInd w:val="0"/>
        <w:snapToGrid w:val="0"/>
        <w:spacing w:line="580" w:lineRule="atLeast"/>
        <w:ind w:firstLine="640" w:firstLineChars="200"/>
      </w:pPr>
      <w:r>
        <w:rPr>
          <w:rFonts w:hint="eastAsia"/>
        </w:rPr>
        <w:t>2022年度财政拨款收入中，一般公共预算财政拨款收入695.07万元，比2021年度决算数增加了418.02万元。增加主要原因是2021申报的生态价值机制项目505万元未实施，今年新增企业上市奖励资金500万元。</w:t>
      </w:r>
    </w:p>
    <w:p>
      <w:pPr>
        <w:adjustRightInd w:val="0"/>
        <w:snapToGrid w:val="0"/>
        <w:spacing w:line="580" w:lineRule="atLeast"/>
        <w:ind w:firstLine="640" w:firstLineChars="200"/>
      </w:pPr>
      <w:r>
        <w:rPr>
          <w:rFonts w:hint="eastAsia"/>
        </w:rPr>
        <w:t>政府性基金预算财政拨款收入0万元，比2021年度决算数减少20万元。减少主要原因是：本单位今年无政府性基金预算财政拨款收入。国有资本经营预算财政拨款收入0万元，比2021年度决算数增加（减少）0万元。增加（减少）主要原因是：本单位无国有资本经营预算财政拨款收入。</w:t>
      </w:r>
    </w:p>
    <w:p>
      <w:pPr>
        <w:jc w:val="center"/>
        <w:rPr>
          <w:rFonts w:ascii="仿宋_GB2312" w:hAnsi="仿宋_GB2312" w:cs="仿宋_GB2312"/>
          <w:color w:val="FF0000"/>
          <w:sz w:val="30"/>
          <w:szCs w:val="30"/>
        </w:rPr>
      </w:pPr>
      <w:r>
        <w:rPr>
          <w:rFonts w:hint="eastAsia" w:ascii="仿宋_GB2312" w:hAnsi="仿宋_GB2312" w:cs="仿宋_GB2312"/>
          <w:color w:val="FF0000"/>
          <w:sz w:val="30"/>
          <w:szCs w:val="30"/>
        </w:rPr>
        <w:t>图4：财政拨款收、支决算总计变动情况</w:t>
      </w:r>
    </w:p>
    <w:p>
      <w:pPr>
        <w:jc w:val="center"/>
      </w:pPr>
      <w:r>
        <w:rPr>
          <w:rFonts w:hint="eastAsia" w:ascii="仿宋_GB2312" w:hAnsi="宋体" w:eastAsia="仿宋_GB2312"/>
          <w:bCs/>
          <w:sz w:val="32"/>
          <w:szCs w:val="32"/>
          <w:highlight w:val="none"/>
          <w:lang w:val="en-US" w:eastAsia="zh-CN"/>
        </w:rPr>
        <w:object>
          <v:shape id="_x0000_i1028" o:spt="75" type="#_x0000_t75" style="height:164.4pt;width:367.2pt;" o:ole="t" filled="f" o:preferrelative="t" stroked="f" coordsize="21600,21600">
            <v:path/>
            <v:fill on="f" focussize="0,0"/>
            <v:stroke on="f"/>
            <v:imagedata r:id="rId23" o:title=""/>
            <o:lock v:ext="edit" aspectratio="t"/>
            <w10:wrap type="none"/>
            <w10:anchorlock/>
          </v:shape>
          <o:OLEObject Type="Embed" ProgID="Excel.Chart.8" ShapeID="_x0000_i1028" DrawAspect="Content" ObjectID="_1468075727" r:id="rId22">
            <o:LockedField>false</o:LockedField>
          </o:OLEObject>
        </w:objec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黑体" w:hAnsi="黑体" w:eastAsia="黑体" w:cs="黑体"/>
        </w:rPr>
      </w:pPr>
      <w:r>
        <w:rPr>
          <w:rFonts w:hint="eastAsia" w:ascii="黑体" w:hAnsi="黑体" w:eastAsia="黑体" w:cs="黑体"/>
        </w:rPr>
        <w:t>五、一般公共预算财政拨款支出决算情况说明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（一）一般公共预算财政拨款支出决算总体情况。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bCs/>
          <w:kern w:val="44"/>
          <w:szCs w:val="32"/>
        </w:rPr>
      </w:pPr>
      <w:r>
        <w:rPr>
          <w:bCs/>
          <w:kern w:val="44"/>
          <w:szCs w:val="32"/>
        </w:rPr>
        <w:t>2022年度一般公共预算财政拨款支出</w:t>
      </w:r>
      <w:r>
        <w:rPr>
          <w:rFonts w:hint="eastAsia"/>
          <w:bCs/>
          <w:kern w:val="44"/>
          <w:szCs w:val="32"/>
        </w:rPr>
        <w:t>695.07</w:t>
      </w:r>
      <w:r>
        <w:rPr>
          <w:bCs/>
          <w:kern w:val="44"/>
          <w:szCs w:val="32"/>
        </w:rPr>
        <w:t>万元，占本年支出合计的9</w:t>
      </w:r>
      <w:r>
        <w:rPr>
          <w:rFonts w:hint="eastAsia"/>
          <w:bCs/>
          <w:kern w:val="44"/>
          <w:szCs w:val="32"/>
        </w:rPr>
        <w:t>6.48</w:t>
      </w:r>
      <w:r>
        <w:rPr>
          <w:bCs/>
          <w:kern w:val="44"/>
          <w:szCs w:val="32"/>
        </w:rPr>
        <w:t>%。与2021年度相比，一般公共预算财政拨款支出增加</w:t>
      </w:r>
      <w:r>
        <w:rPr>
          <w:rFonts w:hint="eastAsia"/>
          <w:bCs/>
          <w:kern w:val="44"/>
          <w:szCs w:val="32"/>
        </w:rPr>
        <w:t>418.02</w:t>
      </w:r>
      <w:r>
        <w:rPr>
          <w:bCs/>
          <w:kern w:val="44"/>
          <w:szCs w:val="32"/>
        </w:rPr>
        <w:t>万元，增长</w:t>
      </w:r>
      <w:r>
        <w:rPr>
          <w:rFonts w:hint="eastAsia"/>
          <w:bCs/>
          <w:kern w:val="44"/>
          <w:szCs w:val="32"/>
        </w:rPr>
        <w:t>150.88</w:t>
      </w:r>
      <w:r>
        <w:rPr>
          <w:bCs/>
          <w:kern w:val="44"/>
          <w:szCs w:val="32"/>
        </w:rPr>
        <w:t>%。主要原因是</w:t>
      </w:r>
      <w:r>
        <w:rPr>
          <w:rFonts w:hint="eastAsia"/>
          <w:bCs/>
          <w:kern w:val="44"/>
          <w:szCs w:val="32"/>
        </w:rPr>
        <w:t>2021申报的生态价值机制项目505万元未实施，今年新增企业上市奖励资金项目500万元。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（二）一般公共预算财政拨款支出决算结构情况。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ascii="仿宋_GB2312"/>
          <w:bCs/>
          <w:kern w:val="44"/>
          <w:szCs w:val="32"/>
        </w:rPr>
      </w:pPr>
      <w:r>
        <w:rPr>
          <w:rFonts w:hint="eastAsia" w:ascii="仿宋_GB2312"/>
          <w:bCs/>
          <w:kern w:val="44"/>
          <w:szCs w:val="32"/>
        </w:rPr>
        <w:t>2022年度</w:t>
      </w:r>
      <w:r>
        <w:rPr>
          <w:rFonts w:hint="eastAsia" w:ascii="仿宋_GB2312" w:hAnsi="仿宋_GB2312" w:cs="仿宋_GB2312"/>
          <w:bCs/>
          <w:kern w:val="44"/>
          <w:szCs w:val="32"/>
        </w:rPr>
        <w:t>一般公共预算</w:t>
      </w:r>
      <w:r>
        <w:rPr>
          <w:rFonts w:hint="eastAsia" w:ascii="仿宋_GB2312"/>
          <w:bCs/>
          <w:kern w:val="44"/>
          <w:szCs w:val="32"/>
        </w:rPr>
        <w:t>财政拨款支出</w:t>
      </w:r>
      <w:r>
        <w:rPr>
          <w:rFonts w:hint="eastAsia"/>
          <w:bCs/>
          <w:kern w:val="44"/>
          <w:szCs w:val="32"/>
        </w:rPr>
        <w:t>659.07</w:t>
      </w:r>
      <w:r>
        <w:rPr>
          <w:rFonts w:hint="eastAsia" w:ascii="仿宋_GB2312"/>
          <w:bCs/>
          <w:kern w:val="44"/>
          <w:szCs w:val="32"/>
        </w:rPr>
        <w:t>万元，主要用于以下方面：</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eastAsia="仿宋"/>
          <w:szCs w:val="32"/>
        </w:rPr>
      </w:pPr>
      <w:r>
        <w:rPr>
          <w:rFonts w:hint="eastAsia" w:eastAsia="仿宋"/>
          <w:szCs w:val="32"/>
        </w:rPr>
        <w:t>1.社会保障和就业支出16.74万元，占2.41</w:t>
      </w:r>
      <w:r>
        <w:rPr>
          <w:rFonts w:eastAsia="仿宋"/>
          <w:szCs w:val="32"/>
        </w:rPr>
        <w:t>%</w:t>
      </w:r>
      <w:r>
        <w:rPr>
          <w:rFonts w:hint="eastAsia" w:eastAsia="仿宋"/>
          <w:szCs w:val="32"/>
        </w:rPr>
        <w:t>。主要是用于退休人员福利费和养老保险缴费支出。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eastAsia="仿宋"/>
          <w:szCs w:val="32"/>
        </w:rPr>
      </w:pPr>
      <w:r>
        <w:rPr>
          <w:rFonts w:hint="eastAsia" w:eastAsia="仿宋"/>
          <w:szCs w:val="32"/>
        </w:rPr>
        <w:t>2.卫生健康支出支出14.96万元，占2.15</w:t>
      </w:r>
      <w:r>
        <w:rPr>
          <w:rFonts w:eastAsia="仿宋"/>
          <w:szCs w:val="32"/>
        </w:rPr>
        <w:t>%</w:t>
      </w:r>
      <w:r>
        <w:rPr>
          <w:rFonts w:hint="eastAsia" w:eastAsia="仿宋"/>
          <w:szCs w:val="32"/>
        </w:rPr>
        <w:t>。主要是用于行政单位医疗保险。</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eastAsia="仿宋"/>
          <w:szCs w:val="32"/>
        </w:rPr>
      </w:pPr>
      <w:r>
        <w:rPr>
          <w:rFonts w:hint="eastAsia" w:eastAsia="仿宋"/>
          <w:szCs w:val="32"/>
        </w:rPr>
        <w:t>3. 金融支出644.75万元，占92.76</w:t>
      </w:r>
      <w:r>
        <w:rPr>
          <w:rFonts w:eastAsia="仿宋"/>
          <w:szCs w:val="32"/>
        </w:rPr>
        <w:t>%</w:t>
      </w:r>
      <w:r>
        <w:rPr>
          <w:rFonts w:hint="eastAsia" w:eastAsia="仿宋"/>
          <w:szCs w:val="32"/>
        </w:rPr>
        <w:t>。主要是用于金融部门行政支出和金融发展支出。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eastAsia="仿宋"/>
          <w:szCs w:val="32"/>
        </w:rPr>
      </w:pPr>
      <w:r>
        <w:rPr>
          <w:rFonts w:hint="eastAsia" w:eastAsia="仿宋"/>
          <w:szCs w:val="32"/>
        </w:rPr>
        <w:t>4.住房保障支出907.23万元，占93.26</w:t>
      </w:r>
      <w:r>
        <w:rPr>
          <w:rFonts w:eastAsia="仿宋"/>
          <w:szCs w:val="32"/>
        </w:rPr>
        <w:t>%</w:t>
      </w:r>
      <w:r>
        <w:rPr>
          <w:rFonts w:hint="eastAsia" w:eastAsia="仿宋"/>
          <w:szCs w:val="32"/>
        </w:rPr>
        <w:t>。主要是用于职工住房公积金和住房公积金管理支出。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（三）一般公共预算财政拨款支出决算具体情况。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eastAsia="仿宋"/>
          <w:szCs w:val="32"/>
        </w:rPr>
      </w:pPr>
      <w:r>
        <w:rPr>
          <w:rFonts w:hint="eastAsia" w:eastAsia="仿宋"/>
          <w:szCs w:val="32"/>
        </w:rPr>
        <w:t>2022年度一般公共预算财政拨款支出年初预算为1063.05万元，支出决算为695.07万元，完成年初预算的65.38%。其中：</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仿宋"/>
          <w:szCs w:val="32"/>
        </w:rPr>
      </w:pPr>
      <w:r>
        <w:rPr>
          <w:rFonts w:hint="eastAsia" w:eastAsia="仿宋"/>
          <w:szCs w:val="32"/>
        </w:rPr>
        <w:t>1.社会保障和就业支出(类)行政事业单位养老支出（款）机关事业单位基本养老保险缴费支出（项）。年初预算为 16.74万元，支出决算为16.74万元，完成年初预算的100%。</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eastAsia="仿宋"/>
          <w:szCs w:val="32"/>
        </w:rPr>
      </w:pPr>
      <w:r>
        <w:rPr>
          <w:rFonts w:hint="eastAsia" w:eastAsia="仿宋"/>
          <w:szCs w:val="32"/>
        </w:rPr>
        <w:t>2.卫生健康支出支出(类)行政事业单位医疗（款）行政单位医疗（项）。年初预算为14.96万元，支出决算为14.96万元，完成年初预算的100%。</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eastAsia="仿宋"/>
          <w:szCs w:val="32"/>
        </w:rPr>
      </w:pPr>
      <w:r>
        <w:rPr>
          <w:rFonts w:hint="eastAsia" w:eastAsia="仿宋"/>
          <w:szCs w:val="32"/>
        </w:rPr>
        <w:t xml:space="preserve">3.金融支出（类）金融部门行政支出（款）行政运行（项）年初预算为190.23万元，支出决算为235.78万元，完成年初预算的123.94%，支出决算数大于年初预算数的主要原因：本年追加项目支出预算。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eastAsia" w:eastAsia="仿宋"/>
          <w:szCs w:val="32"/>
        </w:rPr>
      </w:pPr>
      <w:r>
        <w:rPr>
          <w:rFonts w:hint="eastAsia" w:eastAsia="仿宋"/>
          <w:szCs w:val="32"/>
        </w:rPr>
        <w:t>4.金融支出（类）金融部门行政支出（款）一般行政管理事务（项）年初预算为100.05万元，支出决算为107.56万元，完成年初预算的107.51%，支出决算数大于年初预算数的主要原因：</w:t>
      </w:r>
      <w:r>
        <w:rPr>
          <w:rFonts w:hint="eastAsia" w:eastAsia="仿宋"/>
          <w:szCs w:val="32"/>
          <w:lang w:val="en-US" w:eastAsia="zh-CN"/>
        </w:rPr>
        <w:t>支出包含上年结余资金。</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eastAsia="仿宋"/>
          <w:szCs w:val="32"/>
        </w:rPr>
      </w:pPr>
      <w:r>
        <w:rPr>
          <w:rFonts w:hint="eastAsia" w:eastAsia="仿宋"/>
          <w:szCs w:val="32"/>
        </w:rPr>
        <w:t>5.金融支出（类）金融发展支出（款）其他金融发展支出（项）年初预算为532万元，支出决算为301.40万元，完成年初预算的56.65%，支出决算数小于年初预算数的主要原因：企业上市项目很多企业没有达到奖励的标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eastAsia="仿宋"/>
          <w:szCs w:val="32"/>
        </w:rPr>
      </w:pPr>
      <w:r>
        <w:rPr>
          <w:rFonts w:hint="eastAsia" w:eastAsia="仿宋"/>
          <w:szCs w:val="32"/>
        </w:rPr>
        <w:t>6.住房保障支出（类）城乡社区住宅（款）住房公积金（项）。年初预算为18.63万元，支出决算为18.63万元，完成年初预算的100%。</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pPr>
      <w:r>
        <w:rPr>
          <w:rFonts w:hint="eastAsia" w:ascii="黑体" w:hAnsi="黑体" w:eastAsia="黑体" w:cs="黑体"/>
        </w:rPr>
        <w:t>六、一般公共预算财政拨款基本支出决算情况说明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pPr>
      <w:r>
        <w:rPr>
          <w:rFonts w:hint="eastAsia"/>
        </w:rPr>
        <w:t>2022年度一般公共预算财政拨款基本支出286.11万元，其中：</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pPr>
      <w:r>
        <w:t>人员经费</w:t>
      </w:r>
      <w:r>
        <w:rPr>
          <w:rFonts w:hint="eastAsia"/>
        </w:rPr>
        <w:t>251.20</w:t>
      </w:r>
      <w:r>
        <w:t>万元，主要包括：基本工资</w:t>
      </w:r>
      <w:r>
        <w:rPr>
          <w:rFonts w:hint="eastAsia"/>
        </w:rPr>
        <w:t>61.02</w:t>
      </w:r>
      <w:r>
        <w:t>万元、津贴补贴</w:t>
      </w:r>
      <w:r>
        <w:rPr>
          <w:rFonts w:hint="eastAsia"/>
        </w:rPr>
        <w:t>110.91</w:t>
      </w:r>
      <w:r>
        <w:t>万元、奖金</w:t>
      </w:r>
      <w:r>
        <w:rPr>
          <w:rFonts w:hint="eastAsia"/>
        </w:rPr>
        <w:t>28.95</w:t>
      </w:r>
      <w:r>
        <w:t>万元、机关事业单位基本养老保险缴费</w:t>
      </w:r>
      <w:r>
        <w:rPr>
          <w:rFonts w:hint="eastAsia"/>
        </w:rPr>
        <w:t>13.48</w:t>
      </w:r>
      <w:r>
        <w:t>万元、</w:t>
      </w:r>
      <w:r>
        <w:rPr>
          <w:rFonts w:hint="eastAsia"/>
        </w:rPr>
        <w:t>职业年金缴费3.26万元、</w:t>
      </w:r>
      <w:r>
        <w:t>职工基本医疗保险缴费</w:t>
      </w:r>
      <w:r>
        <w:rPr>
          <w:rFonts w:hint="eastAsia"/>
        </w:rPr>
        <w:t>9.73</w:t>
      </w:r>
      <w:r>
        <w:t>万元、公务员医疗补助缴费</w:t>
      </w:r>
      <w:r>
        <w:rPr>
          <w:rFonts w:hint="eastAsia"/>
        </w:rPr>
        <w:t>5.23</w:t>
      </w:r>
      <w:r>
        <w:t>万元、住房公积金</w:t>
      </w:r>
      <w:r>
        <w:rPr>
          <w:rFonts w:hint="eastAsia"/>
        </w:rPr>
        <w:t>18.63</w:t>
      </w:r>
      <w:r>
        <w:t>万元。</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pPr>
      <w:r>
        <w:rPr>
          <w:rFonts w:hint="eastAsia"/>
        </w:rPr>
        <w:t>公用经费34.91万元，主要包括：办公费6.79万元、印刷费0.34万元、水费0.09万元、电费2.4万元、物业管理费0.20万元、差旅费0.73万元、维修（护）费0.08万元、会议费0.50万元、公务接待费0.37万元、劳务费1.58万元、工会经费0.29万元、福利费9.72万元、其他交通费用8.57万元、税金及附加费用0.10万元、其他商品和服务支出3.05万元、资本性支出0.10万元。</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黑体" w:hAnsi="黑体" w:eastAsia="黑体" w:cs="黑体"/>
          <w:szCs w:val="32"/>
        </w:rPr>
      </w:pPr>
      <w:r>
        <w:rPr>
          <w:rFonts w:hint="eastAsia" w:ascii="黑体" w:hAnsi="黑体" w:eastAsia="黑体" w:cs="黑体"/>
        </w:rPr>
        <w:t xml:space="preserve">七、政府性基金预算财政拨款收入支出决算情况说明 </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pPr>
      <w:r>
        <w:rPr>
          <w:rFonts w:hint="eastAsia"/>
        </w:rPr>
        <w:t>2022年度政府性基金预算财政拨款年初结转和结余0万元，本年收入0万元，本年支出0万元，年末结转和结余0万元。具体支出情况为：本单位当年无政府性基金预算财政拨款收入支出。</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黑体" w:hAnsi="黑体" w:eastAsia="黑体" w:cs="黑体"/>
        </w:rPr>
      </w:pPr>
      <w:r>
        <w:rPr>
          <w:rFonts w:hint="eastAsia" w:ascii="黑体" w:hAnsi="黑体" w:eastAsia="黑体" w:cs="黑体"/>
        </w:rPr>
        <w:t>八、国有资本经营预算财政拨款支出决算情况说明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ascii="仿宋_GB2312" w:hAnsi="仿宋_GB2312" w:cs="仿宋_GB2312"/>
          <w:szCs w:val="32"/>
        </w:rPr>
      </w:pPr>
      <w:r>
        <w:rPr>
          <w:rFonts w:hint="eastAsia" w:ascii="仿宋_GB2312" w:hAnsi="仿宋_GB2312" w:cs="仿宋_GB2312"/>
          <w:szCs w:val="32"/>
        </w:rPr>
        <w:t>2022年度国有资本经营预算财政拨款本年支出0万元。具体支出情况为：本单位当年无国有资本经营预算财政拨款支出。</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黑体" w:hAnsi="黑体" w:eastAsia="黑体" w:cs="黑体"/>
        </w:rPr>
      </w:pPr>
      <w:r>
        <w:rPr>
          <w:rFonts w:hint="eastAsia" w:ascii="黑体" w:hAnsi="黑体" w:eastAsia="黑体" w:cs="黑体"/>
        </w:rPr>
        <w:t xml:space="preserve">九、财政拨款“三公”经费支出决算情况说明 </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（一）“三公”经费财政拨款支出决算总体情况说明。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pPr>
      <w:r>
        <w:rPr>
          <w:rFonts w:hint="eastAsia" w:ascii="仿宋_GB2312" w:hAnsi="仿宋_GB2312" w:cs="仿宋_GB2312"/>
        </w:rPr>
        <w:t>2022年度“三公”经费财政拨款支出预算为</w:t>
      </w:r>
      <w:r>
        <w:t>1</w:t>
      </w:r>
      <w:r>
        <w:rPr>
          <w:rFonts w:hint="eastAsia"/>
        </w:rPr>
        <w:t>.5</w:t>
      </w:r>
      <w:r>
        <w:t>万元，支出决算为</w:t>
      </w:r>
      <w:r>
        <w:rPr>
          <w:rFonts w:hint="eastAsia"/>
        </w:rPr>
        <w:t>0.37</w:t>
      </w:r>
      <w:r>
        <w:t>万元，完成预算的</w:t>
      </w:r>
      <w:r>
        <w:rPr>
          <w:rFonts w:hint="eastAsia"/>
        </w:rPr>
        <w:t>24.67</w:t>
      </w:r>
      <w:r>
        <w:t>%。较上年</w:t>
      </w:r>
      <w:r>
        <w:rPr>
          <w:rFonts w:hint="eastAsia"/>
        </w:rPr>
        <w:t>减少0.8</w:t>
      </w:r>
      <w:r>
        <w:t>万元，</w:t>
      </w:r>
      <w:r>
        <w:rPr>
          <w:rFonts w:hint="eastAsia"/>
        </w:rPr>
        <w:t>减少216.22</w:t>
      </w:r>
      <w:r>
        <w:t>%。决算数小于预算数的主要原因：当年受疫情影响减少了公务接待的活动。</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（二）“三公”经费财政拨款支出决算具体情况说明。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pPr>
      <w:r>
        <w:t>1.因公出国(境)费预算为0万元，支出决算为0万元，完成预算的0%。决算数较上年增加（减少）0 万元，增长（下降） 0%。决算数小于（大于）预算数的主要原因：近年来我中心未发生因公出国（境）的业务，故不存在该费用支出。决算数较上年增加（减少）的主要原因：无该项业务。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pPr>
      <w:r>
        <w:t>全年支出涉及出国（境）团组0个，累计0人次，主要用于开展以下工作：无该项业务。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pPr>
      <w:r>
        <w:t>2.公务用车购置及运行费预算为0万元，支出决算为0万元，完成预算的0%；决算数较上年增加（减少）0万元，增长（下降）0%。决算数小于（大于）预算数的主要原因：无变化。决算数较上年增加（减少）的主要原因：无变化。其中：</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pPr>
      <w:r>
        <w:t>(1)公务用车购置费支出0万元，主要是：无该项业务。本年度购置(更新)公务用车0辆。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pPr>
      <w:r>
        <w:t>(2)公务用车运行费支出0万元，主要用于：无该项业务。截至2022年12月31日，开支财政拨款的公务用车保有量为0辆。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pPr>
      <w:r>
        <w:t>3.公务接待费预算为</w:t>
      </w:r>
      <w:r>
        <w:rPr>
          <w:rFonts w:hint="eastAsia"/>
        </w:rPr>
        <w:t>1.5</w:t>
      </w:r>
      <w:r>
        <w:t>万元，支出决算为0.3</w:t>
      </w:r>
      <w:r>
        <w:rPr>
          <w:rFonts w:hint="eastAsia"/>
        </w:rPr>
        <w:t>7</w:t>
      </w:r>
      <w:r>
        <w:t>万元，完成预算的</w:t>
      </w:r>
      <w:r>
        <w:rPr>
          <w:rFonts w:hint="eastAsia"/>
        </w:rPr>
        <w:t>24.67</w:t>
      </w:r>
      <w:r>
        <w:t>%，决算数较上年</w:t>
      </w:r>
      <w:r>
        <w:rPr>
          <w:rFonts w:hint="eastAsia"/>
        </w:rPr>
        <w:t>减少0.8</w:t>
      </w:r>
      <w:r>
        <w:t>万元，</w:t>
      </w:r>
      <w:r>
        <w:rPr>
          <w:rFonts w:hint="eastAsia"/>
        </w:rPr>
        <w:t>减少216.22</w:t>
      </w:r>
      <w:r>
        <w:t>%。决算数小于预算数的主要原因：当年受疫情影响减少了公务接待的活动。其中：</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pPr>
      <w:r>
        <w:t>外宾接待支出0万元，主要是开展：无此项工作。2021年共接待来访团组0个，0 人次（不包括陪同人员）。来访对象主要是：无该项业务支出。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szCs w:val="32"/>
        </w:rPr>
      </w:pPr>
      <w:r>
        <w:t>国内公务接待支出0.3</w:t>
      </w:r>
      <w:r>
        <w:rPr>
          <w:rFonts w:hint="eastAsia"/>
        </w:rPr>
        <w:t>7</w:t>
      </w:r>
      <w:r>
        <w:t>万元，接待对象主要是省社科联开展相关活动</w:t>
      </w:r>
      <w:r>
        <w:rPr>
          <w:rFonts w:hint="eastAsia"/>
        </w:rPr>
        <w:t>、十堰市公共资源交易中心赴鄂州调研生态价值工程接待、招待河南格威特环保发展有限公司到鄂州考察接待费用</w:t>
      </w:r>
      <w:r>
        <w:t>。2022年共接待国内来访团组</w:t>
      </w:r>
      <w:r>
        <w:rPr>
          <w:rFonts w:hint="eastAsia"/>
        </w:rPr>
        <w:t>5</w:t>
      </w:r>
      <w:r>
        <w:t>个，</w:t>
      </w:r>
      <w:r>
        <w:rPr>
          <w:rFonts w:hint="eastAsia"/>
        </w:rPr>
        <w:t>40</w:t>
      </w:r>
      <w:r>
        <w:t>人次（不包括陪同人员）。</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黑体" w:hAnsi="黑体" w:eastAsia="黑体" w:cs="黑体"/>
        </w:rPr>
      </w:pPr>
      <w:r>
        <w:rPr>
          <w:rFonts w:hint="eastAsia" w:ascii="黑体" w:hAnsi="黑体" w:eastAsia="黑体" w:cs="黑体"/>
        </w:rPr>
        <w:t>十、机关运行经费支出说明</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ascii="仿宋_GB2312" w:eastAsia="仿宋_GB2312"/>
          <w:szCs w:val="32"/>
        </w:rPr>
      </w:pPr>
      <w:r>
        <w:rPr>
          <w:rFonts w:hint="eastAsia" w:ascii="仿宋_GB2312" w:eastAsia="仿宋_GB2312"/>
          <w:szCs w:val="32"/>
        </w:rPr>
        <w:t>鄂州市地方金融工作局2022年度机关运行经费支出34.91万元，比上年决算数增加11.99万元，增长52.31%。主要原因是：2022年度比2021年度增加3人。</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黑体" w:hAnsi="黑体" w:eastAsia="黑体" w:cs="黑体"/>
        </w:rPr>
      </w:pPr>
      <w:r>
        <w:rPr>
          <w:rFonts w:hint="eastAsia" w:ascii="黑体" w:hAnsi="黑体" w:eastAsia="黑体" w:cs="黑体"/>
        </w:rPr>
        <w:t>十一、政府采购支出说明</w:t>
      </w:r>
    </w:p>
    <w:p>
      <w:pPr>
        <w:keepNext w:val="0"/>
        <w:keepLines w:val="0"/>
        <w:pageBreakBefore w:val="0"/>
        <w:widowControl w:val="0"/>
        <w:kinsoku/>
        <w:wordWrap/>
        <w:overflowPunct/>
        <w:topLinePunct w:val="0"/>
        <w:autoSpaceDE/>
        <w:autoSpaceDN/>
        <w:bidi w:val="0"/>
        <w:spacing w:line="580" w:lineRule="exact"/>
        <w:ind w:left="0" w:leftChars="0" w:firstLine="380" w:firstLineChars="200"/>
        <w:textAlignment w:val="auto"/>
        <w:rPr>
          <w:rFonts w:hint="eastAsia" w:ascii="仿宋_GB2312" w:hAnsi="仿宋" w:eastAsia="仿宋_GB2312" w:cs="宋体"/>
          <w:szCs w:val="32"/>
          <w:lang w:eastAsia="zh-CN"/>
        </w:rPr>
      </w:pPr>
      <w:r>
        <w:rPr>
          <w:rFonts w:hint="eastAsia"/>
          <w:color w:val="333333"/>
          <w:sz w:val="19"/>
          <w:szCs w:val="19"/>
        </w:rPr>
        <w:t>　</w:t>
      </w:r>
      <w:r>
        <w:rPr>
          <w:rFonts w:hint="eastAsia" w:ascii="仿宋_GB2312" w:hAnsi="仿宋" w:eastAsia="仿宋_GB2312" w:cs="宋体"/>
          <w:kern w:val="2"/>
          <w:sz w:val="32"/>
          <w:szCs w:val="32"/>
          <w:lang w:val="en-US" w:eastAsia="zh-CN" w:bidi="ar-SA"/>
        </w:rPr>
        <w:t>本部门2022年度政府采购支出总额26.59万元，其中：政府采购货物支出26.59万元、政府采购工程支出 0 万元、政府采购服务支出 0 万元。授予中小企业合同金额 26.59 万元，占政府采购支出总额的 100%，其中：授予小微企业合同金额26.59万元，占授予中小企业合同金额的100%；货物采购授予中小企业合同金额占货物支出金额的100%。</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黑体" w:hAnsi="黑体" w:eastAsia="黑体" w:cs="黑体"/>
        </w:rPr>
      </w:pPr>
      <w:r>
        <w:rPr>
          <w:rFonts w:hint="eastAsia" w:ascii="黑体" w:hAnsi="黑体" w:eastAsia="黑体" w:cs="黑体"/>
        </w:rPr>
        <w:t>十二、国有资产占用情况说明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szCs w:val="32"/>
        </w:rPr>
      </w:pPr>
      <w:r>
        <w:rPr>
          <w:szCs w:val="32"/>
        </w:rPr>
        <w:t>截至2022年 12月31日，部门共有车辆0 辆，其中，副省级及以上领导干部用车 0 辆、主要领导干部用车0辆、机要通信用车0 辆、应急保障用车0 辆、执法执勤用车0 辆、特种专业技术用车0辆、其他用车0辆，其他用车主要是：无其他用车；单位价值 100万元以上设备（不含车辆）0台（套）。</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黑体" w:hAnsi="黑体" w:eastAsia="黑体" w:cs="黑体"/>
        </w:rPr>
      </w:pPr>
      <w:r>
        <w:rPr>
          <w:rFonts w:hint="eastAsia" w:ascii="黑体" w:hAnsi="黑体" w:eastAsia="黑体" w:cs="黑体"/>
        </w:rPr>
        <w:t>十三、预算绩效情况说明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(一)预算绩效管理工作开展情况。</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ascii="仿宋_GB2312" w:cs="仿宋_GB2312"/>
          <w:szCs w:val="32"/>
        </w:rPr>
      </w:pPr>
      <w:r>
        <w:rPr>
          <w:rFonts w:eastAsia="仿宋"/>
          <w:szCs w:val="32"/>
        </w:rPr>
        <w:t>根据预算绩效管理要求，我</w:t>
      </w:r>
      <w:r>
        <w:rPr>
          <w:rFonts w:hint="eastAsia" w:eastAsia="仿宋"/>
          <w:szCs w:val="32"/>
        </w:rPr>
        <w:t>单位</w:t>
      </w:r>
      <w:r>
        <w:rPr>
          <w:rFonts w:eastAsia="仿宋"/>
          <w:szCs w:val="32"/>
        </w:rPr>
        <w:t>组织对202</w:t>
      </w:r>
      <w:r>
        <w:rPr>
          <w:rFonts w:hint="eastAsia" w:eastAsia="仿宋"/>
          <w:szCs w:val="32"/>
        </w:rPr>
        <w:t>2</w:t>
      </w:r>
      <w:r>
        <w:rPr>
          <w:rFonts w:eastAsia="仿宋"/>
          <w:szCs w:val="32"/>
        </w:rPr>
        <w:t>年度一般公共预算项目支出全面开展绩效自评，共涉及项目</w:t>
      </w:r>
      <w:r>
        <w:rPr>
          <w:rFonts w:hint="eastAsia" w:eastAsia="仿宋"/>
          <w:szCs w:val="32"/>
        </w:rPr>
        <w:t>2</w:t>
      </w:r>
      <w:r>
        <w:rPr>
          <w:rFonts w:eastAsia="仿宋"/>
          <w:szCs w:val="32"/>
        </w:rPr>
        <w:t>个，资金</w:t>
      </w:r>
      <w:r>
        <w:rPr>
          <w:rFonts w:hint="eastAsia" w:eastAsia="仿宋"/>
          <w:szCs w:val="32"/>
        </w:rPr>
        <w:t>593.56</w:t>
      </w:r>
      <w:r>
        <w:rPr>
          <w:rFonts w:eastAsia="仿宋"/>
          <w:szCs w:val="32"/>
        </w:rPr>
        <w:t>万元</w:t>
      </w:r>
      <w:r>
        <w:rPr>
          <w:rFonts w:hint="eastAsia" w:eastAsia="仿宋"/>
          <w:szCs w:val="32"/>
        </w:rPr>
        <w:t>。</w:t>
      </w:r>
      <w:r>
        <w:rPr>
          <w:rFonts w:eastAsia="仿宋"/>
          <w:szCs w:val="32"/>
        </w:rPr>
        <w:t>从评价情况来看，结合项目整体绩效</w:t>
      </w:r>
      <w:r>
        <w:rPr>
          <w:rFonts w:eastAsia="仿宋"/>
          <w:sz w:val="30"/>
          <w:szCs w:val="30"/>
        </w:rPr>
        <w:t>项目基本情况、绩效目标、资金管理情况、项目组织实施情况、绩效目标完成情况，</w:t>
      </w:r>
      <w:r>
        <w:rPr>
          <w:rFonts w:hint="eastAsia" w:ascii="仿宋_GB2312" w:cs="仿宋_GB2312"/>
          <w:szCs w:val="32"/>
        </w:rPr>
        <w:t>预算执行严谨，预算管理规范，资金效益合乎预期。</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仿宋_GB2312" w:hAnsi="仿宋" w:cs="仿宋"/>
          <w:szCs w:val="32"/>
        </w:rPr>
      </w:pPr>
      <w:r>
        <w:rPr>
          <w:rFonts w:hint="eastAsia" w:ascii="仿宋_GB2312" w:hAnsi="仿宋" w:cs="仿宋"/>
          <w:szCs w:val="32"/>
        </w:rPr>
        <w:t>组织开展部门整体支出绩效评价，评价情况来看：整体支出资金严格按照相关法律法规、规范性文件进行支出，产出情况良好，各项工作在预定的时间内及时实施，绝大部分指标都达到了年初设定的目标值。</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仿宋_GB2312" w:hAnsi="仿宋" w:eastAsia="仿宋_GB2312" w:cs="仿宋"/>
          <w:szCs w:val="32"/>
          <w:lang w:eastAsia="zh-CN"/>
        </w:rPr>
      </w:pPr>
      <w:r>
        <w:rPr>
          <w:rFonts w:hint="eastAsia" w:ascii="仿宋_GB2312" w:hAnsi="仿宋" w:cs="仿宋"/>
          <w:szCs w:val="32"/>
        </w:rPr>
        <w:t>《2022年度</w:t>
      </w:r>
      <w:r>
        <w:rPr>
          <w:rFonts w:hint="eastAsia" w:ascii="仿宋_GB2312" w:hAnsi="仿宋" w:cs="仿宋"/>
          <w:szCs w:val="32"/>
          <w:lang w:eastAsia="zh-CN"/>
        </w:rPr>
        <w:t>鄂州市地方金融工作局</w:t>
      </w:r>
      <w:r>
        <w:rPr>
          <w:rFonts w:hint="eastAsia" w:ascii="仿宋_GB2312" w:hAnsi="仿宋" w:cs="仿宋"/>
          <w:szCs w:val="32"/>
        </w:rPr>
        <w:t>整体绩效自评结果》的摘要版和《2022年度</w:t>
      </w:r>
      <w:r>
        <w:rPr>
          <w:rFonts w:hint="eastAsia" w:ascii="仿宋_GB2312" w:hAnsi="仿宋" w:cs="仿宋"/>
          <w:szCs w:val="32"/>
          <w:lang w:eastAsia="zh-CN"/>
        </w:rPr>
        <w:t>鄂州市地方金融工作局整体</w:t>
      </w:r>
      <w:r>
        <w:rPr>
          <w:rFonts w:hint="eastAsia" w:ascii="仿宋_GB2312" w:hAnsi="仿宋" w:cs="仿宋"/>
          <w:szCs w:val="32"/>
        </w:rPr>
        <w:t>部门自评表》</w:t>
      </w:r>
      <w:r>
        <w:rPr>
          <w:rFonts w:hint="eastAsia" w:ascii="仿宋_GB2312" w:hAnsi="仿宋" w:cs="仿宋"/>
          <w:szCs w:val="32"/>
          <w:lang w:eastAsia="zh-CN"/>
        </w:rPr>
        <w:t>详见</w:t>
      </w:r>
      <w:r>
        <w:rPr>
          <w:rFonts w:hint="eastAsia" w:ascii="仿宋_GB2312" w:hAnsi="仿宋" w:cs="仿宋"/>
          <w:szCs w:val="32"/>
        </w:rPr>
        <w:t>附件</w:t>
      </w:r>
      <w:r>
        <w:rPr>
          <w:rFonts w:hint="eastAsia" w:ascii="仿宋_GB2312" w:hAnsi="仿宋" w:cs="仿宋"/>
          <w:szCs w:val="32"/>
          <w:lang w:eastAsia="zh-CN"/>
        </w:rPr>
        <w:t>。</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ascii="仿宋_GB2312" w:hAnsi="仿宋_GB2312" w:eastAsia="仿宋_GB2312" w:cs="仿宋_GB2312"/>
          <w:szCs w:val="32"/>
        </w:rPr>
      </w:pPr>
      <w:r>
        <w:rPr>
          <w:rFonts w:hint="eastAsia" w:ascii="楷体_GB2312" w:hAnsi="楷体_GB2312" w:eastAsia="楷体_GB2312" w:cs="楷体_GB2312"/>
          <w:szCs w:val="32"/>
        </w:rPr>
        <w:t>（二）部门决算中项目绩效自评结果。</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eastAsia="仿宋"/>
          <w:szCs w:val="32"/>
        </w:rPr>
      </w:pPr>
      <w:r>
        <w:rPr>
          <w:rFonts w:hint="eastAsia" w:ascii="仿宋_GB2312" w:hAnsi="宋体" w:cs="仿宋_GB2312"/>
          <w:kern w:val="0"/>
        </w:rPr>
        <w:t>地方金融改革发展专项经费</w:t>
      </w:r>
      <w:r>
        <w:rPr>
          <w:rFonts w:eastAsia="仿宋"/>
          <w:szCs w:val="32"/>
        </w:rPr>
        <w:t>项目绩效自评综述：项目全年预算数为</w:t>
      </w:r>
      <w:r>
        <w:rPr>
          <w:rFonts w:hint="eastAsia" w:eastAsia="仿宋"/>
          <w:szCs w:val="32"/>
        </w:rPr>
        <w:t>99.16</w:t>
      </w:r>
      <w:r>
        <w:rPr>
          <w:rFonts w:eastAsia="仿宋"/>
          <w:szCs w:val="32"/>
        </w:rPr>
        <w:t>万元，执行数为</w:t>
      </w:r>
      <w:r>
        <w:rPr>
          <w:rFonts w:hint="eastAsia" w:eastAsia="仿宋"/>
          <w:szCs w:val="32"/>
        </w:rPr>
        <w:t>93.56</w:t>
      </w:r>
      <w:r>
        <w:rPr>
          <w:rFonts w:eastAsia="仿宋"/>
          <w:szCs w:val="32"/>
        </w:rPr>
        <w:t>万元，完成预算</w:t>
      </w:r>
      <w:r>
        <w:rPr>
          <w:rFonts w:hint="eastAsia" w:eastAsia="仿宋"/>
          <w:szCs w:val="32"/>
        </w:rPr>
        <w:t>94.35</w:t>
      </w:r>
      <w:r>
        <w:rPr>
          <w:rFonts w:eastAsia="仿宋"/>
          <w:szCs w:val="32"/>
        </w:rPr>
        <w:t>％。</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eastAsia="仿宋"/>
          <w:szCs w:val="32"/>
        </w:rPr>
      </w:pPr>
      <w:r>
        <w:rPr>
          <w:rFonts w:eastAsia="仿宋"/>
          <w:szCs w:val="32"/>
        </w:rPr>
        <w:t>主要产出和效益：一是数量指标</w:t>
      </w:r>
      <w:r>
        <w:rPr>
          <w:rFonts w:hint="eastAsia" w:eastAsia="仿宋"/>
          <w:szCs w:val="32"/>
        </w:rPr>
        <w:t>当年完成编印宣传材料数量10000个</w:t>
      </w:r>
      <w:r>
        <w:rPr>
          <w:rFonts w:eastAsia="仿宋"/>
          <w:szCs w:val="32"/>
        </w:rPr>
        <w:t>；</w:t>
      </w:r>
      <w:r>
        <w:rPr>
          <w:rFonts w:hint="eastAsia" w:eastAsia="仿宋"/>
          <w:szCs w:val="32"/>
        </w:rPr>
        <w:t>举办宣传活动次数8次</w:t>
      </w:r>
      <w:r>
        <w:rPr>
          <w:rFonts w:eastAsia="仿宋"/>
          <w:szCs w:val="32"/>
        </w:rPr>
        <w:t>，</w:t>
      </w:r>
      <w:r>
        <w:rPr>
          <w:rFonts w:hint="eastAsia" w:eastAsia="仿宋"/>
          <w:szCs w:val="32"/>
        </w:rPr>
        <w:t>二是</w:t>
      </w:r>
      <w:r>
        <w:rPr>
          <w:rFonts w:eastAsia="仿宋"/>
          <w:szCs w:val="32"/>
        </w:rPr>
        <w:t>质量指标</w:t>
      </w:r>
      <w:r>
        <w:rPr>
          <w:rFonts w:hint="eastAsia" w:eastAsia="仿宋"/>
          <w:szCs w:val="32"/>
        </w:rPr>
        <w:t>不良贷款降比率降低</w:t>
      </w:r>
      <w:r>
        <w:rPr>
          <w:rFonts w:eastAsia="仿宋"/>
          <w:szCs w:val="32"/>
        </w:rPr>
        <w:t>；</w:t>
      </w:r>
      <w:r>
        <w:rPr>
          <w:rFonts w:hint="eastAsia" w:eastAsia="仿宋"/>
          <w:szCs w:val="32"/>
        </w:rPr>
        <w:t>三</w:t>
      </w:r>
      <w:r>
        <w:rPr>
          <w:rFonts w:eastAsia="仿宋"/>
          <w:szCs w:val="32"/>
        </w:rPr>
        <w:t>是</w:t>
      </w:r>
      <w:r>
        <w:rPr>
          <w:rFonts w:hint="eastAsia" w:eastAsia="仿宋"/>
          <w:szCs w:val="32"/>
        </w:rPr>
        <w:t>成本指标</w:t>
      </w:r>
      <w:r>
        <w:rPr>
          <w:rFonts w:eastAsia="仿宋"/>
          <w:szCs w:val="32"/>
        </w:rPr>
        <w:t>，</w:t>
      </w:r>
      <w:r>
        <w:rPr>
          <w:rFonts w:hint="eastAsia" w:eastAsia="仿宋"/>
          <w:szCs w:val="32"/>
        </w:rPr>
        <w:t>场地租赁成本3.5万元</w:t>
      </w:r>
      <w:r>
        <w:rPr>
          <w:rFonts w:eastAsia="仿宋"/>
          <w:szCs w:val="32"/>
        </w:rPr>
        <w:t>；</w:t>
      </w:r>
      <w:r>
        <w:rPr>
          <w:rFonts w:hint="eastAsia" w:eastAsia="仿宋"/>
          <w:szCs w:val="32"/>
        </w:rPr>
        <w:t>四是</w:t>
      </w:r>
      <w:r>
        <w:rPr>
          <w:rFonts w:eastAsia="仿宋"/>
          <w:szCs w:val="32"/>
        </w:rPr>
        <w:t>服务对象满意度</w:t>
      </w:r>
      <w:r>
        <w:rPr>
          <w:rFonts w:hint="eastAsia" w:eastAsia="仿宋"/>
          <w:szCs w:val="32"/>
        </w:rPr>
        <w:t>受益人员</w:t>
      </w:r>
      <w:r>
        <w:rPr>
          <w:rFonts w:eastAsia="仿宋"/>
          <w:szCs w:val="32"/>
        </w:rPr>
        <w:t>满意度98%。</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eastAsia="仿宋"/>
          <w:szCs w:val="32"/>
        </w:rPr>
      </w:pPr>
      <w:r>
        <w:rPr>
          <w:rFonts w:eastAsia="仿宋"/>
          <w:szCs w:val="32"/>
        </w:rPr>
        <w:t>下一步改进措施：</w:t>
      </w:r>
      <w:r>
        <w:rPr>
          <w:rFonts w:hint="eastAsia" w:ascii="仿宋_GB2312" w:hAnsi="宋体"/>
          <w:kern w:val="0"/>
        </w:rPr>
        <w:t>根据湖北省金融生态建设领导小组办</w:t>
      </w:r>
      <w:r>
        <w:rPr>
          <w:rFonts w:hint="eastAsia" w:eastAsia="仿宋"/>
          <w:szCs w:val="32"/>
        </w:rPr>
        <w:t>公室《关于安排信用环境建设经费并纳入市级财政预算的函》及关于印发鄂州市非法集资举报奖励实施细则的通知文件，创建良好的金融生态环境，由办公室定期对部门开展考核，了解各部门目标任务完成情况，并督促各科室积极开展培训活动，为全市实体经济创造优良的金融营商环境。</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eastAsia="仿宋"/>
          <w:szCs w:val="32"/>
        </w:rPr>
      </w:pPr>
      <w:r>
        <w:rPr>
          <w:rFonts w:hint="eastAsia" w:eastAsia="仿宋"/>
          <w:szCs w:val="32"/>
        </w:rPr>
        <w:t xml:space="preserve"> 企业上市奖励资金</w:t>
      </w:r>
      <w:r>
        <w:rPr>
          <w:rFonts w:eastAsia="仿宋"/>
          <w:szCs w:val="32"/>
        </w:rPr>
        <w:t>自评综述：项目全年预算数为</w:t>
      </w:r>
      <w:r>
        <w:rPr>
          <w:rFonts w:hint="eastAsia" w:eastAsia="仿宋"/>
          <w:szCs w:val="32"/>
        </w:rPr>
        <w:t>500</w:t>
      </w:r>
      <w:r>
        <w:rPr>
          <w:rFonts w:eastAsia="仿宋"/>
          <w:szCs w:val="32"/>
        </w:rPr>
        <w:t>万元，执行数为</w:t>
      </w:r>
      <w:r>
        <w:rPr>
          <w:rFonts w:hint="eastAsia" w:eastAsia="仿宋"/>
          <w:szCs w:val="32"/>
        </w:rPr>
        <w:t>269</w:t>
      </w:r>
      <w:r>
        <w:rPr>
          <w:rFonts w:eastAsia="仿宋"/>
          <w:szCs w:val="32"/>
        </w:rPr>
        <w:t>万元，主要</w:t>
      </w:r>
      <w:r>
        <w:rPr>
          <w:rFonts w:hint="eastAsia" w:eastAsia="仿宋"/>
          <w:szCs w:val="32"/>
        </w:rPr>
        <w:t>数量</w:t>
      </w:r>
      <w:r>
        <w:rPr>
          <w:rFonts w:eastAsia="仿宋"/>
          <w:szCs w:val="32"/>
        </w:rPr>
        <w:t>和效益：一是</w:t>
      </w:r>
      <w:r>
        <w:rPr>
          <w:rFonts w:hint="eastAsia" w:eastAsia="仿宋"/>
          <w:szCs w:val="32"/>
        </w:rPr>
        <w:t>数量</w:t>
      </w:r>
      <w:r>
        <w:rPr>
          <w:rFonts w:eastAsia="仿宋"/>
          <w:szCs w:val="32"/>
        </w:rPr>
        <w:t>指标，</w:t>
      </w:r>
      <w:r>
        <w:rPr>
          <w:rFonts w:hint="eastAsia" w:eastAsia="仿宋"/>
          <w:szCs w:val="32"/>
        </w:rPr>
        <w:t>四板挂牌企业完成9家、二是</w:t>
      </w:r>
      <w:r>
        <w:rPr>
          <w:rFonts w:eastAsia="仿宋"/>
          <w:szCs w:val="32"/>
        </w:rPr>
        <w:t>质量指标</w:t>
      </w:r>
      <w:r>
        <w:rPr>
          <w:rFonts w:hint="eastAsia" w:eastAsia="仿宋"/>
          <w:szCs w:val="32"/>
        </w:rPr>
        <w:t>大幅增加税收额</w:t>
      </w:r>
      <w:r>
        <w:rPr>
          <w:rFonts w:eastAsia="仿宋"/>
          <w:szCs w:val="32"/>
        </w:rPr>
        <w:t>；</w:t>
      </w:r>
      <w:r>
        <w:rPr>
          <w:rFonts w:hint="eastAsia" w:eastAsia="仿宋"/>
          <w:szCs w:val="32"/>
        </w:rPr>
        <w:t>三</w:t>
      </w:r>
      <w:r>
        <w:rPr>
          <w:rFonts w:eastAsia="仿宋"/>
          <w:szCs w:val="32"/>
        </w:rPr>
        <w:t>是效益指标，社会效益指标</w:t>
      </w:r>
      <w:r>
        <w:rPr>
          <w:rFonts w:hint="eastAsia" w:eastAsia="仿宋"/>
          <w:szCs w:val="32"/>
        </w:rPr>
        <w:t>带动就业人数60人；企业满意度完成了100%。</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eastAsia="仿宋"/>
          <w:color w:val="FF0000"/>
          <w:szCs w:val="32"/>
        </w:rPr>
      </w:pPr>
      <w:r>
        <w:rPr>
          <w:rFonts w:eastAsia="仿宋"/>
          <w:szCs w:val="32"/>
        </w:rPr>
        <w:t>发现的问题及原因：</w:t>
      </w:r>
      <w:r>
        <w:rPr>
          <w:rFonts w:hint="eastAsia" w:ascii="仿宋_GB2312" w:hAnsi="宋体"/>
          <w:kern w:val="0"/>
        </w:rPr>
        <w:t xml:space="preserve">一方面，因企业上市是市场化行为，有许多不可控的因素，因此预算编制、指标下达和预算执行上有些许偏差。另一方面，企业上市奖励兑现是根据《市人民政府办公室关于加快推进企业上市的若干意见》（鄂州政办发〔2021〕17号）文件精神制定的预算项目，需要企业符合上市相关条件才可申请奖励。2022年我市遭遇新冠疫情等不可控因素，导致企业上市进程放缓，企业未达到奖励兑现条件，因此上市奖励不能按期兑现，所以该绩效指标未完成。            </w:t>
      </w:r>
      <w:r>
        <w:rPr>
          <w:rFonts w:eastAsia="仿宋"/>
          <w:szCs w:val="32"/>
        </w:rPr>
        <w:t>下一步改进措施：</w:t>
      </w:r>
      <w:r>
        <w:rPr>
          <w:rFonts w:hint="eastAsia" w:ascii="仿宋_GB2312" w:hAnsi="宋体"/>
          <w:kern w:val="0"/>
        </w:rPr>
        <w:t>坚持以“政府引导、市场主导、企业主体、多方联动、分类推进”工作原则，建立完善推进企业“培育、改制、辅导、申报、上市”全周期上市工作机制，显著提升上市公司的数量和质量，为全市经济高质量发展提供坚实支撑。</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黑体" w:hAnsi="黑体" w:eastAsia="黑体" w:cs="黑体"/>
        </w:rPr>
      </w:pPr>
      <w:r>
        <w:rPr>
          <w:rFonts w:hint="eastAsia" w:ascii="黑体" w:hAnsi="黑体" w:eastAsia="黑体" w:cs="黑体"/>
        </w:rPr>
        <w:t>十四、专项支出、转移支付支出情况说明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ascii="仿宋_GB2312" w:hAnsi="仿宋" w:cs="仿宋"/>
          <w:szCs w:val="32"/>
        </w:rPr>
      </w:pPr>
      <w:r>
        <w:rPr>
          <w:rFonts w:hint="eastAsia" w:ascii="仿宋_GB2312" w:hAnsi="仿宋" w:cs="仿宋"/>
          <w:szCs w:val="32"/>
        </w:rPr>
        <w:t>本单位无专项支出、转移支付支出。</w:t>
      </w:r>
    </w:p>
    <w:p>
      <w:pPr>
        <w:keepNext w:val="0"/>
        <w:keepLines w:val="0"/>
        <w:pageBreakBefore w:val="0"/>
        <w:widowControl w:val="0"/>
        <w:numPr>
          <w:ilvl w:val="0"/>
          <w:numId w:val="2"/>
        </w:numPr>
        <w:kinsoku/>
        <w:wordWrap/>
        <w:overflowPunct/>
        <w:topLinePunct w:val="0"/>
        <w:autoSpaceDE/>
        <w:autoSpaceDN/>
        <w:bidi w:val="0"/>
        <w:spacing w:line="580" w:lineRule="exact"/>
        <w:ind w:left="0" w:leftChars="0" w:firstLine="640" w:firstLineChars="200"/>
        <w:textAlignment w:val="auto"/>
        <w:rPr>
          <w:rFonts w:hint="eastAsia" w:ascii="黑体" w:hAnsi="黑体" w:eastAsia="黑体" w:cs="黑体"/>
          <w:szCs w:val="32"/>
        </w:rPr>
      </w:pPr>
      <w:r>
        <w:rPr>
          <w:rFonts w:hint="eastAsia" w:ascii="黑体" w:hAnsi="黑体" w:eastAsia="黑体" w:cs="黑体"/>
          <w:szCs w:val="32"/>
        </w:rPr>
        <w:t xml:space="preserve"> 其他需要说明的情况</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ascii="黑体" w:hAnsi="黑体" w:cs="黑体"/>
          <w:szCs w:val="32"/>
        </w:rPr>
      </w:pPr>
      <w:r>
        <w:rPr>
          <w:rFonts w:hint="eastAsia" w:ascii="仿宋_GB2312" w:hAnsi="仿宋" w:cs="仿宋"/>
          <w:szCs w:val="32"/>
        </w:rPr>
        <w:t>本单位无其他需要说明的情况。</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黑体" w:hAnsi="黑体" w:eastAsia="黑体" w:cs="黑体"/>
          <w:szCs w:val="32"/>
        </w:rPr>
      </w:pPr>
      <w:r>
        <w:rPr>
          <w:rFonts w:hint="eastAsia" w:ascii="黑体" w:hAnsi="黑体" w:eastAsia="黑体" w:cs="黑体"/>
          <w:szCs w:val="32"/>
        </w:rPr>
        <w:t>第五部分  名词解释</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ascii="仿宋_GB2312"/>
          <w:bCs/>
          <w:kern w:val="44"/>
          <w:szCs w:val="32"/>
        </w:rPr>
      </w:pPr>
      <w:r>
        <w:rPr>
          <w:rFonts w:hint="eastAsia" w:ascii="仿宋_GB2312" w:hAnsi="仿宋" w:cs="仿宋"/>
          <w:szCs w:val="32"/>
        </w:rPr>
        <w:t>(一)一般公共预算财政拨款收入：</w:t>
      </w:r>
      <w:r>
        <w:rPr>
          <w:rFonts w:ascii="仿宋_GB2312" w:hAnsi="仿宋" w:cs="仿宋"/>
          <w:szCs w:val="32"/>
        </w:rPr>
        <w:t>指</w:t>
      </w:r>
      <w:r>
        <w:rPr>
          <w:rFonts w:hint="eastAsia" w:ascii="仿宋_GB2312" w:hAnsi="仿宋" w:cs="仿宋"/>
          <w:szCs w:val="32"/>
        </w:rPr>
        <w:t>省</w:t>
      </w:r>
      <w:r>
        <w:rPr>
          <w:rFonts w:hint="eastAsia" w:ascii="仿宋_GB2312"/>
          <w:bCs/>
          <w:kern w:val="44"/>
          <w:szCs w:val="32"/>
        </w:rPr>
        <w:t>级</w:t>
      </w:r>
      <w:r>
        <w:rPr>
          <w:rFonts w:ascii="仿宋_GB2312"/>
          <w:bCs/>
          <w:kern w:val="44"/>
          <w:szCs w:val="32"/>
        </w:rPr>
        <w:t>财政</w:t>
      </w:r>
      <w:r>
        <w:rPr>
          <w:rFonts w:hint="eastAsia" w:ascii="仿宋_GB2312"/>
          <w:bCs/>
          <w:kern w:val="44"/>
          <w:szCs w:val="32"/>
        </w:rPr>
        <w:t>一般公共预算</w:t>
      </w:r>
      <w:r>
        <w:rPr>
          <w:rFonts w:ascii="仿宋_GB2312"/>
          <w:bCs/>
          <w:kern w:val="44"/>
          <w:szCs w:val="32"/>
        </w:rPr>
        <w:t>当年拨付的</w:t>
      </w:r>
      <w:r>
        <w:rPr>
          <w:rFonts w:hint="eastAsia" w:ascii="仿宋_GB2312"/>
          <w:bCs/>
          <w:kern w:val="44"/>
          <w:szCs w:val="32"/>
        </w:rPr>
        <w:t>资金。</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ascii="仿宋_GB2312"/>
          <w:bCs/>
          <w:kern w:val="44"/>
          <w:szCs w:val="32"/>
        </w:rPr>
      </w:pPr>
      <w:r>
        <w:rPr>
          <w:rFonts w:hint="eastAsia" w:ascii="仿宋_GB2312"/>
          <w:bCs/>
          <w:kern w:val="44"/>
          <w:szCs w:val="32"/>
        </w:rPr>
        <w:t>(二)政府性基金预算财政拨款收入：</w:t>
      </w:r>
      <w:r>
        <w:rPr>
          <w:rFonts w:ascii="仿宋_GB2312"/>
          <w:bCs/>
          <w:kern w:val="44"/>
          <w:szCs w:val="32"/>
        </w:rPr>
        <w:t>指</w:t>
      </w:r>
      <w:r>
        <w:rPr>
          <w:rFonts w:hint="eastAsia" w:ascii="仿宋_GB2312"/>
          <w:bCs/>
          <w:kern w:val="44"/>
          <w:szCs w:val="32"/>
        </w:rPr>
        <w:t>省级</w:t>
      </w:r>
      <w:r>
        <w:rPr>
          <w:rFonts w:ascii="仿宋_GB2312"/>
          <w:bCs/>
          <w:kern w:val="44"/>
          <w:szCs w:val="32"/>
        </w:rPr>
        <w:t>财政</w:t>
      </w:r>
      <w:r>
        <w:rPr>
          <w:rFonts w:hint="eastAsia" w:ascii="仿宋_GB2312"/>
          <w:bCs/>
          <w:kern w:val="44"/>
          <w:szCs w:val="32"/>
        </w:rPr>
        <w:t>政府性基金预算</w:t>
      </w:r>
      <w:r>
        <w:rPr>
          <w:rFonts w:ascii="仿宋_GB2312"/>
          <w:bCs/>
          <w:kern w:val="44"/>
          <w:szCs w:val="32"/>
        </w:rPr>
        <w:t>当年拨付的</w:t>
      </w:r>
      <w:r>
        <w:rPr>
          <w:rFonts w:hint="eastAsia" w:ascii="仿宋_GB2312"/>
          <w:bCs/>
          <w:kern w:val="44"/>
          <w:szCs w:val="32"/>
        </w:rPr>
        <w:t>资金。</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ascii="仿宋_GB2312"/>
          <w:bCs/>
          <w:kern w:val="44"/>
          <w:szCs w:val="32"/>
        </w:rPr>
      </w:pPr>
      <w:r>
        <w:rPr>
          <w:rFonts w:hint="eastAsia" w:ascii="仿宋_GB2312"/>
          <w:bCs/>
          <w:kern w:val="44"/>
          <w:szCs w:val="32"/>
        </w:rPr>
        <w:t>(三)国有资本经营预算财政拨款收入：指省级财政国有资本经营预算当年拨付的资金。</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ascii="仿宋_GB2312"/>
          <w:bCs/>
          <w:kern w:val="44"/>
          <w:szCs w:val="32"/>
          <w:highlight w:val="yellow"/>
        </w:rPr>
      </w:pPr>
      <w:r>
        <w:rPr>
          <w:rFonts w:hint="eastAsia" w:ascii="仿宋_GB2312"/>
          <w:bCs/>
          <w:kern w:val="44"/>
          <w:szCs w:val="32"/>
        </w:rPr>
        <w:t>(四)上级补助收入：指从</w:t>
      </w:r>
      <w:r>
        <w:rPr>
          <w:rFonts w:hint="eastAsia" w:ascii="仿宋_GB2312" w:hAnsi="宋体"/>
          <w:szCs w:val="32"/>
        </w:rPr>
        <w:t>事业单位</w:t>
      </w:r>
      <w:r>
        <w:rPr>
          <w:rFonts w:hint="eastAsia" w:ascii="仿宋_GB2312"/>
          <w:bCs/>
          <w:kern w:val="44"/>
          <w:szCs w:val="32"/>
        </w:rPr>
        <w:t>主管部门和上级单位取得的非财政补助收入。</w:t>
      </w:r>
    </w:p>
    <w:p>
      <w:pPr>
        <w:keepNext w:val="0"/>
        <w:keepLines w:val="0"/>
        <w:pageBreakBefore w:val="0"/>
        <w:widowControl w:val="0"/>
        <w:kinsoku/>
        <w:wordWrap/>
        <w:overflowPunct/>
        <w:topLinePunct w:val="0"/>
        <w:autoSpaceDE/>
        <w:autoSpaceDN/>
        <w:bidi w:val="0"/>
        <w:snapToGrid w:val="0"/>
        <w:spacing w:line="580" w:lineRule="exact"/>
        <w:ind w:left="0" w:leftChars="0" w:firstLine="640" w:firstLineChars="200"/>
        <w:textAlignment w:val="auto"/>
        <w:rPr>
          <w:rFonts w:ascii="仿宋_GB2312"/>
          <w:bCs/>
          <w:kern w:val="44"/>
          <w:szCs w:val="32"/>
          <w:highlight w:val="yellow"/>
        </w:rPr>
      </w:pPr>
      <w:r>
        <w:rPr>
          <w:rFonts w:hint="eastAsia" w:ascii="仿宋_GB2312"/>
          <w:bCs/>
          <w:kern w:val="44"/>
          <w:szCs w:val="32"/>
        </w:rPr>
        <w:t>(五)事业收入：指事业单位开展专业业务活动及其辅助活动取得的收入。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ascii="仿宋_GB2312"/>
          <w:bCs/>
          <w:kern w:val="44"/>
          <w:szCs w:val="32"/>
          <w:highlight w:val="yellow"/>
        </w:rPr>
      </w:pPr>
      <w:r>
        <w:rPr>
          <w:rFonts w:hint="eastAsia" w:ascii="仿宋_GB2312"/>
          <w:bCs/>
          <w:kern w:val="44"/>
          <w:szCs w:val="32"/>
        </w:rPr>
        <w:t>(六)经营收入：指事业单位在专业业务活动及其辅助活动之外开展非独立核算经营活动取得的收入。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ascii="仿宋_GB2312" w:hAnsi="宋体"/>
          <w:szCs w:val="32"/>
        </w:rPr>
      </w:pPr>
      <w:r>
        <w:rPr>
          <w:rFonts w:hint="eastAsia" w:ascii="仿宋_GB2312"/>
          <w:bCs/>
          <w:kern w:val="44"/>
          <w:szCs w:val="32"/>
        </w:rPr>
        <w:t>(七)其他收入：指</w:t>
      </w:r>
      <w:r>
        <w:rPr>
          <w:rFonts w:hint="eastAsia" w:ascii="仿宋_GB2312" w:hAnsi="宋体"/>
          <w:szCs w:val="32"/>
        </w:rPr>
        <w:t>单位取得的除上述“一般公共预算财政拨款收入”、“政府性基金</w:t>
      </w:r>
      <w:r>
        <w:rPr>
          <w:rFonts w:hint="eastAsia" w:ascii="仿宋_GB2312"/>
          <w:spacing w:val="6"/>
          <w:szCs w:val="32"/>
        </w:rPr>
        <w:t>预算</w:t>
      </w:r>
      <w:r>
        <w:rPr>
          <w:rFonts w:hint="eastAsia" w:ascii="仿宋_GB2312"/>
          <w:bCs/>
          <w:kern w:val="44"/>
          <w:szCs w:val="32"/>
        </w:rPr>
        <w:t>财政拨款收入</w:t>
      </w:r>
      <w:r>
        <w:rPr>
          <w:rFonts w:hint="eastAsia" w:ascii="仿宋_GB2312" w:hAnsi="宋体"/>
          <w:szCs w:val="32"/>
        </w:rPr>
        <w:t>”、“</w:t>
      </w:r>
      <w:r>
        <w:rPr>
          <w:rFonts w:hint="eastAsia" w:ascii="仿宋_GB2312"/>
          <w:bCs/>
          <w:kern w:val="44"/>
          <w:szCs w:val="32"/>
        </w:rPr>
        <w:t>国有资本经营预算财政拨款收入</w:t>
      </w:r>
      <w:r>
        <w:rPr>
          <w:rFonts w:hint="eastAsia" w:ascii="仿宋_GB2312" w:hAnsi="宋体"/>
          <w:szCs w:val="32"/>
        </w:rPr>
        <w:t>”、“</w:t>
      </w:r>
      <w:r>
        <w:rPr>
          <w:rFonts w:hint="eastAsia" w:ascii="仿宋_GB2312"/>
          <w:bCs/>
          <w:kern w:val="44"/>
          <w:szCs w:val="32"/>
        </w:rPr>
        <w:t>上级补助收入</w:t>
      </w:r>
      <w:r>
        <w:rPr>
          <w:rFonts w:hint="eastAsia" w:ascii="仿宋_GB2312" w:hAnsi="宋体"/>
          <w:szCs w:val="32"/>
        </w:rPr>
        <w:t>”、“事业收入”、“经营收入”等收入以外的各项收入。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ascii="仿宋_GB2312" w:hAnsi="仿宋_GB2312"/>
          <w:color w:val="000000"/>
        </w:rPr>
      </w:pPr>
      <w:r>
        <w:rPr>
          <w:rFonts w:hint="eastAsia" w:ascii="仿宋_GB2312"/>
          <w:bCs/>
          <w:kern w:val="44"/>
          <w:szCs w:val="32"/>
        </w:rPr>
        <w:t>(八)使用非财政拨款结余：</w:t>
      </w:r>
      <w:r>
        <w:rPr>
          <w:rFonts w:ascii="仿宋_GB2312" w:hAnsi="仿宋_GB2312"/>
          <w:color w:val="000000"/>
        </w:rPr>
        <w:t>指事业单位</w:t>
      </w:r>
      <w:r>
        <w:rPr>
          <w:rFonts w:hint="eastAsia" w:ascii="仿宋_GB2312" w:hAnsi="仿宋_GB2312"/>
          <w:color w:val="000000"/>
        </w:rPr>
        <w:t>使用以前年度积累的非财政拨款结余弥补当年收支差额的金额。</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eastAsia="仿宋"/>
          <w:szCs w:val="32"/>
        </w:rPr>
      </w:pPr>
      <w:r>
        <w:rPr>
          <w:rFonts w:hint="eastAsia" w:ascii="仿宋_GB2312"/>
          <w:bCs/>
          <w:kern w:val="44"/>
          <w:szCs w:val="32"/>
        </w:rPr>
        <w:t>(九)年初结转和结余：</w:t>
      </w:r>
      <w:r>
        <w:rPr>
          <w:rFonts w:ascii="仿宋_GB2312" w:hAnsi="仿宋_GB2312"/>
          <w:color w:val="000000"/>
        </w:rPr>
        <w:t>指</w:t>
      </w:r>
      <w:r>
        <w:rPr>
          <w:rFonts w:hint="eastAsia" w:ascii="仿宋_GB2312" w:hAnsi="仿宋_GB2312"/>
          <w:color w:val="000000"/>
        </w:rPr>
        <w:t>单位</w:t>
      </w:r>
      <w:r>
        <w:rPr>
          <w:rFonts w:ascii="仿宋_GB2312" w:hAnsi="仿宋_GB2312"/>
          <w:color w:val="000000"/>
        </w:rPr>
        <w:t>以前年度</w:t>
      </w:r>
      <w:r>
        <w:rPr>
          <w:rFonts w:hint="eastAsia" w:ascii="仿宋_GB2312" w:hAnsi="仿宋_GB2312"/>
          <w:color w:val="000000"/>
        </w:rPr>
        <w:t>尚未完成</w:t>
      </w:r>
      <w:r>
        <w:rPr>
          <w:rFonts w:ascii="仿宋_GB2312" w:hAnsi="仿宋_GB2312"/>
          <w:color w:val="000000"/>
        </w:rPr>
        <w:t>、结转到本年仍按原规定用途继续使用的资金</w:t>
      </w:r>
      <w:r>
        <w:rPr>
          <w:rFonts w:hint="eastAsia" w:ascii="仿宋_GB2312" w:hAnsi="仿宋_GB2312"/>
          <w:color w:val="000000"/>
        </w:rPr>
        <w:t>，或项目已完成等产生的结余资金</w:t>
      </w:r>
      <w:r>
        <w:rPr>
          <w:rFonts w:ascii="仿宋_GB2312" w:hAnsi="仿宋_GB2312"/>
          <w:color w:val="000000"/>
        </w:rPr>
        <w:t>。</w:t>
      </w:r>
    </w:p>
    <w:p>
      <w:pPr>
        <w:keepNext w:val="0"/>
        <w:keepLines w:val="0"/>
        <w:pageBreakBefore w:val="0"/>
        <w:widowControl w:val="0"/>
        <w:kinsoku/>
        <w:wordWrap/>
        <w:overflowPunct/>
        <w:topLinePunct w:val="0"/>
        <w:autoSpaceDE/>
        <w:autoSpaceDN/>
        <w:bidi w:val="0"/>
        <w:adjustRightInd w:val="0"/>
        <w:spacing w:line="580" w:lineRule="exact"/>
        <w:ind w:left="0" w:leftChars="0" w:firstLine="640" w:firstLineChars="200"/>
        <w:textAlignment w:val="auto"/>
        <w:rPr>
          <w:rFonts w:eastAsia="仿宋"/>
          <w:szCs w:val="32"/>
        </w:rPr>
      </w:pPr>
      <w:r>
        <w:rPr>
          <w:rFonts w:hint="eastAsia" w:eastAsia="仿宋"/>
          <w:szCs w:val="32"/>
        </w:rPr>
        <w:t>(十)本部门使用的支出功能分类科目(到项级)</w:t>
      </w:r>
    </w:p>
    <w:p>
      <w:pPr>
        <w:keepNext w:val="0"/>
        <w:keepLines w:val="0"/>
        <w:pageBreakBefore w:val="0"/>
        <w:widowControl w:val="0"/>
        <w:kinsoku/>
        <w:wordWrap/>
        <w:overflowPunct/>
        <w:topLinePunct w:val="0"/>
        <w:autoSpaceDE/>
        <w:autoSpaceDN/>
        <w:bidi w:val="0"/>
        <w:adjustRightInd w:val="0"/>
        <w:spacing w:line="580" w:lineRule="exact"/>
        <w:ind w:left="0" w:leftChars="0" w:firstLine="640" w:firstLineChars="200"/>
        <w:textAlignment w:val="auto"/>
        <w:rPr>
          <w:rFonts w:eastAsia="仿宋"/>
          <w:szCs w:val="32"/>
        </w:rPr>
      </w:pPr>
      <w:r>
        <w:rPr>
          <w:rFonts w:hint="eastAsia" w:eastAsia="仿宋"/>
          <w:szCs w:val="32"/>
        </w:rPr>
        <w:t>1.社会保障和就业支出(类)行政事业单位养老支出（款）机关事业单位基本养老保险缴费支出（项）：反映机关事业单位实施养老保险制度由单位缴纳的基本养老 保险费支出。</w:t>
      </w:r>
    </w:p>
    <w:p>
      <w:pPr>
        <w:keepNext w:val="0"/>
        <w:keepLines w:val="0"/>
        <w:pageBreakBefore w:val="0"/>
        <w:widowControl w:val="0"/>
        <w:kinsoku/>
        <w:wordWrap/>
        <w:overflowPunct/>
        <w:topLinePunct w:val="0"/>
        <w:autoSpaceDE/>
        <w:autoSpaceDN/>
        <w:bidi w:val="0"/>
        <w:adjustRightInd w:val="0"/>
        <w:spacing w:line="580" w:lineRule="exact"/>
        <w:ind w:left="0" w:leftChars="0" w:firstLine="640" w:firstLineChars="200"/>
        <w:textAlignment w:val="auto"/>
        <w:rPr>
          <w:rFonts w:eastAsia="仿宋"/>
          <w:szCs w:val="32"/>
        </w:rPr>
      </w:pPr>
      <w:r>
        <w:rPr>
          <w:rFonts w:hint="eastAsia" w:eastAsia="仿宋"/>
          <w:szCs w:val="32"/>
        </w:rPr>
        <w:t>2.卫生健康支出支出(类)行政事业单位医疗（款）行政单位医疗（项）：反映财政部门安排的行政单位(包括实行公务员管理的事业单位，下同)基本医疗保险缴费经费，未参加医疗保险的行政 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eastAsia="仿宋"/>
          <w:szCs w:val="32"/>
        </w:rPr>
      </w:pPr>
      <w:r>
        <w:rPr>
          <w:rFonts w:hint="eastAsia" w:eastAsia="仿宋"/>
          <w:szCs w:val="32"/>
        </w:rPr>
        <w:t>3.金融支出（类）金融部门行政支出（款）行政运行（项）：反映行政单位(包括实行公务员管理的事业单位)的基本支 出。</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eastAsia="仿宋"/>
          <w:szCs w:val="32"/>
        </w:rPr>
      </w:pPr>
      <w:r>
        <w:rPr>
          <w:rFonts w:hint="eastAsia" w:eastAsia="仿宋"/>
          <w:szCs w:val="32"/>
        </w:rPr>
        <w:t>4.金融支出（类）金融部门行政支出（款）一般行政管理事务（项）：反映行政单位(包括实行公务员管理的事业单位)未单独 设置项级科目的其他项目支出。</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eastAsia="仿宋"/>
          <w:szCs w:val="32"/>
        </w:rPr>
      </w:pPr>
      <w:r>
        <w:rPr>
          <w:rFonts w:hint="eastAsia" w:eastAsia="仿宋"/>
          <w:szCs w:val="32"/>
        </w:rPr>
        <w:t>5.金融支出（类）金融发展支出（款）其他金融发展支出（项）：反映除上述项目以外其他用于金融发展方面的支出。</w:t>
      </w:r>
    </w:p>
    <w:p>
      <w:pPr>
        <w:keepNext w:val="0"/>
        <w:keepLines w:val="0"/>
        <w:pageBreakBefore w:val="0"/>
        <w:widowControl w:val="0"/>
        <w:kinsoku/>
        <w:wordWrap/>
        <w:overflowPunct/>
        <w:topLinePunct w:val="0"/>
        <w:autoSpaceDE/>
        <w:autoSpaceDN/>
        <w:bidi w:val="0"/>
        <w:adjustRightInd w:val="0"/>
        <w:spacing w:line="580" w:lineRule="exact"/>
        <w:ind w:left="0" w:leftChars="0" w:firstLine="640" w:firstLineChars="200"/>
        <w:textAlignment w:val="auto"/>
        <w:rPr>
          <w:rFonts w:eastAsia="仿宋"/>
          <w:szCs w:val="32"/>
        </w:rPr>
      </w:pPr>
      <w:r>
        <w:rPr>
          <w:rFonts w:hint="eastAsia" w:eastAsia="仿宋"/>
          <w:szCs w:val="32"/>
        </w:rPr>
        <w:t>6.住房保障支出（类）住房改革支出（款）住房公积金（项）：反映行政事业单位按人力资源和社会保障部、财政部规定的基本工资和津贴补贴以及规定比例为职工缴纳的住房公积金。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ascii="仿宋_GB2312"/>
          <w:bCs/>
          <w:kern w:val="44"/>
          <w:szCs w:val="32"/>
        </w:rPr>
      </w:pPr>
      <w:r>
        <w:rPr>
          <w:rFonts w:hint="eastAsia" w:ascii="仿宋_GB2312"/>
          <w:bCs/>
          <w:kern w:val="44"/>
          <w:szCs w:val="32"/>
        </w:rPr>
        <w:t>(十一)结余分配：指事业单位按照会计制度规定缴纳的企业所得税、提取的专用结余以及转入非财政拨款结余的金额等。</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szCs w:val="32"/>
        </w:rPr>
      </w:pPr>
      <w:r>
        <w:rPr>
          <w:rFonts w:hint="eastAsia" w:ascii="仿宋_GB2312"/>
          <w:bCs/>
          <w:kern w:val="44"/>
          <w:szCs w:val="32"/>
        </w:rPr>
        <w:t>(十二)年末结转和结余：指单位按有关规定结转到下年或以后年度继续使用的资金，或项目已完成等产生的结余资金。</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ascii="仿宋_GB2312"/>
          <w:bCs/>
          <w:kern w:val="44"/>
          <w:szCs w:val="32"/>
        </w:rPr>
      </w:pPr>
      <w:r>
        <w:rPr>
          <w:rFonts w:hint="eastAsia" w:ascii="仿宋_GB2312"/>
          <w:bCs/>
          <w:kern w:val="44"/>
          <w:szCs w:val="32"/>
        </w:rPr>
        <w:t>(十三)基本支出：指为保障机构正常运转、完成日常工作任务而发生的</w:t>
      </w:r>
      <w:r>
        <w:rPr>
          <w:rFonts w:ascii="仿宋_GB2312"/>
          <w:bCs/>
          <w:kern w:val="44"/>
          <w:szCs w:val="32"/>
        </w:rPr>
        <w:t>人员支出和公用支出</w:t>
      </w:r>
      <w:r>
        <w:rPr>
          <w:rFonts w:hint="eastAsia" w:ascii="仿宋_GB2312"/>
          <w:bCs/>
          <w:kern w:val="44"/>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ascii="仿宋_GB2312" w:hAnsi="仿宋_GB2312"/>
          <w:color w:val="000000"/>
        </w:rPr>
      </w:pPr>
      <w:r>
        <w:rPr>
          <w:rFonts w:hint="eastAsia" w:ascii="仿宋_GB2312" w:hAnsi="仿宋_GB2312"/>
          <w:color w:val="000000"/>
        </w:rPr>
        <w:t>(十四)项目支出：指在基本支出之外为完成特定行政任务或事业发展目标所发生的支出。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ascii="仿宋_GB2312"/>
          <w:bCs/>
          <w:kern w:val="44"/>
          <w:szCs w:val="32"/>
        </w:rPr>
      </w:pPr>
      <w:r>
        <w:rPr>
          <w:rFonts w:hint="eastAsia" w:ascii="仿宋_GB2312"/>
          <w:szCs w:val="32"/>
        </w:rPr>
        <w:t>(十五)</w:t>
      </w:r>
      <w:r>
        <w:rPr>
          <w:rFonts w:hint="eastAsia" w:ascii="仿宋_GB2312"/>
          <w:bCs/>
          <w:kern w:val="44"/>
          <w:szCs w:val="32"/>
        </w:rPr>
        <w:t>经营支出：指事业单位在专业活动及辅助活动之外开展非独立核算经营活动发生的支出。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ascii="仿宋_GB2312"/>
          <w:szCs w:val="32"/>
          <w:highlight w:val="yellow"/>
        </w:rPr>
      </w:pPr>
      <w:r>
        <w:rPr>
          <w:rFonts w:hint="eastAsia" w:ascii="仿宋_GB2312"/>
          <w:szCs w:val="32"/>
        </w:rPr>
        <w:t>(十六)“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snapToGrid w:val="0"/>
        <w:spacing w:line="580" w:lineRule="exact"/>
        <w:ind w:left="0" w:leftChars="0" w:firstLine="640" w:firstLineChars="200"/>
        <w:textAlignment w:val="auto"/>
        <w:rPr>
          <w:rFonts w:ascii="仿宋_GB2312"/>
          <w:szCs w:val="32"/>
          <w:highlight w:val="yellow"/>
        </w:rPr>
      </w:pPr>
      <w:r>
        <w:rPr>
          <w:rFonts w:hint="eastAsia" w:ascii="仿宋_GB2312"/>
          <w:szCs w:val="32"/>
        </w:rPr>
        <w:t>(十七)机关运行经费：指为保障行政单位（包括参照公务员法管理的事业单位）运行用于购买货物和服务的各项资金，</w:t>
      </w:r>
      <w:r>
        <w:rPr>
          <w:rFonts w:ascii="仿宋_GB2312"/>
          <w:szCs w:val="32"/>
        </w:rPr>
        <w:t>包括办公</w:t>
      </w:r>
      <w:r>
        <w:rPr>
          <w:rFonts w:hint="eastAsia" w:ascii="仿宋_GB2312"/>
          <w:szCs w:val="32"/>
        </w:rPr>
        <w:t>费、</w:t>
      </w:r>
      <w:r>
        <w:rPr>
          <w:rFonts w:ascii="仿宋_GB2312"/>
          <w:szCs w:val="32"/>
        </w:rPr>
        <w:t>印刷费、邮电费、差旅费、会议费、福利费、日常维修费、专用材料及一般设备购置费、办公用房水电费、</w:t>
      </w:r>
      <w:r>
        <w:rPr>
          <w:rFonts w:hint="eastAsia" w:ascii="仿宋_GB2312"/>
          <w:szCs w:val="32"/>
        </w:rPr>
        <w:t>办公用房取暖费、</w:t>
      </w:r>
      <w:r>
        <w:rPr>
          <w:rFonts w:ascii="仿宋_GB2312"/>
          <w:szCs w:val="32"/>
        </w:rPr>
        <w:t>办公用房物业管理费、公务用车运行维护费以及其他费用。</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ascii="仿宋_GB2312"/>
          <w:szCs w:val="32"/>
        </w:rPr>
      </w:pPr>
      <w:r>
        <w:rPr>
          <w:rFonts w:hint="eastAsia" w:ascii="仿宋_GB2312"/>
          <w:szCs w:val="32"/>
        </w:rPr>
        <w:t>(十八)其他专用名词。</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80" w:lineRule="exact"/>
        <w:ind w:left="0" w:leftChars="0" w:firstLine="640" w:firstLineChars="200"/>
        <w:textAlignment w:val="auto"/>
        <w:rPr>
          <w:rFonts w:ascii="仿宋_GB2312"/>
          <w:kern w:val="2"/>
          <w:sz w:val="32"/>
          <w:szCs w:val="32"/>
        </w:rPr>
      </w:pPr>
      <w:r>
        <w:rPr>
          <w:rFonts w:hint="eastAsia" w:ascii="仿宋_GB2312"/>
          <w:kern w:val="2"/>
          <w:sz w:val="32"/>
          <w:szCs w:val="32"/>
        </w:rPr>
        <w:t>金融生态环境：广义上的金融生态环境是指宏观层面的金融环境，指与金融业生存、发展具有互动关系的社会、自然因素的总和，包括政治、经济、文化、地理、人口等一切与金融业相互影响、相互作用的方面，主要强调金融运行的外部环境，是金融运行的一些基础条件；狭义上的金融生态环境是指微观层面的金融环境，包括法律制度、行政管理体制、社会诚信状况、会计与审计准则、中介服务体系、企业的发展状况及银企关系等方面的内容。金融生态环境是依照仿生学原理来发展建立金融体系的良性运作发展模式。</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80" w:lineRule="exact"/>
        <w:ind w:left="0" w:leftChars="0" w:firstLine="640" w:firstLineChars="200"/>
        <w:textAlignment w:val="auto"/>
        <w:rPr>
          <w:rFonts w:ascii="仿宋_GB2312"/>
          <w:kern w:val="2"/>
          <w:sz w:val="32"/>
          <w:szCs w:val="32"/>
        </w:rPr>
      </w:pPr>
      <w:r>
        <w:rPr>
          <w:rFonts w:hint="eastAsia" w:ascii="仿宋_GB2312"/>
          <w:kern w:val="2"/>
          <w:sz w:val="32"/>
          <w:szCs w:val="32"/>
        </w:rPr>
        <w:t>互联网金融：指传统金融机构与互联网企业利用互联网技术和信息通信技术实现资金融通、支付、投资和信息中介服务的新型金融业务模式。</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80" w:lineRule="exact"/>
        <w:ind w:left="0" w:leftChars="0" w:firstLine="640" w:firstLineChars="200"/>
        <w:textAlignment w:val="auto"/>
        <w:rPr>
          <w:rFonts w:ascii="仿宋_GB2312"/>
          <w:kern w:val="2"/>
          <w:sz w:val="32"/>
          <w:szCs w:val="32"/>
        </w:rPr>
      </w:pPr>
      <w:r>
        <w:rPr>
          <w:rFonts w:hint="eastAsia" w:ascii="仿宋_GB2312"/>
          <w:kern w:val="2"/>
          <w:sz w:val="32"/>
          <w:szCs w:val="32"/>
        </w:rPr>
        <w:t>不良贷款率：指金融机构不良贷款占总贷款余额的比重。不良贷款是指在评估银行贷款质量时，把贷款按风险基础分为正常、关注、次级、可疑和损失五类，其中后三类合称为不良贷款。</w:t>
      </w:r>
    </w:p>
    <w:p>
      <w:pPr>
        <w:spacing w:line="560" w:lineRule="exact"/>
        <w:ind w:firstLine="640"/>
        <w:rPr>
          <w:rFonts w:hint="eastAsia" w:ascii="黑体" w:hAnsi="黑体" w:eastAsia="黑体" w:cs="黑体"/>
          <w:szCs w:val="32"/>
        </w:rPr>
      </w:pPr>
    </w:p>
    <w:p>
      <w:pPr>
        <w:spacing w:line="560" w:lineRule="exact"/>
        <w:ind w:firstLine="640"/>
        <w:rPr>
          <w:rFonts w:hint="eastAsia" w:ascii="黑体" w:hAnsi="黑体" w:eastAsia="黑体" w:cs="黑体"/>
          <w:szCs w:val="32"/>
        </w:rPr>
      </w:pPr>
    </w:p>
    <w:p>
      <w:pPr>
        <w:spacing w:line="560" w:lineRule="exact"/>
        <w:ind w:firstLine="640"/>
        <w:rPr>
          <w:rFonts w:hint="eastAsia" w:ascii="黑体" w:hAnsi="黑体" w:eastAsia="黑体" w:cs="黑体"/>
          <w:szCs w:val="32"/>
        </w:rPr>
      </w:pPr>
    </w:p>
    <w:p>
      <w:pPr>
        <w:spacing w:line="560" w:lineRule="exact"/>
        <w:ind w:firstLine="640"/>
        <w:rPr>
          <w:rFonts w:hint="eastAsia" w:ascii="黑体" w:hAnsi="黑体" w:eastAsia="黑体" w:cs="黑体"/>
          <w:szCs w:val="32"/>
        </w:rPr>
      </w:pPr>
    </w:p>
    <w:p>
      <w:pPr>
        <w:spacing w:line="560" w:lineRule="exact"/>
        <w:ind w:firstLine="640"/>
        <w:rPr>
          <w:rFonts w:hint="eastAsia" w:ascii="黑体" w:hAnsi="黑体" w:eastAsia="黑体" w:cs="黑体"/>
          <w:szCs w:val="32"/>
        </w:rPr>
      </w:pPr>
    </w:p>
    <w:p>
      <w:pPr>
        <w:spacing w:line="560" w:lineRule="exact"/>
        <w:ind w:firstLine="640"/>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szCs w:val="32"/>
        </w:rPr>
      </w:pPr>
      <w:r>
        <w:rPr>
          <w:rFonts w:hint="eastAsia" w:ascii="黑体" w:hAnsi="黑体" w:eastAsia="黑体" w:cs="黑体"/>
          <w:szCs w:val="32"/>
        </w:rPr>
        <w:t>第六部分 附件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2022</w:t>
      </w:r>
      <w:r>
        <w:rPr>
          <w:rFonts w:hint="eastAsia" w:ascii="方正小标宋简体" w:hAnsi="方正小标宋简体" w:eastAsia="方正小标宋简体" w:cs="方正小标宋简体"/>
          <w:sz w:val="36"/>
          <w:szCs w:val="36"/>
        </w:rPr>
        <w:t>年度</w:t>
      </w:r>
      <w:r>
        <w:rPr>
          <w:rFonts w:hint="eastAsia" w:ascii="方正小标宋简体" w:hAnsi="方正小标宋简体" w:eastAsia="方正小标宋简体" w:cs="方正小标宋简体"/>
          <w:sz w:val="36"/>
          <w:szCs w:val="36"/>
          <w:lang w:eastAsia="zh-CN"/>
        </w:rPr>
        <w:t>鄂州市地方金融工作局</w:t>
      </w:r>
      <w:r>
        <w:rPr>
          <w:rFonts w:hint="eastAsia" w:ascii="方正小标宋简体" w:hAnsi="方正小标宋简体" w:eastAsia="方正小标宋简体" w:cs="方正小标宋简体"/>
          <w:sz w:val="36"/>
          <w:szCs w:val="36"/>
        </w:rPr>
        <w:t>整体绩效自评结果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小标宋_GBK" w:hAnsi="仿宋"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一、自评结论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楷体_GB2312" w:hAnsi="楷体" w:eastAsia="楷体_GB2312" w:cs="楷体_GB2312"/>
          <w:sz w:val="32"/>
          <w:szCs w:val="32"/>
        </w:rPr>
      </w:pPr>
      <w:r>
        <w:rPr>
          <w:rFonts w:hint="eastAsia" w:ascii="楷体_GB2312" w:hAnsi="楷体" w:eastAsia="楷体_GB2312" w:cs="楷体_GB2312"/>
          <w:sz w:val="32"/>
          <w:szCs w:val="32"/>
        </w:rPr>
        <w:t>（一）部门整体绩效自评得分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楷体_GB2312" w:hAnsi="楷体" w:eastAsia="楷体_GB2312" w:cs="楷体_GB2312"/>
          <w:sz w:val="32"/>
          <w:szCs w:val="32"/>
        </w:rPr>
      </w:pPr>
      <w:r>
        <w:rPr>
          <w:rFonts w:hint="eastAsia" w:ascii="仿宋_GB2312" w:hAnsi="仿宋_GB2312" w:eastAsia="仿宋_GB2312" w:cs="仿宋_GB2312"/>
          <w:sz w:val="32"/>
          <w:szCs w:val="32"/>
          <w:lang w:eastAsia="zh-CN"/>
        </w:rPr>
        <w:t>经自评，</w:t>
      </w:r>
      <w:r>
        <w:rPr>
          <w:rFonts w:hint="eastAsia" w:ascii="仿宋_GB2312" w:hAnsi="仿宋_GB2312" w:eastAsia="仿宋_GB2312" w:cs="仿宋_GB2312"/>
          <w:b w:val="0"/>
          <w:bCs w:val="0"/>
          <w:sz w:val="32"/>
          <w:szCs w:val="32"/>
          <w:lang w:val="en-US" w:eastAsia="zh-CN"/>
        </w:rPr>
        <w:t>2022年鄂州市地方金融工作局整体绩效自评综合得分97.6分，自评结果为优。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ascii="楷体_GB2312" w:hAnsi="楷体" w:eastAsia="楷体_GB2312" w:cs="Times New Roman"/>
          <w:sz w:val="32"/>
          <w:szCs w:val="32"/>
        </w:rPr>
      </w:pPr>
      <w:r>
        <w:rPr>
          <w:rFonts w:hint="eastAsia" w:ascii="楷体_GB2312" w:hAnsi="楷体" w:eastAsia="楷体_GB2312" w:cs="楷体_GB2312"/>
          <w:sz w:val="32"/>
          <w:szCs w:val="32"/>
        </w:rPr>
        <w:t>（二）部门整体绩效目标完成情况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1.执行率情况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2022 年度部门整体支出预算总额</w:t>
      </w:r>
      <w:r>
        <w:rPr>
          <w:rFonts w:hint="eastAsia" w:ascii="仿宋_GB2312" w:hAnsi="仿宋_GB2312" w:eastAsia="仿宋_GB2312" w:cs="仿宋_GB2312"/>
          <w:sz w:val="32"/>
          <w:szCs w:val="32"/>
          <w:lang w:val="en-US" w:eastAsia="zh-CN"/>
        </w:rPr>
        <w:t>774.9</w:t>
      </w:r>
      <w:r>
        <w:rPr>
          <w:rFonts w:hint="eastAsia" w:ascii="仿宋_GB2312" w:hAnsi="仿宋_GB2312" w:eastAsia="仿宋_GB2312" w:cs="仿宋_GB2312"/>
          <w:sz w:val="32"/>
          <w:szCs w:val="32"/>
          <w:lang w:eastAsia="zh-CN"/>
        </w:rPr>
        <w:t>万元，执行数</w:t>
      </w:r>
      <w:r>
        <w:rPr>
          <w:rFonts w:hint="eastAsia" w:ascii="仿宋_GB2312" w:hAnsi="仿宋_GB2312" w:eastAsia="仿宋_GB2312" w:cs="仿宋_GB2312"/>
          <w:sz w:val="32"/>
          <w:szCs w:val="32"/>
          <w:lang w:val="en-US" w:eastAsia="zh-CN"/>
        </w:rPr>
        <w:t>720.41</w:t>
      </w:r>
      <w:r>
        <w:rPr>
          <w:rFonts w:hint="eastAsia" w:ascii="仿宋_GB2312" w:hAnsi="仿宋_GB2312" w:eastAsia="仿宋_GB2312" w:cs="仿宋_GB2312"/>
          <w:sz w:val="32"/>
          <w:szCs w:val="32"/>
          <w:lang w:eastAsia="zh-CN"/>
        </w:rPr>
        <w:t xml:space="preserve"> 万元，资金执行率</w:t>
      </w:r>
      <w:r>
        <w:rPr>
          <w:rFonts w:hint="eastAsia" w:ascii="仿宋_GB2312" w:hAnsi="仿宋_GB2312" w:eastAsia="仿宋_GB2312" w:cs="仿宋_GB2312"/>
          <w:sz w:val="32"/>
          <w:szCs w:val="32"/>
          <w:lang w:val="en-US" w:eastAsia="zh-CN"/>
        </w:rPr>
        <w:t>92.97</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完成的绩效目标情况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rPr>
          <w:rFonts w:ascii="仿宋_GB2312" w:eastAsia="仿宋_GB2312" w:cs="Times New Roman" w:hAnsiTheme="minorHAnsi"/>
          <w:sz w:val="32"/>
          <w:szCs w:val="32"/>
        </w:rPr>
      </w:pPr>
      <w:r>
        <w:rPr>
          <w:rFonts w:hint="eastAsia" w:ascii="仿宋_GB2312" w:hAnsi="仿宋_GB2312" w:eastAsia="仿宋_GB2312" w:cs="仿宋_GB2312"/>
          <w:sz w:val="32"/>
          <w:szCs w:val="32"/>
          <w:lang w:val="en-US" w:eastAsia="zh-CN"/>
        </w:rPr>
        <w:t>2022年我局绩效目标：</w:t>
      </w:r>
      <w:r>
        <w:rPr>
          <w:rFonts w:hint="eastAsia" w:ascii="仿宋_GB2312" w:hAnsi="仿宋_GB2312" w:eastAsia="仿宋_GB2312" w:cs="仿宋_GB2312"/>
          <w:sz w:val="32"/>
          <w:szCs w:val="32"/>
          <w:lang w:eastAsia="zh-CN"/>
        </w:rPr>
        <w:t>构建良好的金融环境，实现地方经济与金融的可持续协调发展，防范防范化解金融风险，不断提高经济运行质量和区域综合竞争力。全年</w:t>
      </w:r>
      <w:r>
        <w:rPr>
          <w:rFonts w:hint="eastAsia" w:ascii="仿宋_GB2312" w:hAnsi="仿宋_GB2312" w:eastAsia="仿宋_GB2312" w:cs="仿宋_GB2312"/>
          <w:sz w:val="32"/>
          <w:szCs w:val="32"/>
          <w:lang w:val="en-US" w:eastAsia="zh-CN"/>
        </w:rPr>
        <w:t>举办8场专题银企对接签约活动，促成14家金融机构与278家企业签订合作协议379.9亿元，履约率已超过95%，保障了各重点领域和行业的资金需求。</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lang w:val="en-US" w:eastAsia="zh-CN"/>
        </w:rPr>
        <w:t>不良贷款率1.03%，较年初下降0.08个百分点。</w:t>
      </w:r>
      <w:r>
        <w:rPr>
          <w:rFonts w:hint="eastAsia" w:ascii="仿宋_GB2312" w:hAnsi="仿宋_GB2312" w:eastAsia="仿宋_GB2312" w:cs="仿宋_GB2312"/>
          <w:sz w:val="32"/>
          <w:szCs w:val="32"/>
          <w:lang w:eastAsia="zh-CN"/>
        </w:rPr>
        <w:t>其中，鄂州农商行不良率2.44%，较年初下降0.73个百分点，低于全省农商行平均水平0.13个百分点。全市本外币各项存款余额1080.77亿元，同比增长9.90%。</w:t>
      </w:r>
      <w:r>
        <w:rPr>
          <w:rFonts w:hint="eastAsia" w:ascii="仿宋_GB2312" w:hAnsi="仿宋_GB2312" w:eastAsia="仿宋_GB2312" w:cs="仿宋_GB2312"/>
          <w:sz w:val="32"/>
          <w:szCs w:val="32"/>
          <w:lang w:val="en-US" w:eastAsia="zh-CN"/>
        </w:rPr>
        <w:t>全市本外币各项贷款余额945.17亿元，同比增长15.93%，增幅居全省第一</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未完成的绩效目标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eastAsia="zh-CN"/>
        </w:rPr>
        <w:t>原设定</w:t>
      </w:r>
      <w:r>
        <w:rPr>
          <w:rFonts w:hint="eastAsia" w:ascii="仿宋_GB2312" w:hAnsi="仿宋_GB2312" w:eastAsia="仿宋_GB2312" w:cs="仿宋_GB2312"/>
          <w:b w:val="0"/>
          <w:bCs w:val="0"/>
          <w:color w:val="auto"/>
          <w:sz w:val="32"/>
          <w:szCs w:val="32"/>
          <w:lang w:val="en-US" w:eastAsia="zh-CN"/>
        </w:rPr>
        <w:t>新增四板挂牌企业10家，最后仅新增四板挂牌企业9家。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rPr>
          <w:rFonts w:ascii="楷体_GB2312" w:hAnsi="楷体" w:eastAsia="楷体_GB2312" w:cs="Times New Roman"/>
          <w:sz w:val="32"/>
          <w:szCs w:val="32"/>
        </w:rPr>
      </w:pPr>
      <w:r>
        <w:rPr>
          <w:rFonts w:hint="eastAsia" w:ascii="楷体_GB2312" w:hAnsi="楷体" w:eastAsia="楷体_GB2312" w:cs="楷体_GB2312"/>
          <w:sz w:val="32"/>
          <w:szCs w:val="32"/>
        </w:rPr>
        <w:t>（三）存在的问题和原因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1.上年度评价结果应用情况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 年度的评价结果在 2022 年度得到有效应用。</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本年度</w:t>
      </w:r>
      <w:r>
        <w:rPr>
          <w:rFonts w:hint="eastAsia" w:ascii="仿宋_GB2312" w:hAnsi="仿宋_GB2312" w:eastAsia="仿宋_GB2312" w:cs="仿宋_GB2312"/>
          <w:b/>
          <w:bCs/>
          <w:sz w:val="32"/>
          <w:szCs w:val="32"/>
        </w:rPr>
        <w:t>存在的问题和原因</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度部分绩效指标未完成，导致企业上市奖励资金项目执行率偏低。主要两方面原因：一方面，因企业上市是市场化行为，有许多不可控的因素，因此预算编制、指标下达和预算执行上有些许偏差。另一方面，企业上市奖励兑现是根据《市人民政府办公室关于加快推进企业上市的若干意见》（鄂州政办发〔2021〕17号）文件精神制定的预算项目，需要企业符合上市相关条件才可申请奖励。2022年我市遭遇新冠疫情等不可控因素，导致企业上市进程放缓，企业未达到奖励兑现条件，因此上市奖励不能按期兑现，所以该绩效指标未完成。</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下一步拟改进措施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1.下一步拟改进措施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加强全局预算管理意识，严格按照预算编制的相关制度和要求进行预算编制。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2.拟与预算安排相结合情况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全面编制预算项目，优先保障固定性的、相对刚性的费用支出项目，尽量压缩变动性的、有控制空间的费用项目，提高预算编制的科学性、严谨性和可控性</w:t>
      </w:r>
      <w:r>
        <w:rPr>
          <w:rFonts w:hint="eastAsia" w:ascii="仿宋_GB2312" w:hAnsi="仿宋_GB2312" w:eastAsia="仿宋_GB2312" w:cs="仿宋_GB2312"/>
          <w:sz w:val="32"/>
          <w:szCs w:val="32"/>
          <w:lang w:eastAsia="zh-CN"/>
        </w:rPr>
        <w:t>。</w:t>
      </w:r>
    </w:p>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2022</w:t>
      </w:r>
      <w:r>
        <w:rPr>
          <w:rFonts w:hint="eastAsia" w:asciiTheme="majorEastAsia" w:hAnsiTheme="majorEastAsia" w:eastAsiaTheme="majorEastAsia" w:cstheme="majorEastAsia"/>
          <w:b/>
          <w:bCs/>
          <w:sz w:val="32"/>
          <w:szCs w:val="32"/>
        </w:rPr>
        <w:t>年度部门整体绩效自评表</w:t>
      </w:r>
    </w:p>
    <w:p>
      <w:pPr>
        <w:jc w:val="center"/>
        <w:rPr>
          <w:rFonts w:ascii="楷体_GB2312" w:hAnsi="黑体" w:eastAsia="楷体_GB2312" w:cs="Times New Roman"/>
          <w:kern w:val="0"/>
          <w:sz w:val="24"/>
          <w:szCs w:val="24"/>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鄂州市地方金融工作局</w:t>
      </w:r>
      <w:r>
        <w:rPr>
          <w:rFonts w:ascii="楷体_GB2312" w:hAnsi="仿宋" w:eastAsia="楷体_GB2312" w:cs="楷体_GB2312"/>
          <w:kern w:val="0"/>
          <w:sz w:val="28"/>
          <w:szCs w:val="28"/>
        </w:rPr>
        <w:t xml:space="preserve">  </w:t>
      </w:r>
      <w:r>
        <w:rPr>
          <w:rFonts w:ascii="楷体_GB2312" w:hAnsi="仿宋" w:eastAsia="楷体_GB2312" w:cs="楷体_GB2312"/>
          <w:kern w:val="0"/>
          <w:sz w:val="24"/>
          <w:szCs w:val="24"/>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2023年5月24日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42"/>
        <w:gridCol w:w="880"/>
        <w:gridCol w:w="266"/>
        <w:gridCol w:w="1053"/>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70" w:type="dxa"/>
            <w:gridSpan w:val="2"/>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单位名称</w:t>
            </w:r>
          </w:p>
        </w:tc>
        <w:tc>
          <w:tcPr>
            <w:tcW w:w="7178" w:type="dxa"/>
            <w:gridSpan w:val="9"/>
            <w:vAlign w:val="center"/>
          </w:tcPr>
          <w:p>
            <w:pPr>
              <w:widowControl/>
              <w:jc w:val="center"/>
              <w:rPr>
                <w:rFonts w:hint="eastAsia" w:ascii="仿宋_GB2312" w:hAnsi="宋体" w:eastAsia="仿宋_GB2312" w:cs="Times New Roman"/>
                <w:kern w:val="0"/>
                <w:sz w:val="21"/>
                <w:lang w:eastAsia="zh-CN"/>
              </w:rPr>
            </w:pPr>
            <w:r>
              <w:rPr>
                <w:rFonts w:hint="eastAsia" w:ascii="仿宋_GB2312" w:hAnsi="宋体" w:eastAsia="仿宋_GB2312" w:cs="Times New Roman"/>
                <w:kern w:val="0"/>
                <w:sz w:val="21"/>
                <w:lang w:eastAsia="zh-CN"/>
              </w:rPr>
              <w:t>鄂州市地方金融工作局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70" w:type="dxa"/>
            <w:gridSpan w:val="2"/>
            <w:vAlign w:val="center"/>
          </w:tcPr>
          <w:p>
            <w:pPr>
              <w:widowControl/>
              <w:jc w:val="center"/>
              <w:rPr>
                <w:rFonts w:ascii="仿宋_GB2312" w:hAnsi="宋体" w:eastAsia="仿宋_GB2312" w:cs="Times New Roman"/>
                <w:kern w:val="0"/>
                <w:sz w:val="21"/>
              </w:rPr>
            </w:pPr>
            <w:r>
              <w:rPr>
                <w:rFonts w:hint="eastAsia" w:ascii="仿宋_GB2312" w:hAnsi="宋体" w:eastAsia="仿宋_GB2312" w:cs="Times New Roman"/>
                <w:kern w:val="0"/>
                <w:sz w:val="21"/>
              </w:rPr>
              <w:t>基本支出总额</w:t>
            </w:r>
          </w:p>
        </w:tc>
        <w:tc>
          <w:tcPr>
            <w:tcW w:w="3122" w:type="dxa"/>
            <w:gridSpan w:val="4"/>
            <w:vAlign w:val="center"/>
          </w:tcPr>
          <w:p>
            <w:pPr>
              <w:widowControl/>
              <w:jc w:val="left"/>
              <w:rPr>
                <w:rFonts w:hint="eastAsia" w:ascii="仿宋_GB2312" w:hAnsi="宋体" w:eastAsia="仿宋_GB2312" w:cs="Times New Roman"/>
                <w:kern w:val="0"/>
                <w:sz w:val="21"/>
                <w:lang w:val="en-US" w:eastAsia="zh-CN"/>
              </w:rPr>
            </w:pPr>
            <w:r>
              <w:rPr>
                <w:rFonts w:hint="eastAsia" w:ascii="仿宋_GB2312" w:hAnsi="宋体" w:eastAsia="仿宋_GB2312" w:cs="Times New Roman"/>
                <w:kern w:val="0"/>
                <w:sz w:val="21"/>
                <w:lang w:val="en-US" w:eastAsia="zh-CN"/>
              </w:rPr>
              <w:t>286.1万元</w:t>
            </w:r>
          </w:p>
        </w:tc>
        <w:tc>
          <w:tcPr>
            <w:tcW w:w="2520" w:type="dxa"/>
            <w:gridSpan w:val="3"/>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项目支出总额</w:t>
            </w:r>
          </w:p>
        </w:tc>
        <w:tc>
          <w:tcPr>
            <w:tcW w:w="1536" w:type="dxa"/>
            <w:gridSpan w:val="2"/>
            <w:vAlign w:val="center"/>
          </w:tcPr>
          <w:p>
            <w:pPr>
              <w:widowControl/>
              <w:jc w:val="center"/>
              <w:rPr>
                <w:rFonts w:hint="eastAsia" w:ascii="仿宋_GB2312" w:hAnsi="宋体" w:eastAsia="仿宋_GB2312" w:cs="Times New Roman"/>
                <w:kern w:val="0"/>
                <w:sz w:val="21"/>
                <w:lang w:val="en-US" w:eastAsia="zh-CN"/>
              </w:rPr>
            </w:pPr>
            <w:r>
              <w:rPr>
                <w:rFonts w:hint="eastAsia" w:ascii="仿宋_GB2312" w:hAnsi="宋体" w:eastAsia="仿宋_GB2312" w:cs="Times New Roman"/>
                <w:kern w:val="0"/>
                <w:sz w:val="21"/>
                <w:lang w:val="en-US" w:eastAsia="zh-CN"/>
              </w:rPr>
              <w:t>434.31万元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70" w:type="dxa"/>
            <w:gridSpan w:val="2"/>
            <w:vMerge w:val="restart"/>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预算执行情况（万元）</w:t>
            </w:r>
          </w:p>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w:t>
            </w:r>
            <w:r>
              <w:rPr>
                <w:rFonts w:ascii="仿宋_GB2312" w:hAnsi="宋体" w:eastAsia="仿宋_GB2312" w:cs="仿宋_GB2312"/>
                <w:kern w:val="0"/>
                <w:sz w:val="21"/>
              </w:rPr>
              <w:t>20</w:t>
            </w:r>
            <w:r>
              <w:rPr>
                <w:rFonts w:hint="eastAsia" w:ascii="仿宋_GB2312" w:hAnsi="宋体" w:eastAsia="仿宋_GB2312" w:cs="仿宋_GB2312"/>
                <w:kern w:val="0"/>
                <w:sz w:val="21"/>
              </w:rPr>
              <w:t>分）</w:t>
            </w:r>
          </w:p>
        </w:tc>
        <w:tc>
          <w:tcPr>
            <w:tcW w:w="880" w:type="dxa"/>
            <w:vAlign w:val="center"/>
          </w:tcPr>
          <w:p>
            <w:pPr>
              <w:widowControl/>
              <w:jc w:val="center"/>
              <w:rPr>
                <w:rFonts w:ascii="仿宋_GB2312" w:hAnsi="宋体" w:eastAsia="仿宋_GB2312" w:cs="Times New Roman"/>
                <w:kern w:val="0"/>
                <w:sz w:val="21"/>
              </w:rPr>
            </w:pPr>
          </w:p>
        </w:tc>
        <w:tc>
          <w:tcPr>
            <w:tcW w:w="1319" w:type="dxa"/>
            <w:gridSpan w:val="2"/>
            <w:vAlign w:val="center"/>
          </w:tcPr>
          <w:p>
            <w:pPr>
              <w:widowControl/>
              <w:jc w:val="center"/>
              <w:rPr>
                <w:rFonts w:ascii="仿宋_GB2312" w:hAnsi="宋体" w:eastAsia="仿宋_GB2312" w:cs="仿宋_GB2312"/>
                <w:kern w:val="0"/>
                <w:sz w:val="21"/>
              </w:rPr>
            </w:pPr>
            <w:r>
              <w:rPr>
                <w:rFonts w:hint="eastAsia" w:ascii="仿宋_GB2312" w:hAnsi="宋体" w:eastAsia="仿宋_GB2312" w:cs="仿宋_GB2312"/>
                <w:kern w:val="0"/>
                <w:sz w:val="21"/>
              </w:rPr>
              <w:t>预算数（</w:t>
            </w:r>
            <w:r>
              <w:rPr>
                <w:rFonts w:ascii="仿宋_GB2312" w:hAnsi="宋体" w:eastAsia="仿宋_GB2312" w:cs="仿宋_GB2312"/>
                <w:kern w:val="0"/>
                <w:sz w:val="21"/>
              </w:rPr>
              <w:t>A）</w:t>
            </w:r>
          </w:p>
        </w:tc>
        <w:tc>
          <w:tcPr>
            <w:tcW w:w="1317" w:type="dxa"/>
            <w:gridSpan w:val="2"/>
            <w:vAlign w:val="center"/>
          </w:tcPr>
          <w:p>
            <w:pPr>
              <w:widowControl/>
              <w:jc w:val="center"/>
              <w:rPr>
                <w:rFonts w:ascii="仿宋_GB2312" w:hAnsi="宋体" w:eastAsia="仿宋_GB2312" w:cs="仿宋_GB2312"/>
                <w:kern w:val="0"/>
                <w:sz w:val="21"/>
              </w:rPr>
            </w:pPr>
            <w:r>
              <w:rPr>
                <w:rFonts w:hint="eastAsia" w:ascii="仿宋_GB2312" w:hAnsi="宋体" w:eastAsia="仿宋_GB2312" w:cs="仿宋_GB2312"/>
                <w:kern w:val="0"/>
                <w:sz w:val="21"/>
              </w:rPr>
              <w:t>执行数</w:t>
            </w:r>
            <w:r>
              <w:rPr>
                <w:rFonts w:ascii="仿宋_GB2312" w:hAnsi="宋体" w:eastAsia="仿宋_GB2312" w:cs="仿宋_GB2312"/>
                <w:kern w:val="0"/>
                <w:sz w:val="21"/>
              </w:rPr>
              <w:t>（B）</w:t>
            </w:r>
          </w:p>
        </w:tc>
        <w:tc>
          <w:tcPr>
            <w:tcW w:w="1466" w:type="dxa"/>
            <w:vAlign w:val="center"/>
          </w:tcPr>
          <w:p>
            <w:pPr>
              <w:widowControl/>
              <w:jc w:val="center"/>
              <w:rPr>
                <w:rFonts w:ascii="仿宋_GB2312" w:hAnsi="宋体" w:eastAsia="仿宋_GB2312" w:cs="仿宋_GB2312"/>
                <w:kern w:val="0"/>
                <w:sz w:val="21"/>
              </w:rPr>
            </w:pPr>
            <w:r>
              <w:rPr>
                <w:rFonts w:hint="eastAsia" w:ascii="仿宋_GB2312" w:hAnsi="宋体" w:eastAsia="仿宋_GB2312" w:cs="仿宋_GB2312"/>
                <w:kern w:val="0"/>
                <w:sz w:val="21"/>
              </w:rPr>
              <w:t>执行率</w:t>
            </w:r>
            <w:r>
              <w:rPr>
                <w:rFonts w:ascii="仿宋_GB2312" w:hAnsi="宋体" w:eastAsia="仿宋_GB2312" w:cs="仿宋_GB2312"/>
                <w:kern w:val="0"/>
                <w:sz w:val="21"/>
              </w:rPr>
              <w:t>（B/A）</w:t>
            </w:r>
          </w:p>
        </w:tc>
        <w:tc>
          <w:tcPr>
            <w:tcW w:w="2196" w:type="dxa"/>
            <w:gridSpan w:val="3"/>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得分</w:t>
            </w:r>
          </w:p>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w:t>
            </w:r>
            <w:r>
              <w:rPr>
                <w:rFonts w:ascii="仿宋_GB2312" w:hAnsi="宋体" w:eastAsia="仿宋_GB2312" w:cs="仿宋_GB2312"/>
                <w:kern w:val="0"/>
                <w:sz w:val="21"/>
              </w:rPr>
              <w:t>20</w:t>
            </w:r>
            <w:r>
              <w:rPr>
                <w:rFonts w:hint="eastAsia" w:ascii="仿宋_GB2312" w:hAnsi="宋体" w:eastAsia="仿宋_GB2312" w:cs="仿宋_GB2312"/>
                <w:kern w:val="0"/>
                <w:sz w:val="21"/>
              </w:rPr>
              <w:t>分</w:t>
            </w:r>
            <w:r>
              <w:rPr>
                <w:rFonts w:ascii="仿宋_GB2312" w:hAnsi="宋体" w:eastAsia="仿宋_GB2312" w:cs="仿宋_GB2312"/>
                <w:kern w:val="0"/>
                <w:sz w:val="21"/>
              </w:rPr>
              <w:t>*</w:t>
            </w:r>
            <w:r>
              <w:rPr>
                <w:rFonts w:hint="eastAsia" w:ascii="仿宋_GB2312" w:hAnsi="宋体" w:eastAsia="仿宋_GB2312" w:cs="仿宋_GB2312"/>
                <w:kern w:val="0"/>
                <w:sz w:val="21"/>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70" w:type="dxa"/>
            <w:gridSpan w:val="2"/>
            <w:vMerge w:val="continue"/>
            <w:vAlign w:val="center"/>
          </w:tcPr>
          <w:p>
            <w:pPr>
              <w:widowControl/>
              <w:jc w:val="center"/>
              <w:rPr>
                <w:rFonts w:ascii="仿宋_GB2312" w:hAnsi="宋体" w:eastAsia="仿宋_GB2312" w:cs="Times New Roman"/>
                <w:kern w:val="0"/>
                <w:sz w:val="21"/>
              </w:rPr>
            </w:pPr>
          </w:p>
        </w:tc>
        <w:tc>
          <w:tcPr>
            <w:tcW w:w="880" w:type="dxa"/>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部门整体支出总额</w:t>
            </w:r>
          </w:p>
        </w:tc>
        <w:tc>
          <w:tcPr>
            <w:tcW w:w="1319" w:type="dxa"/>
            <w:gridSpan w:val="2"/>
            <w:vAlign w:val="center"/>
          </w:tcPr>
          <w:p>
            <w:pPr>
              <w:widowControl/>
              <w:jc w:val="center"/>
              <w:rPr>
                <w:rFonts w:hint="eastAsia" w:ascii="仿宋_GB2312" w:hAnsi="宋体" w:eastAsia="仿宋_GB2312" w:cs="Times New Roman"/>
                <w:kern w:val="0"/>
                <w:sz w:val="21"/>
                <w:lang w:val="en-US" w:eastAsia="zh-CN"/>
              </w:rPr>
            </w:pPr>
            <w:r>
              <w:rPr>
                <w:rFonts w:hint="eastAsia" w:ascii="仿宋_GB2312" w:hAnsi="宋体" w:eastAsia="仿宋_GB2312" w:cs="Times New Roman"/>
                <w:kern w:val="0"/>
                <w:sz w:val="21"/>
                <w:lang w:val="en-US" w:eastAsia="zh-CN"/>
              </w:rPr>
              <w:t>774.9</w:t>
            </w:r>
          </w:p>
        </w:tc>
        <w:tc>
          <w:tcPr>
            <w:tcW w:w="1317" w:type="dxa"/>
            <w:gridSpan w:val="2"/>
            <w:vAlign w:val="center"/>
          </w:tcPr>
          <w:p>
            <w:pPr>
              <w:widowControl/>
              <w:jc w:val="center"/>
              <w:rPr>
                <w:rFonts w:hint="eastAsia" w:ascii="仿宋_GB2312" w:hAnsi="宋体" w:eastAsia="仿宋_GB2312" w:cs="Times New Roman"/>
                <w:kern w:val="0"/>
                <w:sz w:val="21"/>
                <w:lang w:val="en-US" w:eastAsia="zh-CN"/>
              </w:rPr>
            </w:pPr>
            <w:r>
              <w:rPr>
                <w:rFonts w:hint="eastAsia" w:ascii="仿宋_GB2312" w:hAnsi="宋体" w:eastAsia="仿宋_GB2312" w:cs="Times New Roman"/>
                <w:kern w:val="0"/>
                <w:sz w:val="21"/>
                <w:lang w:val="en-US" w:eastAsia="zh-CN"/>
              </w:rPr>
              <w:t>720.41</w:t>
            </w:r>
          </w:p>
        </w:tc>
        <w:tc>
          <w:tcPr>
            <w:tcW w:w="1466" w:type="dxa"/>
            <w:vAlign w:val="center"/>
          </w:tcPr>
          <w:p>
            <w:pPr>
              <w:widowControl/>
              <w:jc w:val="center"/>
              <w:rPr>
                <w:rFonts w:hint="eastAsia" w:ascii="仿宋_GB2312" w:hAnsi="宋体" w:eastAsia="仿宋_GB2312" w:cs="Times New Roman"/>
                <w:kern w:val="0"/>
                <w:sz w:val="21"/>
                <w:lang w:val="en-US" w:eastAsia="zh-CN"/>
              </w:rPr>
            </w:pPr>
            <w:r>
              <w:rPr>
                <w:rFonts w:hint="eastAsia" w:ascii="仿宋_GB2312" w:hAnsi="宋体" w:eastAsia="仿宋_GB2312" w:cs="Times New Roman"/>
                <w:kern w:val="0"/>
                <w:sz w:val="21"/>
                <w:lang w:val="en-US" w:eastAsia="zh-CN"/>
              </w:rPr>
              <w:t>92.97%</w:t>
            </w:r>
          </w:p>
        </w:tc>
        <w:tc>
          <w:tcPr>
            <w:tcW w:w="2196" w:type="dxa"/>
            <w:gridSpan w:val="3"/>
            <w:vAlign w:val="center"/>
          </w:tcPr>
          <w:p>
            <w:pPr>
              <w:widowControl/>
              <w:jc w:val="center"/>
              <w:rPr>
                <w:rFonts w:hint="eastAsia" w:ascii="仿宋_GB2312" w:hAnsi="宋体" w:eastAsia="仿宋_GB2312" w:cs="Times New Roman"/>
                <w:kern w:val="0"/>
                <w:sz w:val="21"/>
                <w:lang w:val="en-US" w:eastAsia="zh-CN"/>
              </w:rPr>
            </w:pPr>
            <w:r>
              <w:rPr>
                <w:rFonts w:hint="eastAsia" w:ascii="仿宋_GB2312" w:hAnsi="宋体" w:eastAsia="仿宋_GB2312" w:cs="Times New Roman"/>
                <w:kern w:val="0"/>
                <w:sz w:val="21"/>
                <w:lang w:val="en-US" w:eastAsia="zh-CN"/>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770" w:type="dxa"/>
            <w:gridSpan w:val="2"/>
            <w:vAlign w:val="center"/>
          </w:tcPr>
          <w:p>
            <w:pPr>
              <w:widowControl/>
              <w:jc w:val="center"/>
              <w:rPr>
                <w:rFonts w:ascii="仿宋_GB2312" w:hAnsi="宋体" w:eastAsia="仿宋_GB2312" w:cs="Times New Roman"/>
                <w:kern w:val="0"/>
                <w:sz w:val="21"/>
              </w:rPr>
            </w:pPr>
            <w:r>
              <w:rPr>
                <w:rFonts w:hint="eastAsia" w:ascii="仿宋_GB2312" w:hAnsi="宋体" w:eastAsia="仿宋_GB2312" w:cs="Times New Roman"/>
                <w:kern w:val="0"/>
                <w:sz w:val="21"/>
              </w:rPr>
              <w:t>年度目标1：</w:t>
            </w:r>
            <w:r>
              <w:rPr>
                <w:rFonts w:hint="eastAsia" w:ascii="仿宋_GB2312" w:hAnsi="宋体" w:eastAsia="仿宋_GB2312" w:cs="仿宋_GB2312"/>
                <w:kern w:val="0"/>
                <w:sz w:val="21"/>
              </w:rPr>
              <w:t>（</w:t>
            </w:r>
            <w:r>
              <w:rPr>
                <w:rFonts w:hint="eastAsia" w:ascii="仿宋_GB2312" w:hAnsi="宋体" w:eastAsia="仿宋_GB2312" w:cs="仿宋_GB2312"/>
                <w:kern w:val="0"/>
                <w:sz w:val="21"/>
                <w:lang w:val="en-US" w:eastAsia="zh-CN"/>
              </w:rPr>
              <w:t>40</w:t>
            </w:r>
            <w:r>
              <w:rPr>
                <w:rFonts w:hint="eastAsia" w:ascii="仿宋_GB2312" w:hAnsi="宋体" w:eastAsia="仿宋_GB2312" w:cs="仿宋_GB2312"/>
                <w:kern w:val="0"/>
                <w:sz w:val="21"/>
              </w:rPr>
              <w:t>分）</w:t>
            </w:r>
          </w:p>
        </w:tc>
        <w:tc>
          <w:tcPr>
            <w:tcW w:w="7178" w:type="dxa"/>
            <w:gridSpan w:val="9"/>
            <w:vAlign w:val="center"/>
          </w:tcPr>
          <w:p>
            <w:pPr>
              <w:widowControl/>
              <w:jc w:val="left"/>
              <w:rPr>
                <w:rFonts w:ascii="仿宋_GB2312" w:hAnsi="宋体" w:eastAsia="仿宋_GB2312" w:cs="Times New Roman"/>
                <w:kern w:val="0"/>
                <w:sz w:val="21"/>
              </w:rPr>
            </w:pPr>
            <w:r>
              <w:rPr>
                <w:rFonts w:hint="eastAsia" w:ascii="仿宋_GB2312" w:hAnsi="宋体" w:eastAsia="仿宋_GB2312" w:cs="Times New Roman"/>
                <w:kern w:val="0"/>
                <w:sz w:val="21"/>
              </w:rPr>
              <w:t>构建良好的金融环境，实现地方经济与金融的可持续协调发展，加快资本市场建设同时防范防范化解金融风险，不断提高经济运行质量和区域综合竞争力。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restart"/>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年度绩效指标</w:t>
            </w:r>
          </w:p>
        </w:tc>
        <w:tc>
          <w:tcPr>
            <w:tcW w:w="942" w:type="dxa"/>
            <w:vAlign w:val="center"/>
          </w:tcPr>
          <w:p>
            <w:pPr>
              <w:jc w:val="center"/>
              <w:rPr>
                <w:rFonts w:ascii="仿宋_GB2312" w:hAnsi="宋体" w:eastAsia="仿宋_GB2312" w:cs="Times New Roman"/>
                <w:kern w:val="0"/>
                <w:sz w:val="21"/>
              </w:rPr>
            </w:pPr>
            <w:r>
              <w:rPr>
                <w:rFonts w:hint="eastAsia" w:ascii="仿宋_GB2312" w:hAnsi="宋体" w:eastAsia="仿宋_GB2312" w:cs="仿宋_GB2312"/>
                <w:kern w:val="0"/>
                <w:sz w:val="21"/>
              </w:rPr>
              <w:t>一级指标</w:t>
            </w:r>
          </w:p>
        </w:tc>
        <w:tc>
          <w:tcPr>
            <w:tcW w:w="1146" w:type="dxa"/>
            <w:gridSpan w:val="2"/>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二级指标</w:t>
            </w:r>
          </w:p>
        </w:tc>
        <w:tc>
          <w:tcPr>
            <w:tcW w:w="2370" w:type="dxa"/>
            <w:gridSpan w:val="3"/>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三级指标</w:t>
            </w:r>
          </w:p>
        </w:tc>
        <w:tc>
          <w:tcPr>
            <w:tcW w:w="1466" w:type="dxa"/>
            <w:vAlign w:val="center"/>
          </w:tcPr>
          <w:p>
            <w:pPr>
              <w:widowControl/>
              <w:jc w:val="center"/>
              <w:rPr>
                <w:rFonts w:ascii="仿宋_GB2312" w:hAnsi="宋体" w:eastAsia="仿宋_GB2312" w:cs="仿宋_GB2312"/>
                <w:kern w:val="0"/>
                <w:sz w:val="21"/>
              </w:rPr>
            </w:pPr>
            <w:r>
              <w:rPr>
                <w:rFonts w:hint="eastAsia" w:ascii="仿宋_GB2312" w:hAnsi="宋体" w:eastAsia="仿宋_GB2312" w:cs="仿宋_GB2312"/>
                <w:kern w:val="0"/>
                <w:sz w:val="21"/>
              </w:rPr>
              <w:t>年初目标值（</w:t>
            </w:r>
            <w:r>
              <w:rPr>
                <w:rFonts w:ascii="仿宋_GB2312" w:hAnsi="宋体" w:eastAsia="仿宋_GB2312" w:cs="仿宋_GB2312"/>
                <w:kern w:val="0"/>
                <w:sz w:val="21"/>
              </w:rPr>
              <w:t>A</w:t>
            </w:r>
            <w:r>
              <w:rPr>
                <w:rFonts w:hint="eastAsia" w:ascii="仿宋_GB2312" w:hAnsi="宋体" w:eastAsia="仿宋_GB2312" w:cs="仿宋_GB2312"/>
                <w:kern w:val="0"/>
                <w:sz w:val="21"/>
              </w:rPr>
              <w:t>）</w:t>
            </w:r>
          </w:p>
        </w:tc>
        <w:tc>
          <w:tcPr>
            <w:tcW w:w="1319" w:type="dxa"/>
            <w:gridSpan w:val="2"/>
            <w:vAlign w:val="center"/>
          </w:tcPr>
          <w:p>
            <w:pPr>
              <w:widowControl/>
              <w:jc w:val="center"/>
              <w:rPr>
                <w:rFonts w:ascii="仿宋_GB2312" w:hAnsi="宋体" w:eastAsia="仿宋_GB2312" w:cs="仿宋_GB2312"/>
                <w:kern w:val="0"/>
                <w:sz w:val="21"/>
              </w:rPr>
            </w:pPr>
            <w:r>
              <w:rPr>
                <w:rFonts w:hint="eastAsia" w:ascii="仿宋_GB2312" w:hAnsi="宋体" w:eastAsia="仿宋_GB2312" w:cs="仿宋_GB2312"/>
                <w:kern w:val="0"/>
                <w:sz w:val="21"/>
              </w:rPr>
              <w:t>实际完成值（</w:t>
            </w:r>
            <w:r>
              <w:rPr>
                <w:rFonts w:ascii="仿宋_GB2312" w:hAnsi="宋体" w:eastAsia="仿宋_GB2312" w:cs="仿宋_GB2312"/>
                <w:kern w:val="0"/>
                <w:sz w:val="21"/>
              </w:rPr>
              <w:t>B</w:t>
            </w:r>
            <w:r>
              <w:rPr>
                <w:rFonts w:hint="eastAsia" w:ascii="仿宋_GB2312" w:hAnsi="宋体" w:eastAsia="仿宋_GB2312" w:cs="仿宋_GB2312"/>
                <w:kern w:val="0"/>
                <w:sz w:val="21"/>
              </w:rPr>
              <w:t>）</w:t>
            </w:r>
          </w:p>
        </w:tc>
        <w:tc>
          <w:tcPr>
            <w:tcW w:w="877" w:type="dxa"/>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28" w:type="dxa"/>
            <w:vMerge w:val="continue"/>
            <w:vAlign w:val="center"/>
          </w:tcPr>
          <w:p>
            <w:pPr>
              <w:jc w:val="center"/>
              <w:rPr>
                <w:rFonts w:ascii="仿宋_GB2312" w:hAnsi="宋体" w:eastAsia="仿宋_GB2312" w:cs="Times New Roman"/>
                <w:kern w:val="0"/>
                <w:sz w:val="21"/>
              </w:rPr>
            </w:pPr>
          </w:p>
        </w:tc>
        <w:tc>
          <w:tcPr>
            <w:tcW w:w="942" w:type="dxa"/>
            <w:vMerge w:val="restart"/>
            <w:vAlign w:val="center"/>
          </w:tcPr>
          <w:p>
            <w:pPr>
              <w:jc w:val="center"/>
              <w:rPr>
                <w:rFonts w:ascii="仿宋_GB2312" w:hAnsi="宋体" w:eastAsia="仿宋_GB2312" w:cs="Times New Roman"/>
                <w:kern w:val="0"/>
                <w:sz w:val="21"/>
              </w:rPr>
            </w:pPr>
            <w:r>
              <w:rPr>
                <w:rFonts w:hint="eastAsia" w:ascii="仿宋_GB2312" w:hAnsi="宋体" w:eastAsia="仿宋_GB2312" w:cs="仿宋_GB2312"/>
                <w:kern w:val="0"/>
                <w:sz w:val="21"/>
              </w:rPr>
              <w:t>产出指标</w:t>
            </w:r>
          </w:p>
        </w:tc>
        <w:tc>
          <w:tcPr>
            <w:tcW w:w="1146" w:type="dxa"/>
            <w:gridSpan w:val="2"/>
            <w:vAlign w:val="center"/>
          </w:tcPr>
          <w:p>
            <w:pPr>
              <w:widowControl/>
              <w:jc w:val="center"/>
              <w:rPr>
                <w:rFonts w:hint="eastAsia" w:ascii="仿宋_GB2312" w:hAnsi="宋体" w:eastAsia="仿宋_GB2312" w:cs="Times New Roman"/>
                <w:kern w:val="0"/>
                <w:sz w:val="21"/>
                <w:lang w:eastAsia="zh-CN"/>
              </w:rPr>
            </w:pPr>
            <w:r>
              <w:rPr>
                <w:rFonts w:hint="eastAsia" w:ascii="仿宋_GB2312" w:hAnsi="宋体" w:eastAsia="仿宋_GB2312" w:cs="仿宋_GB2312"/>
                <w:kern w:val="0"/>
                <w:sz w:val="21"/>
                <w:lang w:eastAsia="zh-CN"/>
              </w:rPr>
              <w:t>数量指标</w:t>
            </w:r>
          </w:p>
        </w:tc>
        <w:tc>
          <w:tcPr>
            <w:tcW w:w="2370" w:type="dxa"/>
            <w:gridSpan w:val="3"/>
            <w:vAlign w:val="center"/>
          </w:tcPr>
          <w:p>
            <w:pPr>
              <w:widowControl/>
              <w:jc w:val="center"/>
              <w:rPr>
                <w:rFonts w:hint="eastAsia" w:ascii="仿宋_GB2312" w:hAnsi="宋体" w:eastAsia="仿宋_GB2312" w:cs="Times New Roman"/>
                <w:kern w:val="0"/>
                <w:sz w:val="21"/>
                <w:lang w:eastAsia="zh-CN"/>
              </w:rPr>
            </w:pPr>
            <w:r>
              <w:rPr>
                <w:rFonts w:hint="eastAsia" w:ascii="仿宋_GB2312" w:hAnsi="宋体" w:eastAsia="仿宋_GB2312" w:cs="Times New Roman"/>
                <w:kern w:val="0"/>
                <w:sz w:val="21"/>
                <w:lang w:eastAsia="zh-CN"/>
              </w:rPr>
              <w:t>促成银企合作协议金额</w:t>
            </w:r>
          </w:p>
        </w:tc>
        <w:tc>
          <w:tcPr>
            <w:tcW w:w="1466" w:type="dxa"/>
            <w:vAlign w:val="center"/>
          </w:tcPr>
          <w:p>
            <w:pPr>
              <w:widowControl/>
              <w:jc w:val="center"/>
              <w:rPr>
                <w:rFonts w:hint="eastAsia" w:ascii="仿宋_GB2312" w:hAnsi="宋体" w:eastAsia="仿宋_GB2312" w:cs="Times New Roman"/>
                <w:kern w:val="0"/>
                <w:sz w:val="21"/>
                <w:lang w:val="en-US" w:eastAsia="zh-CN"/>
              </w:rPr>
            </w:pPr>
            <w:r>
              <w:rPr>
                <w:rFonts w:hint="eastAsia" w:ascii="仿宋_GB2312" w:hAnsi="宋体" w:eastAsia="仿宋_GB2312" w:cs="Times New Roman"/>
                <w:kern w:val="0"/>
                <w:sz w:val="21"/>
                <w:lang w:val="en-US" w:eastAsia="zh-CN"/>
              </w:rPr>
              <w:t>200亿</w:t>
            </w:r>
          </w:p>
        </w:tc>
        <w:tc>
          <w:tcPr>
            <w:tcW w:w="1319" w:type="dxa"/>
            <w:gridSpan w:val="2"/>
            <w:vAlign w:val="center"/>
          </w:tcPr>
          <w:p>
            <w:pPr>
              <w:widowControl/>
              <w:jc w:val="center"/>
              <w:rPr>
                <w:rFonts w:hint="eastAsia" w:ascii="仿宋_GB2312" w:hAnsi="宋体" w:eastAsia="仿宋_GB2312" w:cs="Times New Roman"/>
                <w:kern w:val="0"/>
                <w:sz w:val="21"/>
                <w:lang w:val="en-US" w:eastAsia="zh-CN"/>
              </w:rPr>
            </w:pPr>
            <w:r>
              <w:rPr>
                <w:rFonts w:hint="eastAsia" w:ascii="仿宋_GB2312" w:hAnsi="宋体" w:eastAsia="仿宋_GB2312" w:cs="Times New Roman"/>
                <w:kern w:val="0"/>
                <w:sz w:val="21"/>
                <w:lang w:val="en-US" w:eastAsia="zh-CN"/>
              </w:rPr>
              <w:t>379.9亿</w:t>
            </w:r>
          </w:p>
        </w:tc>
        <w:tc>
          <w:tcPr>
            <w:tcW w:w="877" w:type="dxa"/>
            <w:vMerge w:val="restart"/>
            <w:vAlign w:val="center"/>
          </w:tcPr>
          <w:p>
            <w:pPr>
              <w:widowControl/>
              <w:jc w:val="center"/>
              <w:rPr>
                <w:rFonts w:hint="eastAsia" w:ascii="仿宋_GB2312" w:hAnsi="宋体" w:eastAsia="仿宋_GB2312" w:cs="Times New Roman"/>
                <w:kern w:val="0"/>
                <w:sz w:val="21"/>
                <w:lang w:val="en-US" w:eastAsia="zh-CN"/>
              </w:rPr>
            </w:pPr>
            <w:r>
              <w:rPr>
                <w:rFonts w:hint="eastAsia" w:ascii="仿宋_GB2312" w:hAnsi="宋体" w:eastAsia="仿宋_GB2312" w:cs="Times New Roman"/>
                <w:kern w:val="0"/>
                <w:sz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8" w:type="dxa"/>
            <w:vMerge w:val="continue"/>
            <w:vAlign w:val="center"/>
          </w:tcPr>
          <w:p>
            <w:pPr>
              <w:jc w:val="center"/>
              <w:rPr>
                <w:rFonts w:ascii="仿宋_GB2312" w:hAnsi="宋体" w:eastAsia="仿宋_GB2312" w:cs="Times New Roman"/>
                <w:kern w:val="0"/>
                <w:sz w:val="21"/>
              </w:rPr>
            </w:pPr>
          </w:p>
        </w:tc>
        <w:tc>
          <w:tcPr>
            <w:tcW w:w="942" w:type="dxa"/>
            <w:vMerge w:val="continue"/>
            <w:vAlign w:val="center"/>
          </w:tcPr>
          <w:p>
            <w:pPr>
              <w:widowControl/>
              <w:jc w:val="center"/>
              <w:rPr>
                <w:rFonts w:ascii="仿宋_GB2312" w:hAnsi="宋体" w:eastAsia="仿宋_GB2312" w:cs="Times New Roman"/>
                <w:kern w:val="0"/>
                <w:sz w:val="21"/>
              </w:rPr>
            </w:pPr>
          </w:p>
        </w:tc>
        <w:tc>
          <w:tcPr>
            <w:tcW w:w="1146" w:type="dxa"/>
            <w:gridSpan w:val="2"/>
            <w:vAlign w:val="center"/>
          </w:tcPr>
          <w:p>
            <w:pPr>
              <w:widowControl/>
              <w:jc w:val="center"/>
              <w:rPr>
                <w:rFonts w:hint="eastAsia" w:ascii="仿宋_GB2312" w:hAnsi="宋体" w:eastAsia="仿宋_GB2312" w:cs="Times New Roman"/>
                <w:kern w:val="0"/>
                <w:sz w:val="21"/>
                <w:lang w:eastAsia="zh-CN"/>
              </w:rPr>
            </w:pPr>
            <w:r>
              <w:rPr>
                <w:rFonts w:hint="eastAsia" w:ascii="仿宋_GB2312" w:hAnsi="宋体" w:eastAsia="仿宋_GB2312" w:cs="仿宋_GB2312"/>
                <w:kern w:val="0"/>
                <w:sz w:val="21"/>
                <w:lang w:eastAsia="zh-CN"/>
              </w:rPr>
              <w:t>数量指标</w:t>
            </w:r>
          </w:p>
        </w:tc>
        <w:tc>
          <w:tcPr>
            <w:tcW w:w="2370" w:type="dxa"/>
            <w:gridSpan w:val="3"/>
            <w:vAlign w:val="center"/>
          </w:tcPr>
          <w:p>
            <w:pPr>
              <w:widowControl/>
              <w:jc w:val="center"/>
              <w:rPr>
                <w:rFonts w:hint="eastAsia" w:ascii="仿宋_GB2312" w:hAnsi="宋体" w:eastAsia="仿宋_GB2312" w:cs="Times New Roman"/>
                <w:kern w:val="0"/>
                <w:sz w:val="21"/>
                <w:lang w:eastAsia="zh-CN"/>
              </w:rPr>
            </w:pPr>
            <w:r>
              <w:rPr>
                <w:rFonts w:hint="eastAsia" w:ascii="仿宋_GB2312" w:hAnsi="宋体" w:eastAsia="仿宋_GB2312" w:cs="Times New Roman"/>
                <w:kern w:val="0"/>
                <w:sz w:val="21"/>
                <w:lang w:eastAsia="zh-CN"/>
              </w:rPr>
              <w:t>为企业解决融资家数</w:t>
            </w:r>
          </w:p>
        </w:tc>
        <w:tc>
          <w:tcPr>
            <w:tcW w:w="1466" w:type="dxa"/>
            <w:vAlign w:val="center"/>
          </w:tcPr>
          <w:p>
            <w:pPr>
              <w:widowControl/>
              <w:jc w:val="center"/>
              <w:rPr>
                <w:rFonts w:hint="eastAsia" w:ascii="仿宋_GB2312" w:hAnsi="宋体" w:eastAsia="仿宋_GB2312" w:cs="Times New Roman"/>
                <w:kern w:val="0"/>
                <w:sz w:val="21"/>
                <w:lang w:val="en-US" w:eastAsia="zh-CN"/>
              </w:rPr>
            </w:pPr>
            <w:r>
              <w:rPr>
                <w:rFonts w:hint="eastAsia" w:ascii="仿宋_GB2312" w:hAnsi="宋体" w:eastAsia="仿宋_GB2312" w:cs="Times New Roman"/>
                <w:kern w:val="0"/>
                <w:sz w:val="21"/>
                <w:lang w:val="en-US" w:eastAsia="zh-CN"/>
              </w:rPr>
              <w:t>40家</w:t>
            </w:r>
          </w:p>
        </w:tc>
        <w:tc>
          <w:tcPr>
            <w:tcW w:w="1319" w:type="dxa"/>
            <w:gridSpan w:val="2"/>
            <w:vAlign w:val="center"/>
          </w:tcPr>
          <w:p>
            <w:pPr>
              <w:widowControl/>
              <w:jc w:val="center"/>
              <w:rPr>
                <w:rFonts w:hint="eastAsia" w:ascii="仿宋_GB2312" w:hAnsi="宋体" w:eastAsia="仿宋_GB2312" w:cs="Times New Roman"/>
                <w:kern w:val="0"/>
                <w:sz w:val="21"/>
                <w:lang w:val="en-US" w:eastAsia="zh-CN"/>
              </w:rPr>
            </w:pPr>
            <w:r>
              <w:rPr>
                <w:rFonts w:hint="eastAsia" w:ascii="仿宋_GB2312" w:hAnsi="宋体" w:eastAsia="仿宋_GB2312" w:cs="Times New Roman"/>
                <w:kern w:val="0"/>
                <w:sz w:val="21"/>
                <w:lang w:val="en-US" w:eastAsia="zh-CN"/>
              </w:rPr>
              <w:t>278家</w:t>
            </w:r>
          </w:p>
        </w:tc>
        <w:tc>
          <w:tcPr>
            <w:tcW w:w="877" w:type="dxa"/>
            <w:vMerge w:val="continue"/>
            <w:vAlign w:val="center"/>
          </w:tcPr>
          <w:p>
            <w:pPr>
              <w:widowControl/>
              <w:jc w:val="center"/>
              <w:rPr>
                <w:rFonts w:ascii="仿宋_GB2312" w:hAnsi="宋体" w:eastAsia="仿宋_GB2312"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8" w:type="dxa"/>
            <w:vMerge w:val="continue"/>
            <w:vAlign w:val="center"/>
          </w:tcPr>
          <w:p>
            <w:pPr>
              <w:widowControl/>
              <w:jc w:val="center"/>
              <w:rPr>
                <w:rFonts w:ascii="仿宋_GB2312" w:hAnsi="宋体" w:eastAsia="仿宋_GB2312" w:cs="Times New Roman"/>
                <w:kern w:val="0"/>
                <w:sz w:val="21"/>
              </w:rPr>
            </w:pPr>
          </w:p>
        </w:tc>
        <w:tc>
          <w:tcPr>
            <w:tcW w:w="942" w:type="dxa"/>
            <w:vMerge w:val="continue"/>
            <w:vAlign w:val="center"/>
          </w:tcPr>
          <w:p>
            <w:pPr>
              <w:jc w:val="center"/>
              <w:rPr>
                <w:rFonts w:ascii="仿宋_GB2312" w:hAnsi="宋体" w:eastAsia="仿宋_GB2312" w:cs="Times New Roman"/>
                <w:kern w:val="0"/>
                <w:sz w:val="21"/>
              </w:rPr>
            </w:pPr>
          </w:p>
        </w:tc>
        <w:tc>
          <w:tcPr>
            <w:tcW w:w="1146" w:type="dxa"/>
            <w:gridSpan w:val="2"/>
            <w:vAlign w:val="center"/>
          </w:tcPr>
          <w:p>
            <w:pPr>
              <w:widowControl/>
              <w:jc w:val="center"/>
              <w:rPr>
                <w:rFonts w:hint="eastAsia" w:ascii="仿宋_GB2312" w:hAnsi="宋体" w:eastAsia="仿宋_GB2312" w:cs="Times New Roman"/>
                <w:kern w:val="0"/>
                <w:sz w:val="21"/>
                <w:lang w:eastAsia="zh-CN"/>
              </w:rPr>
            </w:pPr>
            <w:r>
              <w:rPr>
                <w:rFonts w:hint="eastAsia" w:ascii="仿宋_GB2312" w:hAnsi="宋体" w:eastAsia="仿宋_GB2312" w:cs="仿宋_GB2312"/>
                <w:kern w:val="0"/>
                <w:sz w:val="21"/>
                <w:lang w:eastAsia="zh-CN"/>
              </w:rPr>
              <w:t>质量指标</w:t>
            </w:r>
          </w:p>
        </w:tc>
        <w:tc>
          <w:tcPr>
            <w:tcW w:w="2370" w:type="dxa"/>
            <w:gridSpan w:val="3"/>
            <w:vAlign w:val="center"/>
          </w:tcPr>
          <w:p>
            <w:pPr>
              <w:widowControl/>
              <w:jc w:val="center"/>
              <w:rPr>
                <w:rFonts w:ascii="仿宋_GB2312" w:hAnsi="宋体" w:eastAsia="仿宋_GB2312" w:cs="Times New Roman"/>
                <w:kern w:val="0"/>
                <w:sz w:val="21"/>
              </w:rPr>
            </w:pPr>
            <w:r>
              <w:rPr>
                <w:rFonts w:hint="eastAsia" w:ascii="仿宋_GB2312" w:hAnsi="宋体" w:eastAsia="仿宋_GB2312" w:cs="Times New Roman"/>
                <w:kern w:val="0"/>
                <w:sz w:val="21"/>
                <w:lang w:eastAsia="zh-CN"/>
              </w:rPr>
              <w:t>不良贷款降比率</w:t>
            </w:r>
          </w:p>
        </w:tc>
        <w:tc>
          <w:tcPr>
            <w:tcW w:w="1466" w:type="dxa"/>
            <w:vAlign w:val="center"/>
          </w:tcPr>
          <w:p>
            <w:pPr>
              <w:widowControl/>
              <w:jc w:val="center"/>
              <w:rPr>
                <w:rFonts w:hint="eastAsia" w:ascii="仿宋_GB2312" w:hAnsi="宋体" w:eastAsia="仿宋_GB2312" w:cs="Times New Roman"/>
                <w:kern w:val="0"/>
                <w:sz w:val="21"/>
                <w:lang w:eastAsia="zh-CN"/>
              </w:rPr>
            </w:pPr>
            <w:r>
              <w:rPr>
                <w:rFonts w:hint="eastAsia" w:ascii="仿宋_GB2312" w:hAnsi="宋体" w:eastAsia="仿宋_GB2312" w:cs="Times New Roman"/>
                <w:kern w:val="0"/>
                <w:sz w:val="21"/>
                <w:lang w:eastAsia="zh-CN"/>
              </w:rPr>
              <w:t>降低</w:t>
            </w:r>
          </w:p>
        </w:tc>
        <w:tc>
          <w:tcPr>
            <w:tcW w:w="1319" w:type="dxa"/>
            <w:gridSpan w:val="2"/>
            <w:vAlign w:val="center"/>
          </w:tcPr>
          <w:p>
            <w:pPr>
              <w:widowControl/>
              <w:jc w:val="center"/>
              <w:rPr>
                <w:rFonts w:hint="eastAsia" w:ascii="仿宋_GB2312" w:hAnsi="宋体" w:eastAsia="仿宋_GB2312" w:cs="Times New Roman"/>
                <w:kern w:val="0"/>
                <w:sz w:val="21"/>
                <w:lang w:eastAsia="zh-CN"/>
              </w:rPr>
            </w:pPr>
            <w:r>
              <w:rPr>
                <w:rFonts w:hint="eastAsia" w:ascii="仿宋_GB2312" w:hAnsi="宋体" w:eastAsia="仿宋_GB2312" w:cs="Times New Roman"/>
                <w:kern w:val="0"/>
                <w:sz w:val="21"/>
                <w:lang w:eastAsia="zh-CN"/>
              </w:rPr>
              <w:t>降低</w:t>
            </w:r>
          </w:p>
        </w:tc>
        <w:tc>
          <w:tcPr>
            <w:tcW w:w="877" w:type="dxa"/>
            <w:vMerge w:val="continue"/>
            <w:vAlign w:val="center"/>
          </w:tcPr>
          <w:p>
            <w:pPr>
              <w:widowControl/>
              <w:jc w:val="center"/>
              <w:rPr>
                <w:rFonts w:ascii="仿宋_GB2312" w:hAnsi="宋体" w:eastAsia="仿宋_GB2312"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8" w:type="dxa"/>
            <w:vMerge w:val="continue"/>
            <w:vAlign w:val="center"/>
          </w:tcPr>
          <w:p>
            <w:pPr>
              <w:widowControl/>
              <w:jc w:val="center"/>
              <w:rPr>
                <w:rFonts w:ascii="仿宋_GB2312" w:hAnsi="宋体" w:eastAsia="仿宋_GB2312" w:cs="Times New Roman"/>
                <w:kern w:val="0"/>
                <w:sz w:val="21"/>
              </w:rPr>
            </w:pPr>
          </w:p>
        </w:tc>
        <w:tc>
          <w:tcPr>
            <w:tcW w:w="942" w:type="dxa"/>
            <w:vAlign w:val="center"/>
          </w:tcPr>
          <w:p>
            <w:pPr>
              <w:jc w:val="center"/>
              <w:rPr>
                <w:rFonts w:ascii="仿宋_GB2312" w:hAnsi="宋体" w:eastAsia="仿宋_GB2312" w:cs="Times New Roman"/>
                <w:kern w:val="0"/>
                <w:sz w:val="21"/>
              </w:rPr>
            </w:pPr>
            <w:r>
              <w:rPr>
                <w:rFonts w:hint="eastAsia" w:ascii="仿宋_GB2312" w:hAnsi="宋体" w:eastAsia="仿宋_GB2312" w:cs="Times New Roman"/>
                <w:kern w:val="0"/>
                <w:sz w:val="21"/>
              </w:rPr>
              <w:t>满意度指标</w:t>
            </w:r>
          </w:p>
        </w:tc>
        <w:tc>
          <w:tcPr>
            <w:tcW w:w="1146" w:type="dxa"/>
            <w:gridSpan w:val="2"/>
            <w:vAlign w:val="center"/>
          </w:tcPr>
          <w:p>
            <w:pPr>
              <w:widowControl/>
              <w:jc w:val="center"/>
              <w:rPr>
                <w:rFonts w:hint="eastAsia" w:ascii="仿宋_GB2312" w:hAnsi="宋体" w:eastAsia="仿宋_GB2312" w:cs="仿宋_GB2312"/>
                <w:kern w:val="0"/>
                <w:sz w:val="21"/>
                <w:lang w:eastAsia="zh-CN"/>
              </w:rPr>
            </w:pPr>
            <w:r>
              <w:rPr>
                <w:rFonts w:hint="eastAsia" w:ascii="仿宋_GB2312" w:hAnsi="宋体" w:eastAsia="仿宋_GB2312" w:cs="仿宋_GB2312"/>
                <w:kern w:val="0"/>
                <w:sz w:val="21"/>
                <w:lang w:eastAsia="zh-CN"/>
              </w:rPr>
              <w:t>服务对象满意度指标</w:t>
            </w:r>
          </w:p>
        </w:tc>
        <w:tc>
          <w:tcPr>
            <w:tcW w:w="2370" w:type="dxa"/>
            <w:gridSpan w:val="3"/>
            <w:vAlign w:val="center"/>
          </w:tcPr>
          <w:p>
            <w:pPr>
              <w:widowControl/>
              <w:jc w:val="center"/>
              <w:rPr>
                <w:rFonts w:hint="eastAsia" w:ascii="仿宋_GB2312" w:hAnsi="宋体" w:eastAsia="仿宋_GB2312" w:cs="仿宋_GB2312"/>
                <w:kern w:val="0"/>
                <w:sz w:val="21"/>
                <w:lang w:eastAsia="zh-CN"/>
              </w:rPr>
            </w:pPr>
            <w:r>
              <w:rPr>
                <w:rFonts w:hint="eastAsia" w:ascii="仿宋_GB2312" w:hAnsi="宋体" w:eastAsia="仿宋_GB2312" w:cs="仿宋_GB2312"/>
                <w:kern w:val="0"/>
                <w:sz w:val="21"/>
                <w:lang w:eastAsia="zh-CN"/>
              </w:rPr>
              <w:t>企业满意度</w:t>
            </w:r>
          </w:p>
        </w:tc>
        <w:tc>
          <w:tcPr>
            <w:tcW w:w="1466" w:type="dxa"/>
            <w:vAlign w:val="center"/>
          </w:tcPr>
          <w:p>
            <w:pPr>
              <w:widowControl/>
              <w:jc w:val="center"/>
              <w:rPr>
                <w:rFonts w:hint="eastAsia" w:ascii="仿宋_GB2312" w:hAnsi="宋体" w:eastAsia="仿宋_GB2312" w:cs="仿宋_GB2312"/>
                <w:kern w:val="0"/>
                <w:sz w:val="21"/>
                <w:lang w:val="en-US" w:eastAsia="zh-CN"/>
              </w:rPr>
            </w:pPr>
            <w:r>
              <w:rPr>
                <w:rFonts w:hint="eastAsia" w:ascii="仿宋_GB2312" w:hAnsi="宋体" w:eastAsia="仿宋_GB2312" w:cs="仿宋_GB2312"/>
                <w:kern w:val="0"/>
                <w:sz w:val="21"/>
                <w:lang w:val="en-US" w:eastAsia="zh-CN"/>
              </w:rPr>
              <w:t>98%</w:t>
            </w:r>
          </w:p>
        </w:tc>
        <w:tc>
          <w:tcPr>
            <w:tcW w:w="1319" w:type="dxa"/>
            <w:gridSpan w:val="2"/>
            <w:vAlign w:val="center"/>
          </w:tcPr>
          <w:p>
            <w:pPr>
              <w:widowControl/>
              <w:jc w:val="center"/>
              <w:rPr>
                <w:rFonts w:hint="eastAsia" w:ascii="仿宋_GB2312" w:hAnsi="宋体" w:eastAsia="仿宋_GB2312" w:cs="仿宋_GB2312"/>
                <w:kern w:val="0"/>
                <w:sz w:val="21"/>
                <w:lang w:val="en-US" w:eastAsia="zh-CN"/>
              </w:rPr>
            </w:pPr>
            <w:r>
              <w:rPr>
                <w:rFonts w:hint="eastAsia" w:ascii="仿宋_GB2312" w:hAnsi="宋体" w:eastAsia="仿宋_GB2312" w:cs="仿宋_GB2312"/>
                <w:kern w:val="0"/>
                <w:sz w:val="21"/>
                <w:lang w:val="en-US" w:eastAsia="zh-CN"/>
              </w:rPr>
              <w:t>100%</w:t>
            </w:r>
          </w:p>
        </w:tc>
        <w:tc>
          <w:tcPr>
            <w:tcW w:w="877" w:type="dxa"/>
            <w:vMerge w:val="continue"/>
            <w:vAlign w:val="center"/>
          </w:tcPr>
          <w:p>
            <w:pPr>
              <w:widowControl/>
              <w:jc w:val="center"/>
              <w:rPr>
                <w:rFonts w:ascii="仿宋_GB2312" w:hAnsi="宋体" w:eastAsia="仿宋_GB2312"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770" w:type="dxa"/>
            <w:gridSpan w:val="2"/>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年度绩效目标</w:t>
            </w:r>
            <w:r>
              <w:rPr>
                <w:rFonts w:ascii="仿宋_GB2312" w:hAnsi="宋体" w:eastAsia="仿宋_GB2312" w:cs="仿宋_GB2312"/>
                <w:kern w:val="0"/>
                <w:sz w:val="21"/>
              </w:rPr>
              <w:t>2</w:t>
            </w:r>
            <w:r>
              <w:rPr>
                <w:rFonts w:hint="eastAsia" w:ascii="仿宋_GB2312" w:hAnsi="宋体" w:eastAsia="仿宋_GB2312" w:cs="仿宋_GB2312"/>
                <w:kern w:val="0"/>
                <w:sz w:val="21"/>
              </w:rPr>
              <w:t>（</w:t>
            </w:r>
            <w:r>
              <w:rPr>
                <w:rFonts w:hint="eastAsia" w:ascii="仿宋_GB2312" w:hAnsi="宋体" w:eastAsia="仿宋_GB2312" w:cs="仿宋_GB2312"/>
                <w:kern w:val="0"/>
                <w:sz w:val="21"/>
                <w:lang w:val="en-US" w:eastAsia="zh-CN"/>
              </w:rPr>
              <w:t>40</w:t>
            </w:r>
            <w:r>
              <w:rPr>
                <w:rFonts w:hint="eastAsia" w:ascii="仿宋_GB2312" w:hAnsi="宋体" w:eastAsia="仿宋_GB2312" w:cs="仿宋_GB2312"/>
                <w:kern w:val="0"/>
                <w:sz w:val="21"/>
              </w:rPr>
              <w:t>分）</w:t>
            </w:r>
          </w:p>
        </w:tc>
        <w:tc>
          <w:tcPr>
            <w:tcW w:w="7178" w:type="dxa"/>
            <w:gridSpan w:val="9"/>
            <w:vAlign w:val="center"/>
          </w:tcPr>
          <w:p>
            <w:pPr>
              <w:widowControl/>
              <w:jc w:val="left"/>
              <w:rPr>
                <w:rFonts w:ascii="仿宋_GB2312" w:hAnsi="宋体" w:eastAsia="仿宋_GB2312" w:cs="Times New Roman"/>
                <w:kern w:val="0"/>
                <w:sz w:val="21"/>
              </w:rPr>
            </w:pPr>
            <w:r>
              <w:rPr>
                <w:rFonts w:hint="eastAsia" w:ascii="仿宋_GB2312" w:hAnsi="宋体" w:eastAsia="仿宋_GB2312" w:cs="Times New Roman"/>
                <w:kern w:val="0"/>
                <w:sz w:val="21"/>
              </w:rPr>
              <w:t>坚持培育一批企业，力争今年报辅1家、四板挂牌1</w:t>
            </w:r>
            <w:r>
              <w:rPr>
                <w:rFonts w:hint="eastAsia" w:ascii="仿宋_GB2312" w:hAnsi="宋体" w:eastAsia="仿宋_GB2312" w:cs="Times New Roman"/>
                <w:kern w:val="0"/>
                <w:sz w:val="21"/>
                <w:lang w:val="en-US" w:eastAsia="zh-CN"/>
              </w:rPr>
              <w:t>0</w:t>
            </w:r>
            <w:r>
              <w:rPr>
                <w:rFonts w:hint="eastAsia" w:ascii="仿宋_GB2312" w:hAnsi="宋体" w:eastAsia="仿宋_GB2312" w:cs="Times New Roman"/>
                <w:kern w:val="0"/>
                <w:sz w:val="21"/>
              </w:rPr>
              <w:t>家、股权融资奖励1家。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8" w:type="dxa"/>
            <w:vMerge w:val="restart"/>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年度绩效指标</w:t>
            </w:r>
          </w:p>
        </w:tc>
        <w:tc>
          <w:tcPr>
            <w:tcW w:w="942" w:type="dxa"/>
            <w:vAlign w:val="center"/>
          </w:tcPr>
          <w:p>
            <w:pPr>
              <w:jc w:val="center"/>
              <w:rPr>
                <w:rFonts w:ascii="仿宋_GB2312" w:hAnsi="宋体" w:eastAsia="仿宋_GB2312" w:cs="Times New Roman"/>
                <w:kern w:val="0"/>
                <w:sz w:val="21"/>
              </w:rPr>
            </w:pPr>
            <w:r>
              <w:rPr>
                <w:rFonts w:hint="eastAsia" w:ascii="仿宋_GB2312" w:hAnsi="宋体" w:eastAsia="仿宋_GB2312" w:cs="仿宋_GB2312"/>
                <w:kern w:val="0"/>
                <w:sz w:val="21"/>
              </w:rPr>
              <w:t>一级指标</w:t>
            </w:r>
          </w:p>
        </w:tc>
        <w:tc>
          <w:tcPr>
            <w:tcW w:w="1146" w:type="dxa"/>
            <w:gridSpan w:val="2"/>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二级指标</w:t>
            </w:r>
          </w:p>
        </w:tc>
        <w:tc>
          <w:tcPr>
            <w:tcW w:w="2370" w:type="dxa"/>
            <w:gridSpan w:val="3"/>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三级指标</w:t>
            </w:r>
          </w:p>
        </w:tc>
        <w:tc>
          <w:tcPr>
            <w:tcW w:w="1466" w:type="dxa"/>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年初目标值（</w:t>
            </w:r>
            <w:r>
              <w:rPr>
                <w:rFonts w:ascii="仿宋_GB2312" w:hAnsi="宋体" w:eastAsia="仿宋_GB2312" w:cs="仿宋_GB2312"/>
                <w:kern w:val="0"/>
                <w:sz w:val="21"/>
              </w:rPr>
              <w:t>A</w:t>
            </w:r>
            <w:r>
              <w:rPr>
                <w:rFonts w:hint="eastAsia" w:ascii="仿宋_GB2312" w:hAnsi="宋体" w:eastAsia="仿宋_GB2312" w:cs="仿宋_GB2312"/>
                <w:kern w:val="0"/>
                <w:sz w:val="21"/>
              </w:rPr>
              <w:t>）</w:t>
            </w:r>
          </w:p>
        </w:tc>
        <w:tc>
          <w:tcPr>
            <w:tcW w:w="1319" w:type="dxa"/>
            <w:gridSpan w:val="2"/>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实际完成值（</w:t>
            </w:r>
            <w:r>
              <w:rPr>
                <w:rFonts w:ascii="仿宋_GB2312" w:hAnsi="宋体" w:eastAsia="仿宋_GB2312" w:cs="仿宋_GB2312"/>
                <w:kern w:val="0"/>
                <w:sz w:val="21"/>
              </w:rPr>
              <w:t>B</w:t>
            </w:r>
            <w:r>
              <w:rPr>
                <w:rFonts w:hint="eastAsia" w:ascii="仿宋_GB2312" w:hAnsi="宋体" w:eastAsia="仿宋_GB2312" w:cs="仿宋_GB2312"/>
                <w:kern w:val="0"/>
                <w:sz w:val="21"/>
              </w:rPr>
              <w:t>）</w:t>
            </w:r>
          </w:p>
        </w:tc>
        <w:tc>
          <w:tcPr>
            <w:tcW w:w="877" w:type="dxa"/>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8" w:type="dxa"/>
            <w:vMerge w:val="continue"/>
            <w:vAlign w:val="center"/>
          </w:tcPr>
          <w:p>
            <w:pPr>
              <w:jc w:val="center"/>
              <w:rPr>
                <w:rFonts w:hint="eastAsia" w:ascii="仿宋_GB2312" w:hAnsi="宋体" w:eastAsia="仿宋_GB2312" w:cs="仿宋_GB2312"/>
                <w:kern w:val="0"/>
                <w:sz w:val="21"/>
              </w:rPr>
            </w:pPr>
          </w:p>
        </w:tc>
        <w:tc>
          <w:tcPr>
            <w:tcW w:w="942" w:type="dxa"/>
            <w:vMerge w:val="restart"/>
            <w:vAlign w:val="center"/>
          </w:tcPr>
          <w:p>
            <w:pPr>
              <w:jc w:val="center"/>
              <w:rPr>
                <w:rFonts w:ascii="仿宋_GB2312" w:hAnsi="宋体" w:eastAsia="仿宋_GB2312" w:cs="Times New Roman"/>
                <w:kern w:val="0"/>
                <w:sz w:val="21"/>
              </w:rPr>
            </w:pPr>
            <w:r>
              <w:rPr>
                <w:rFonts w:hint="eastAsia" w:ascii="仿宋_GB2312" w:hAnsi="宋体" w:eastAsia="仿宋_GB2312" w:cs="仿宋_GB2312"/>
                <w:kern w:val="0"/>
                <w:sz w:val="21"/>
              </w:rPr>
              <w:t>产出指标</w:t>
            </w:r>
          </w:p>
        </w:tc>
        <w:tc>
          <w:tcPr>
            <w:tcW w:w="1146" w:type="dxa"/>
            <w:gridSpan w:val="2"/>
            <w:vMerge w:val="restart"/>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lang w:eastAsia="zh-CN"/>
              </w:rPr>
              <w:t>数量指标</w:t>
            </w:r>
          </w:p>
        </w:tc>
        <w:tc>
          <w:tcPr>
            <w:tcW w:w="2370" w:type="dxa"/>
            <w:gridSpan w:val="3"/>
            <w:vAlign w:val="center"/>
          </w:tcPr>
          <w:p>
            <w:pPr>
              <w:widowControl/>
              <w:jc w:val="center"/>
              <w:rPr>
                <w:rFonts w:hint="eastAsia" w:ascii="仿宋_GB2312" w:hAnsi="宋体" w:eastAsia="仿宋_GB2312" w:cs="Times New Roman"/>
                <w:kern w:val="0"/>
                <w:sz w:val="21"/>
                <w:lang w:eastAsia="zh-CN"/>
              </w:rPr>
            </w:pPr>
            <w:r>
              <w:rPr>
                <w:rFonts w:hint="eastAsia" w:ascii="仿宋_GB2312" w:hAnsi="宋体" w:eastAsia="仿宋_GB2312" w:cs="Times New Roman"/>
                <w:kern w:val="0"/>
                <w:sz w:val="21"/>
                <w:lang w:eastAsia="zh-CN"/>
              </w:rPr>
              <w:t>四板挂牌企业</w:t>
            </w:r>
          </w:p>
        </w:tc>
        <w:tc>
          <w:tcPr>
            <w:tcW w:w="1466" w:type="dxa"/>
            <w:vAlign w:val="center"/>
          </w:tcPr>
          <w:p>
            <w:pPr>
              <w:widowControl/>
              <w:jc w:val="center"/>
              <w:rPr>
                <w:rFonts w:ascii="仿宋_GB2312" w:hAnsi="宋体" w:eastAsia="仿宋_GB2312" w:cs="Times New Roman"/>
                <w:kern w:val="0"/>
                <w:sz w:val="21"/>
              </w:rPr>
            </w:pPr>
            <w:r>
              <w:rPr>
                <w:rFonts w:hint="eastAsia" w:ascii="仿宋_GB2312" w:hAnsi="宋体" w:eastAsia="仿宋_GB2312" w:cs="Times New Roman"/>
                <w:kern w:val="0"/>
                <w:sz w:val="21"/>
                <w:lang w:val="en-US" w:eastAsia="zh-CN"/>
              </w:rPr>
              <w:t>10家</w:t>
            </w:r>
          </w:p>
        </w:tc>
        <w:tc>
          <w:tcPr>
            <w:tcW w:w="1319" w:type="dxa"/>
            <w:gridSpan w:val="2"/>
            <w:vAlign w:val="center"/>
          </w:tcPr>
          <w:p>
            <w:pPr>
              <w:widowControl/>
              <w:jc w:val="center"/>
              <w:rPr>
                <w:rFonts w:ascii="仿宋_GB2312" w:hAnsi="宋体" w:eastAsia="仿宋_GB2312" w:cs="Times New Roman"/>
                <w:kern w:val="0"/>
                <w:sz w:val="21"/>
              </w:rPr>
            </w:pPr>
            <w:r>
              <w:rPr>
                <w:rFonts w:hint="eastAsia" w:ascii="仿宋_GB2312" w:hAnsi="宋体" w:eastAsia="仿宋_GB2312" w:cs="Times New Roman"/>
                <w:kern w:val="0"/>
                <w:sz w:val="21"/>
                <w:lang w:val="en-US" w:eastAsia="zh-CN"/>
              </w:rPr>
              <w:t>9家</w:t>
            </w:r>
          </w:p>
        </w:tc>
        <w:tc>
          <w:tcPr>
            <w:tcW w:w="877" w:type="dxa"/>
            <w:vMerge w:val="restart"/>
            <w:vAlign w:val="center"/>
          </w:tcPr>
          <w:p>
            <w:pPr>
              <w:widowControl/>
              <w:jc w:val="center"/>
              <w:rPr>
                <w:rFonts w:ascii="仿宋_GB2312" w:hAnsi="宋体" w:eastAsia="仿宋_GB2312" w:cs="Times New Roman"/>
                <w:kern w:val="0"/>
                <w:sz w:val="21"/>
              </w:rPr>
            </w:pPr>
            <w:r>
              <w:rPr>
                <w:rFonts w:hint="eastAsia" w:ascii="仿宋_GB2312" w:hAnsi="宋体" w:eastAsia="仿宋_GB2312" w:cs="Times New Roman"/>
                <w:kern w:val="0"/>
                <w:sz w:val="21"/>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28" w:type="dxa"/>
            <w:vMerge w:val="continue"/>
            <w:vAlign w:val="center"/>
          </w:tcPr>
          <w:p>
            <w:pPr>
              <w:widowControl/>
              <w:jc w:val="center"/>
              <w:rPr>
                <w:rFonts w:hint="eastAsia" w:ascii="仿宋_GB2312" w:hAnsi="宋体" w:eastAsia="仿宋_GB2312" w:cs="仿宋_GB2312"/>
                <w:kern w:val="0"/>
                <w:sz w:val="21"/>
              </w:rPr>
            </w:pPr>
          </w:p>
        </w:tc>
        <w:tc>
          <w:tcPr>
            <w:tcW w:w="942" w:type="dxa"/>
            <w:vMerge w:val="continue"/>
            <w:vAlign w:val="center"/>
          </w:tcPr>
          <w:p>
            <w:pPr>
              <w:widowControl/>
              <w:jc w:val="center"/>
              <w:rPr>
                <w:rFonts w:ascii="仿宋_GB2312" w:hAnsi="宋体" w:eastAsia="仿宋_GB2312" w:cs="Times New Roman"/>
                <w:kern w:val="0"/>
                <w:sz w:val="21"/>
              </w:rPr>
            </w:pPr>
          </w:p>
        </w:tc>
        <w:tc>
          <w:tcPr>
            <w:tcW w:w="1146" w:type="dxa"/>
            <w:gridSpan w:val="2"/>
            <w:vMerge w:val="continue"/>
            <w:vAlign w:val="center"/>
          </w:tcPr>
          <w:p>
            <w:pPr>
              <w:widowControl/>
              <w:jc w:val="center"/>
              <w:rPr>
                <w:rFonts w:hint="eastAsia" w:ascii="仿宋_GB2312" w:hAnsi="宋体" w:eastAsia="仿宋_GB2312" w:cs="Times New Roman"/>
                <w:kern w:val="0"/>
                <w:sz w:val="21"/>
                <w:lang w:eastAsia="zh-CN"/>
              </w:rPr>
            </w:pPr>
          </w:p>
        </w:tc>
        <w:tc>
          <w:tcPr>
            <w:tcW w:w="2370" w:type="dxa"/>
            <w:gridSpan w:val="3"/>
            <w:vAlign w:val="center"/>
          </w:tcPr>
          <w:p>
            <w:pPr>
              <w:widowControl/>
              <w:jc w:val="center"/>
              <w:rPr>
                <w:rFonts w:hint="eastAsia" w:ascii="仿宋_GB2312" w:hAnsi="宋体" w:eastAsia="仿宋_GB2312" w:cs="Times New Roman"/>
                <w:kern w:val="0"/>
                <w:sz w:val="21"/>
                <w:lang w:eastAsia="zh-CN"/>
              </w:rPr>
            </w:pPr>
            <w:r>
              <w:rPr>
                <w:rFonts w:hint="eastAsia" w:ascii="仿宋_GB2312" w:hAnsi="宋体" w:eastAsia="仿宋_GB2312" w:cs="Times New Roman"/>
                <w:kern w:val="0"/>
                <w:sz w:val="21"/>
                <w:lang w:eastAsia="zh-CN"/>
              </w:rPr>
              <w:t>股权融资奖励发放企业</w:t>
            </w:r>
          </w:p>
        </w:tc>
        <w:tc>
          <w:tcPr>
            <w:tcW w:w="1466" w:type="dxa"/>
            <w:vAlign w:val="center"/>
          </w:tcPr>
          <w:p>
            <w:pPr>
              <w:widowControl/>
              <w:jc w:val="center"/>
              <w:rPr>
                <w:rFonts w:hint="eastAsia" w:ascii="仿宋_GB2312" w:hAnsi="宋体" w:eastAsia="仿宋_GB2312" w:cs="Times New Roman"/>
                <w:kern w:val="0"/>
                <w:sz w:val="21"/>
                <w:lang w:val="en-US" w:eastAsia="zh-CN"/>
              </w:rPr>
            </w:pPr>
            <w:r>
              <w:rPr>
                <w:rFonts w:hint="eastAsia" w:ascii="仿宋_GB2312" w:hAnsi="宋体" w:eastAsia="仿宋_GB2312" w:cs="Times New Roman"/>
                <w:kern w:val="0"/>
                <w:sz w:val="21"/>
                <w:lang w:val="en-US" w:eastAsia="zh-CN"/>
              </w:rPr>
              <w:t>1家</w:t>
            </w:r>
          </w:p>
        </w:tc>
        <w:tc>
          <w:tcPr>
            <w:tcW w:w="1319" w:type="dxa"/>
            <w:gridSpan w:val="2"/>
            <w:vAlign w:val="center"/>
          </w:tcPr>
          <w:p>
            <w:pPr>
              <w:widowControl/>
              <w:jc w:val="center"/>
              <w:rPr>
                <w:rFonts w:hint="eastAsia" w:ascii="仿宋_GB2312" w:hAnsi="宋体" w:eastAsia="仿宋_GB2312" w:cs="Times New Roman"/>
                <w:kern w:val="0"/>
                <w:sz w:val="21"/>
                <w:lang w:val="en-US" w:eastAsia="zh-CN"/>
              </w:rPr>
            </w:pPr>
            <w:r>
              <w:rPr>
                <w:rFonts w:hint="eastAsia" w:ascii="仿宋_GB2312" w:hAnsi="宋体" w:eastAsia="仿宋_GB2312" w:cs="Times New Roman"/>
                <w:kern w:val="0"/>
                <w:sz w:val="21"/>
                <w:lang w:val="en-US" w:eastAsia="zh-CN"/>
              </w:rPr>
              <w:t>1家</w:t>
            </w:r>
          </w:p>
        </w:tc>
        <w:tc>
          <w:tcPr>
            <w:tcW w:w="877" w:type="dxa"/>
            <w:vMerge w:val="continue"/>
            <w:vAlign w:val="center"/>
          </w:tcPr>
          <w:p>
            <w:pPr>
              <w:widowControl/>
              <w:jc w:val="center"/>
              <w:rPr>
                <w:rFonts w:ascii="仿宋_GB2312" w:hAnsi="宋体" w:eastAsia="仿宋_GB2312"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28" w:type="dxa"/>
            <w:vMerge w:val="continue"/>
            <w:vAlign w:val="center"/>
          </w:tcPr>
          <w:p>
            <w:pPr>
              <w:widowControl/>
              <w:jc w:val="center"/>
              <w:rPr>
                <w:rFonts w:hint="eastAsia" w:ascii="仿宋_GB2312" w:hAnsi="宋体" w:eastAsia="仿宋_GB2312" w:cs="仿宋_GB2312"/>
                <w:kern w:val="0"/>
                <w:sz w:val="21"/>
              </w:rPr>
            </w:pPr>
          </w:p>
        </w:tc>
        <w:tc>
          <w:tcPr>
            <w:tcW w:w="942" w:type="dxa"/>
            <w:vMerge w:val="continue"/>
            <w:vAlign w:val="center"/>
          </w:tcPr>
          <w:p>
            <w:pPr>
              <w:widowControl/>
              <w:jc w:val="center"/>
              <w:rPr>
                <w:rFonts w:ascii="仿宋_GB2312" w:hAnsi="宋体" w:eastAsia="仿宋_GB2312" w:cs="Times New Roman"/>
                <w:kern w:val="0"/>
                <w:sz w:val="21"/>
              </w:rPr>
            </w:pPr>
          </w:p>
        </w:tc>
        <w:tc>
          <w:tcPr>
            <w:tcW w:w="1146" w:type="dxa"/>
            <w:gridSpan w:val="2"/>
            <w:vMerge w:val="continue"/>
            <w:vAlign w:val="center"/>
          </w:tcPr>
          <w:p>
            <w:pPr>
              <w:widowControl/>
              <w:jc w:val="center"/>
              <w:rPr>
                <w:rFonts w:ascii="仿宋_GB2312" w:hAnsi="宋体" w:eastAsia="仿宋_GB2312" w:cs="Times New Roman"/>
                <w:kern w:val="0"/>
                <w:sz w:val="21"/>
              </w:rPr>
            </w:pPr>
          </w:p>
        </w:tc>
        <w:tc>
          <w:tcPr>
            <w:tcW w:w="2370" w:type="dxa"/>
            <w:gridSpan w:val="3"/>
            <w:vAlign w:val="center"/>
          </w:tcPr>
          <w:p>
            <w:pPr>
              <w:widowControl/>
              <w:jc w:val="center"/>
              <w:rPr>
                <w:rFonts w:hint="eastAsia" w:ascii="仿宋_GB2312" w:hAnsi="宋体" w:eastAsia="仿宋_GB2312" w:cs="Times New Roman"/>
                <w:kern w:val="0"/>
                <w:sz w:val="21"/>
                <w:lang w:eastAsia="zh-CN"/>
              </w:rPr>
            </w:pPr>
            <w:r>
              <w:rPr>
                <w:rFonts w:hint="eastAsia" w:ascii="仿宋_GB2312" w:hAnsi="宋体" w:eastAsia="仿宋_GB2312" w:cs="Times New Roman"/>
                <w:kern w:val="0"/>
                <w:sz w:val="21"/>
                <w:lang w:eastAsia="zh-CN"/>
              </w:rPr>
              <w:t>报辅企业</w:t>
            </w:r>
          </w:p>
        </w:tc>
        <w:tc>
          <w:tcPr>
            <w:tcW w:w="1466" w:type="dxa"/>
            <w:vAlign w:val="center"/>
          </w:tcPr>
          <w:p>
            <w:pPr>
              <w:widowControl/>
              <w:jc w:val="center"/>
              <w:rPr>
                <w:rFonts w:hint="eastAsia" w:ascii="仿宋_GB2312" w:hAnsi="宋体" w:eastAsia="仿宋_GB2312" w:cs="Times New Roman"/>
                <w:kern w:val="0"/>
                <w:sz w:val="21"/>
                <w:lang w:val="en-US" w:eastAsia="zh-CN"/>
              </w:rPr>
            </w:pPr>
            <w:r>
              <w:rPr>
                <w:rFonts w:hint="eastAsia" w:ascii="仿宋_GB2312" w:hAnsi="宋体" w:eastAsia="仿宋_GB2312" w:cs="Times New Roman"/>
                <w:kern w:val="0"/>
                <w:sz w:val="21"/>
                <w:lang w:val="en-US" w:eastAsia="zh-CN"/>
              </w:rPr>
              <w:t>1家</w:t>
            </w:r>
          </w:p>
        </w:tc>
        <w:tc>
          <w:tcPr>
            <w:tcW w:w="1319" w:type="dxa"/>
            <w:gridSpan w:val="2"/>
            <w:vAlign w:val="center"/>
          </w:tcPr>
          <w:p>
            <w:pPr>
              <w:widowControl/>
              <w:jc w:val="center"/>
              <w:rPr>
                <w:rFonts w:hint="eastAsia" w:ascii="仿宋_GB2312" w:hAnsi="宋体" w:eastAsia="仿宋_GB2312" w:cs="Times New Roman"/>
                <w:kern w:val="0"/>
                <w:sz w:val="21"/>
                <w:lang w:val="en-US" w:eastAsia="zh-CN"/>
              </w:rPr>
            </w:pPr>
            <w:r>
              <w:rPr>
                <w:rFonts w:hint="eastAsia" w:ascii="仿宋_GB2312" w:hAnsi="宋体" w:eastAsia="仿宋_GB2312" w:cs="Times New Roman"/>
                <w:kern w:val="0"/>
                <w:sz w:val="21"/>
                <w:lang w:val="en-US" w:eastAsia="zh-CN"/>
              </w:rPr>
              <w:t>1家</w:t>
            </w:r>
          </w:p>
        </w:tc>
        <w:tc>
          <w:tcPr>
            <w:tcW w:w="877" w:type="dxa"/>
            <w:vMerge w:val="continue"/>
            <w:vAlign w:val="center"/>
          </w:tcPr>
          <w:p>
            <w:pPr>
              <w:widowControl/>
              <w:jc w:val="center"/>
              <w:rPr>
                <w:rFonts w:ascii="仿宋_GB2312" w:hAnsi="宋体" w:eastAsia="仿宋_GB2312"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28" w:type="dxa"/>
            <w:vMerge w:val="continue"/>
            <w:vAlign w:val="center"/>
          </w:tcPr>
          <w:p>
            <w:pPr>
              <w:widowControl/>
              <w:jc w:val="center"/>
              <w:rPr>
                <w:rFonts w:hint="eastAsia" w:ascii="仿宋_GB2312" w:hAnsi="宋体" w:eastAsia="仿宋_GB2312" w:cs="仿宋_GB2312"/>
                <w:kern w:val="0"/>
                <w:sz w:val="21"/>
              </w:rPr>
            </w:pPr>
          </w:p>
        </w:tc>
        <w:tc>
          <w:tcPr>
            <w:tcW w:w="942" w:type="dxa"/>
            <w:vAlign w:val="center"/>
          </w:tcPr>
          <w:p>
            <w:pPr>
              <w:jc w:val="center"/>
              <w:rPr>
                <w:rFonts w:ascii="仿宋_GB2312" w:hAnsi="宋体" w:eastAsia="仿宋_GB2312" w:cs="Times New Roman"/>
                <w:kern w:val="0"/>
                <w:sz w:val="21"/>
              </w:rPr>
            </w:pPr>
            <w:r>
              <w:rPr>
                <w:rFonts w:hint="eastAsia" w:ascii="仿宋_GB2312" w:hAnsi="宋体" w:eastAsia="仿宋_GB2312" w:cs="Times New Roman"/>
                <w:kern w:val="0"/>
                <w:sz w:val="21"/>
              </w:rPr>
              <w:t>满意度指标</w:t>
            </w:r>
          </w:p>
        </w:tc>
        <w:tc>
          <w:tcPr>
            <w:tcW w:w="1146" w:type="dxa"/>
            <w:gridSpan w:val="2"/>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lang w:eastAsia="zh-CN"/>
              </w:rPr>
              <w:t>服务对象满意度指标</w:t>
            </w:r>
          </w:p>
        </w:tc>
        <w:tc>
          <w:tcPr>
            <w:tcW w:w="2370" w:type="dxa"/>
            <w:gridSpan w:val="3"/>
            <w:vAlign w:val="center"/>
          </w:tcPr>
          <w:p>
            <w:pPr>
              <w:widowControl/>
              <w:jc w:val="center"/>
              <w:rPr>
                <w:rFonts w:hint="eastAsia" w:ascii="仿宋_GB2312" w:hAnsi="宋体" w:eastAsia="仿宋_GB2312" w:cs="Times New Roman"/>
                <w:kern w:val="0"/>
                <w:sz w:val="21"/>
                <w:lang w:eastAsia="zh-CN"/>
              </w:rPr>
            </w:pPr>
            <w:r>
              <w:rPr>
                <w:rFonts w:hint="eastAsia" w:ascii="仿宋_GB2312" w:hAnsi="宋体" w:eastAsia="仿宋_GB2312" w:cs="仿宋_GB2312"/>
                <w:kern w:val="0"/>
                <w:sz w:val="21"/>
                <w:lang w:eastAsia="zh-CN"/>
              </w:rPr>
              <w:t>企业满意度</w:t>
            </w:r>
          </w:p>
        </w:tc>
        <w:tc>
          <w:tcPr>
            <w:tcW w:w="1466" w:type="dxa"/>
            <w:vAlign w:val="center"/>
          </w:tcPr>
          <w:p>
            <w:pPr>
              <w:widowControl/>
              <w:jc w:val="center"/>
              <w:rPr>
                <w:rFonts w:hint="eastAsia" w:ascii="仿宋_GB2312" w:hAnsi="宋体" w:eastAsia="仿宋_GB2312" w:cs="Times New Roman"/>
                <w:kern w:val="0"/>
                <w:sz w:val="21"/>
                <w:lang w:val="en-US" w:eastAsia="zh-CN"/>
              </w:rPr>
            </w:pPr>
            <w:r>
              <w:rPr>
                <w:rFonts w:hint="eastAsia" w:ascii="仿宋_GB2312" w:hAnsi="宋体" w:eastAsia="仿宋_GB2312" w:cs="仿宋_GB2312"/>
                <w:kern w:val="0"/>
                <w:sz w:val="21"/>
                <w:lang w:val="en-US" w:eastAsia="zh-CN"/>
              </w:rPr>
              <w:t>98%</w:t>
            </w:r>
          </w:p>
        </w:tc>
        <w:tc>
          <w:tcPr>
            <w:tcW w:w="1319" w:type="dxa"/>
            <w:gridSpan w:val="2"/>
            <w:vAlign w:val="center"/>
          </w:tcPr>
          <w:p>
            <w:pPr>
              <w:widowControl/>
              <w:jc w:val="center"/>
              <w:rPr>
                <w:rFonts w:hint="eastAsia" w:ascii="仿宋_GB2312" w:hAnsi="宋体" w:eastAsia="仿宋_GB2312" w:cs="Times New Roman"/>
                <w:kern w:val="0"/>
                <w:sz w:val="21"/>
                <w:lang w:val="en-US" w:eastAsia="zh-CN"/>
              </w:rPr>
            </w:pPr>
            <w:r>
              <w:rPr>
                <w:rFonts w:hint="eastAsia" w:ascii="仿宋_GB2312" w:hAnsi="宋体" w:eastAsia="仿宋_GB2312" w:cs="仿宋_GB2312"/>
                <w:kern w:val="0"/>
                <w:sz w:val="21"/>
                <w:lang w:val="en-US" w:eastAsia="zh-CN"/>
              </w:rPr>
              <w:t>100%</w:t>
            </w:r>
          </w:p>
        </w:tc>
        <w:tc>
          <w:tcPr>
            <w:tcW w:w="877" w:type="dxa"/>
            <w:vMerge w:val="continue"/>
            <w:vAlign w:val="center"/>
          </w:tcPr>
          <w:p>
            <w:pPr>
              <w:widowControl/>
              <w:jc w:val="center"/>
              <w:rPr>
                <w:rFonts w:ascii="仿宋_GB2312" w:hAnsi="宋体" w:eastAsia="仿宋_GB2312"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70" w:type="dxa"/>
            <w:gridSpan w:val="2"/>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总分</w:t>
            </w:r>
          </w:p>
        </w:tc>
        <w:tc>
          <w:tcPr>
            <w:tcW w:w="7178" w:type="dxa"/>
            <w:gridSpan w:val="9"/>
            <w:vAlign w:val="center"/>
          </w:tcPr>
          <w:p>
            <w:pPr>
              <w:widowControl/>
              <w:jc w:val="center"/>
              <w:rPr>
                <w:rFonts w:hint="eastAsia" w:ascii="仿宋_GB2312" w:hAnsi="宋体" w:eastAsia="仿宋_GB2312" w:cs="Times New Roman"/>
                <w:kern w:val="0"/>
                <w:sz w:val="21"/>
                <w:lang w:val="en-US" w:eastAsia="zh-CN"/>
              </w:rPr>
            </w:pPr>
            <w:r>
              <w:rPr>
                <w:rFonts w:hint="eastAsia" w:ascii="仿宋_GB2312" w:hAnsi="宋体" w:eastAsia="仿宋_GB2312" w:cs="Times New Roman"/>
                <w:kern w:val="0"/>
                <w:sz w:val="21"/>
                <w:lang w:val="en-US" w:eastAsia="zh-CN"/>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5" w:hRule="atLeast"/>
          <w:jc w:val="center"/>
        </w:trPr>
        <w:tc>
          <w:tcPr>
            <w:tcW w:w="1770" w:type="dxa"/>
            <w:gridSpan w:val="2"/>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偏差大或</w:t>
            </w:r>
          </w:p>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目标未完成</w:t>
            </w:r>
          </w:p>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原因分析</w:t>
            </w:r>
          </w:p>
        </w:tc>
        <w:tc>
          <w:tcPr>
            <w:tcW w:w="7178" w:type="dxa"/>
            <w:gridSpan w:val="9"/>
            <w:vAlign w:val="center"/>
          </w:tcPr>
          <w:p>
            <w:pPr>
              <w:widowControl/>
              <w:jc w:val="left"/>
              <w:rPr>
                <w:rFonts w:hint="eastAsia" w:ascii="仿宋_GB2312" w:hAnsi="宋体" w:eastAsia="仿宋_GB2312" w:cs="Times New Roman"/>
                <w:kern w:val="0"/>
                <w:sz w:val="21"/>
                <w:lang w:eastAsia="zh-CN"/>
              </w:rPr>
            </w:pPr>
            <w:r>
              <w:rPr>
                <w:rFonts w:hint="eastAsia" w:ascii="仿宋_GB2312" w:hAnsi="宋体" w:eastAsia="仿宋_GB2312" w:cs="Times New Roman"/>
                <w:kern w:val="0"/>
                <w:sz w:val="21"/>
                <w:lang w:eastAsia="zh-CN"/>
              </w:rPr>
              <w:t>基本完成。是四板挂牌企业目标值是</w:t>
            </w:r>
            <w:r>
              <w:rPr>
                <w:rFonts w:hint="eastAsia" w:ascii="仿宋_GB2312" w:hAnsi="宋体" w:eastAsia="仿宋_GB2312" w:cs="Times New Roman"/>
                <w:kern w:val="0"/>
                <w:sz w:val="21"/>
                <w:lang w:val="en-US" w:eastAsia="zh-CN"/>
              </w:rPr>
              <w:t>10家，实际完成9家，主要是因为疫情原因，</w:t>
            </w:r>
            <w:r>
              <w:rPr>
                <w:rFonts w:hint="eastAsia" w:ascii="仿宋_GB2312" w:hAnsi="宋体" w:eastAsia="仿宋_GB2312" w:cs="Times New Roman"/>
                <w:kern w:val="0"/>
                <w:sz w:val="21"/>
              </w:rPr>
              <w:t>导致企业</w:t>
            </w:r>
            <w:r>
              <w:rPr>
                <w:rFonts w:hint="eastAsia" w:ascii="仿宋_GB2312" w:hAnsi="宋体" w:eastAsia="仿宋_GB2312" w:cs="Times New Roman"/>
                <w:kern w:val="0"/>
                <w:sz w:val="21"/>
                <w:lang w:eastAsia="zh-CN"/>
              </w:rPr>
              <w:t>挂牌</w:t>
            </w:r>
            <w:r>
              <w:rPr>
                <w:rFonts w:hint="eastAsia" w:ascii="仿宋_GB2312" w:hAnsi="宋体" w:eastAsia="仿宋_GB2312" w:cs="Times New Roman"/>
                <w:kern w:val="0"/>
                <w:sz w:val="21"/>
              </w:rPr>
              <w:t>进程放缓，企业未达到奖励兑现条件，</w:t>
            </w:r>
            <w:r>
              <w:rPr>
                <w:rFonts w:hint="eastAsia" w:ascii="仿宋_GB2312" w:hAnsi="宋体" w:eastAsia="仿宋_GB2312" w:cs="Times New Roman"/>
                <w:kern w:val="0"/>
                <w:sz w:val="21"/>
                <w:lang w:eastAsia="zh-CN"/>
              </w:rPr>
              <w:t>因此实际完成值未达到年初目标值。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7" w:hRule="atLeast"/>
          <w:jc w:val="center"/>
        </w:trPr>
        <w:tc>
          <w:tcPr>
            <w:tcW w:w="1770" w:type="dxa"/>
            <w:gridSpan w:val="2"/>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改进措施及</w:t>
            </w:r>
          </w:p>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结果应用方案</w:t>
            </w:r>
          </w:p>
        </w:tc>
        <w:tc>
          <w:tcPr>
            <w:tcW w:w="7178" w:type="dxa"/>
            <w:gridSpan w:val="9"/>
            <w:vAlign w:val="center"/>
          </w:tcPr>
          <w:p>
            <w:pPr>
              <w:widowControl/>
              <w:jc w:val="left"/>
              <w:rPr>
                <w:rFonts w:ascii="仿宋_GB2312" w:hAnsi="宋体" w:eastAsia="仿宋_GB2312" w:cs="Times New Roman"/>
                <w:kern w:val="0"/>
                <w:sz w:val="21"/>
              </w:rPr>
            </w:pPr>
            <w:r>
              <w:rPr>
                <w:rFonts w:hint="eastAsia" w:ascii="仿宋_GB2312" w:hAnsi="宋体" w:eastAsia="仿宋_GB2312" w:cs="Times New Roman"/>
                <w:kern w:val="0"/>
                <w:sz w:val="21"/>
                <w:lang w:eastAsia="zh-CN"/>
              </w:rPr>
              <w:t>根据工作实际，合理安排预算支出，确保预算执行进度。</w:t>
            </w:r>
          </w:p>
        </w:tc>
      </w:tr>
    </w:tbl>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cs="Times New Roman" w:asciiTheme="minorHAnsi" w:hAnsiTheme="minorHAnsi" w:eastAsiaTheme="minorEastAsia"/>
          <w:sz w:val="21"/>
        </w:rPr>
      </w:pPr>
      <w:r>
        <w:rPr>
          <w:rFonts w:hint="eastAsia" w:asciiTheme="majorEastAsia" w:hAnsiTheme="majorEastAsia" w:eastAsiaTheme="majorEastAsia" w:cstheme="majorEastAsia"/>
          <w:b/>
          <w:bCs/>
          <w:sz w:val="32"/>
          <w:szCs w:val="32"/>
          <w:lang w:val="en-US" w:eastAsia="zh-CN"/>
        </w:rPr>
        <w:t>2022</w:t>
      </w:r>
      <w:r>
        <w:rPr>
          <w:rFonts w:hint="eastAsia" w:asciiTheme="majorEastAsia" w:hAnsiTheme="majorEastAsia" w:eastAsiaTheme="majorEastAsia" w:cstheme="majorEastAsia"/>
          <w:b/>
          <w:bCs/>
          <w:sz w:val="32"/>
          <w:szCs w:val="32"/>
        </w:rPr>
        <w:t>年度</w:t>
      </w:r>
      <w:r>
        <w:rPr>
          <w:rFonts w:hint="eastAsia" w:ascii="宋体" w:hAnsi="宋体" w:eastAsia="宋体" w:cs="宋体"/>
          <w:b/>
          <w:bCs/>
          <w:kern w:val="0"/>
          <w:sz w:val="32"/>
          <w:szCs w:val="32"/>
        </w:rPr>
        <w:t>市直部门预算</w:t>
      </w:r>
      <w:r>
        <w:rPr>
          <w:rFonts w:hint="eastAsia" w:asciiTheme="majorEastAsia" w:hAnsiTheme="majorEastAsia" w:eastAsiaTheme="majorEastAsia" w:cstheme="majorEastAsia"/>
          <w:b/>
          <w:bCs/>
          <w:sz w:val="32"/>
          <w:szCs w:val="32"/>
        </w:rPr>
        <w:t>项目自评表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单位名称：鄂州市地方金融工作局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2023年5月24日</w:t>
      </w:r>
    </w:p>
    <w:tbl>
      <w:tblPr>
        <w:tblStyle w:val="6"/>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80"/>
        <w:gridCol w:w="1510"/>
        <w:gridCol w:w="931"/>
        <w:gridCol w:w="923"/>
        <w:gridCol w:w="182"/>
        <w:gridCol w:w="1678"/>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8" w:type="dxa"/>
            <w:gridSpan w:val="3"/>
            <w:vAlign w:val="center"/>
          </w:tcPr>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项目名称</w:t>
            </w:r>
          </w:p>
        </w:tc>
        <w:tc>
          <w:tcPr>
            <w:tcW w:w="7420" w:type="dxa"/>
            <w:gridSpan w:val="8"/>
            <w:vAlign w:val="center"/>
          </w:tcPr>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地方金融改革发展专项经费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08" w:type="dxa"/>
            <w:gridSpan w:val="3"/>
            <w:vAlign w:val="center"/>
          </w:tcPr>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主管部门</w:t>
            </w:r>
          </w:p>
        </w:tc>
        <w:tc>
          <w:tcPr>
            <w:tcW w:w="3364" w:type="dxa"/>
            <w:gridSpan w:val="3"/>
            <w:vAlign w:val="center"/>
          </w:tcPr>
          <w:p>
            <w:pPr>
              <w:widowControl/>
              <w:snapToGrid w:val="0"/>
              <w:jc w:val="left"/>
              <w:rPr>
                <w:rFonts w:hint="eastAsia" w:ascii="仿宋_GB2312" w:hAnsi="宋体" w:eastAsia="仿宋_GB2312" w:cs="Times New Roman"/>
                <w:kern w:val="0"/>
                <w:sz w:val="21"/>
                <w:lang w:eastAsia="zh-CN"/>
              </w:rPr>
            </w:pPr>
            <w:r>
              <w:rPr>
                <w:rFonts w:hint="eastAsia" w:ascii="仿宋_GB2312" w:hAnsi="宋体" w:eastAsia="仿宋_GB2312" w:cs="仿宋_GB2312"/>
                <w:kern w:val="0"/>
                <w:sz w:val="21"/>
              </w:rPr>
              <w:t>市地方金融工作局　</w:t>
            </w:r>
          </w:p>
        </w:tc>
        <w:tc>
          <w:tcPr>
            <w:tcW w:w="2520" w:type="dxa"/>
            <w:gridSpan w:val="3"/>
            <w:vAlign w:val="center"/>
          </w:tcPr>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项目实施单位</w:t>
            </w:r>
          </w:p>
        </w:tc>
        <w:tc>
          <w:tcPr>
            <w:tcW w:w="1536" w:type="dxa"/>
            <w:gridSpan w:val="2"/>
            <w:vAlign w:val="center"/>
          </w:tcPr>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市地方金融工作局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8" w:type="dxa"/>
            <w:gridSpan w:val="3"/>
            <w:vAlign w:val="center"/>
          </w:tcPr>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项目类别</w:t>
            </w:r>
          </w:p>
        </w:tc>
        <w:tc>
          <w:tcPr>
            <w:tcW w:w="7420" w:type="dxa"/>
            <w:gridSpan w:val="8"/>
            <w:vAlign w:val="center"/>
          </w:tcPr>
          <w:p>
            <w:pPr>
              <w:widowControl/>
              <w:snapToGrid w:val="0"/>
              <w:jc w:val="left"/>
              <w:rPr>
                <w:rFonts w:ascii="仿宋_GB2312" w:hAnsi="宋体" w:eastAsia="仿宋_GB2312" w:cs="Times New Roman"/>
                <w:kern w:val="0"/>
                <w:sz w:val="21"/>
              </w:rPr>
            </w:pPr>
            <w:r>
              <w:rPr>
                <w:rFonts w:ascii="仿宋_GB2312" w:hAnsi="宋体" w:eastAsia="仿宋_GB2312" w:cs="仿宋_GB2312"/>
                <w:kern w:val="0"/>
                <w:sz w:val="21"/>
              </w:rPr>
              <w:t>1</w:t>
            </w:r>
            <w:r>
              <w:rPr>
                <w:rFonts w:hint="eastAsia" w:ascii="仿宋_GB2312" w:hAnsi="宋体" w:eastAsia="仿宋_GB2312" w:cs="仿宋_GB2312"/>
                <w:kern w:val="0"/>
                <w:sz w:val="21"/>
              </w:rPr>
              <w:t>、部门预算项目</w:t>
            </w:r>
            <w:r>
              <w:rPr>
                <w:rFonts w:ascii="仿宋_GB2312" w:hAnsi="宋体" w:eastAsia="仿宋_GB2312" w:cs="仿宋_GB2312"/>
                <w:kern w:val="0"/>
                <w:sz w:val="21"/>
              </w:rPr>
              <w:t xml:space="preserve">  </w:t>
            </w:r>
            <w:r>
              <w:rPr>
                <w:rFonts w:hint="default" w:ascii="Arial" w:hAnsi="Arial" w:eastAsia="仿宋_GB2312" w:cs="Arial"/>
                <w:kern w:val="0"/>
                <w:sz w:val="21"/>
              </w:rPr>
              <w:t>√</w:t>
            </w:r>
            <w:r>
              <w:rPr>
                <w:rFonts w:ascii="仿宋_GB2312" w:hAnsi="宋体" w:eastAsia="仿宋_GB2312" w:cs="仿宋_GB2312"/>
                <w:kern w:val="0"/>
                <w:sz w:val="21"/>
              </w:rPr>
              <w:t xml:space="preserve">   2</w:t>
            </w:r>
            <w:r>
              <w:rPr>
                <w:rFonts w:hint="eastAsia" w:ascii="仿宋_GB2312" w:hAnsi="宋体" w:eastAsia="仿宋_GB2312" w:cs="仿宋_GB2312"/>
                <w:kern w:val="0"/>
                <w:sz w:val="21"/>
              </w:rPr>
              <w:t>、省直专项</w:t>
            </w:r>
            <w:r>
              <w:rPr>
                <w:rFonts w:ascii="仿宋_GB2312" w:hAnsi="宋体" w:eastAsia="仿宋_GB2312" w:cs="仿宋_GB2312"/>
                <w:kern w:val="0"/>
                <w:sz w:val="21"/>
              </w:rPr>
              <w:t xml:space="preserve">   </w:t>
            </w:r>
            <w:r>
              <w:rPr>
                <w:rFonts w:hint="eastAsia" w:ascii="仿宋_GB2312" w:hAnsi="宋体" w:eastAsia="仿宋_GB2312" w:cs="仿宋_GB2312"/>
                <w:kern w:val="0"/>
                <w:sz w:val="21"/>
              </w:rPr>
              <w:t>□</w:t>
            </w:r>
            <w:r>
              <w:rPr>
                <w:rFonts w:ascii="仿宋_GB2312" w:hAnsi="宋体" w:eastAsia="仿宋_GB2312" w:cs="仿宋_GB2312"/>
                <w:kern w:val="0"/>
                <w:sz w:val="21"/>
              </w:rPr>
              <w:t xml:space="preserve">  3</w:t>
            </w:r>
            <w:r>
              <w:rPr>
                <w:rFonts w:hint="eastAsia" w:ascii="仿宋_GB2312" w:hAnsi="宋体" w:eastAsia="仿宋_GB2312" w:cs="仿宋_GB2312"/>
                <w:kern w:val="0"/>
                <w:sz w:val="21"/>
              </w:rPr>
              <w:t>、省对下转移支付项目</w:t>
            </w:r>
            <w:r>
              <w:rPr>
                <w:rFonts w:ascii="仿宋_GB2312" w:hAnsi="宋体" w:eastAsia="仿宋_GB2312" w:cs="仿宋_GB2312"/>
                <w:kern w:val="0"/>
                <w:sz w:val="21"/>
              </w:rPr>
              <w:t xml:space="preserve"> </w:t>
            </w:r>
            <w:r>
              <w:rPr>
                <w:rFonts w:hint="eastAsia" w:ascii="仿宋_GB2312" w:hAnsi="宋体" w:eastAsia="仿宋_GB2312" w:cs="仿宋_GB2312"/>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8" w:type="dxa"/>
            <w:gridSpan w:val="3"/>
            <w:vAlign w:val="center"/>
          </w:tcPr>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项目属性</w:t>
            </w:r>
          </w:p>
        </w:tc>
        <w:tc>
          <w:tcPr>
            <w:tcW w:w="7420" w:type="dxa"/>
            <w:gridSpan w:val="8"/>
            <w:vAlign w:val="center"/>
          </w:tcPr>
          <w:p>
            <w:pPr>
              <w:widowControl/>
              <w:snapToGrid w:val="0"/>
              <w:jc w:val="left"/>
              <w:rPr>
                <w:rFonts w:ascii="仿宋_GB2312" w:hAnsi="宋体" w:eastAsia="仿宋_GB2312" w:cs="仿宋_GB2312"/>
                <w:kern w:val="0"/>
                <w:sz w:val="21"/>
              </w:rPr>
            </w:pPr>
            <w:r>
              <w:rPr>
                <w:rFonts w:ascii="仿宋_GB2312" w:hAnsi="宋体" w:eastAsia="仿宋_GB2312" w:cs="仿宋_GB2312"/>
                <w:kern w:val="0"/>
                <w:sz w:val="21"/>
              </w:rPr>
              <w:t>1</w:t>
            </w:r>
            <w:r>
              <w:rPr>
                <w:rFonts w:hint="eastAsia" w:ascii="仿宋_GB2312" w:hAnsi="宋体" w:eastAsia="仿宋_GB2312" w:cs="仿宋_GB2312"/>
                <w:kern w:val="0"/>
                <w:sz w:val="21"/>
              </w:rPr>
              <w:t>、持续性项目</w:t>
            </w:r>
            <w:r>
              <w:rPr>
                <w:rFonts w:ascii="仿宋_GB2312" w:hAnsi="宋体" w:eastAsia="仿宋_GB2312" w:cs="仿宋_GB2312"/>
                <w:kern w:val="0"/>
                <w:sz w:val="21"/>
              </w:rPr>
              <w:t xml:space="preserve">    </w:t>
            </w:r>
            <w:r>
              <w:rPr>
                <w:rFonts w:hint="default" w:ascii="Arial" w:hAnsi="Arial" w:eastAsia="仿宋_GB2312" w:cs="Arial"/>
                <w:kern w:val="0"/>
                <w:sz w:val="21"/>
              </w:rPr>
              <w:t>√</w:t>
            </w:r>
            <w:r>
              <w:rPr>
                <w:rFonts w:ascii="仿宋_GB2312" w:hAnsi="宋体" w:eastAsia="仿宋_GB2312" w:cs="仿宋_GB2312"/>
                <w:kern w:val="0"/>
                <w:sz w:val="21"/>
              </w:rPr>
              <w:t xml:space="preserve">   2</w:t>
            </w:r>
            <w:r>
              <w:rPr>
                <w:rFonts w:hint="eastAsia" w:ascii="仿宋_GB2312" w:hAnsi="宋体" w:eastAsia="仿宋_GB2312" w:cs="仿宋_GB2312"/>
                <w:kern w:val="0"/>
                <w:sz w:val="21"/>
              </w:rPr>
              <w:t>、新增性项目</w:t>
            </w:r>
            <w:r>
              <w:rPr>
                <w:rFonts w:ascii="仿宋_GB2312" w:hAnsi="宋体" w:eastAsia="仿宋_GB2312" w:cs="仿宋_GB2312"/>
                <w:kern w:val="0"/>
                <w:sz w:val="21"/>
              </w:rPr>
              <w:t xml:space="preserve"> </w:t>
            </w:r>
            <w:r>
              <w:rPr>
                <w:rFonts w:hint="eastAsia" w:ascii="仿宋_GB2312" w:hAnsi="宋体" w:eastAsia="仿宋_GB2312" w:cs="仿宋_GB2312"/>
                <w:kern w:val="0"/>
                <w:sz w:val="21"/>
              </w:rPr>
              <w:t>□</w:t>
            </w:r>
            <w:r>
              <w:rPr>
                <w:rFonts w:ascii="仿宋_GB2312" w:hAnsi="宋体" w:eastAsia="仿宋_GB2312" w:cs="仿宋_GB2312"/>
                <w:kern w:val="0"/>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8" w:type="dxa"/>
            <w:gridSpan w:val="3"/>
            <w:vAlign w:val="center"/>
          </w:tcPr>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项目类型</w:t>
            </w:r>
          </w:p>
        </w:tc>
        <w:tc>
          <w:tcPr>
            <w:tcW w:w="7420" w:type="dxa"/>
            <w:gridSpan w:val="8"/>
            <w:vAlign w:val="center"/>
          </w:tcPr>
          <w:p>
            <w:pPr>
              <w:widowControl/>
              <w:snapToGrid w:val="0"/>
              <w:jc w:val="left"/>
              <w:rPr>
                <w:rFonts w:ascii="仿宋_GB2312" w:hAnsi="宋体" w:eastAsia="仿宋_GB2312" w:cs="Times New Roman"/>
                <w:kern w:val="0"/>
                <w:sz w:val="21"/>
              </w:rPr>
            </w:pPr>
            <w:r>
              <w:rPr>
                <w:rFonts w:ascii="仿宋_GB2312" w:hAnsi="宋体" w:eastAsia="仿宋_GB2312" w:cs="仿宋_GB2312"/>
                <w:kern w:val="0"/>
                <w:sz w:val="21"/>
              </w:rPr>
              <w:t>1</w:t>
            </w:r>
            <w:r>
              <w:rPr>
                <w:rFonts w:hint="eastAsia" w:ascii="仿宋_GB2312" w:hAnsi="宋体" w:eastAsia="仿宋_GB2312" w:cs="仿宋_GB2312"/>
                <w:kern w:val="0"/>
                <w:sz w:val="21"/>
              </w:rPr>
              <w:t>、常年性项目</w:t>
            </w:r>
            <w:r>
              <w:rPr>
                <w:rFonts w:ascii="仿宋_GB2312" w:hAnsi="宋体" w:eastAsia="仿宋_GB2312" w:cs="仿宋_GB2312"/>
                <w:kern w:val="0"/>
                <w:sz w:val="21"/>
              </w:rPr>
              <w:t xml:space="preserve">    </w:t>
            </w:r>
            <w:r>
              <w:rPr>
                <w:rFonts w:hint="default" w:ascii="Arial" w:hAnsi="Arial" w:eastAsia="仿宋_GB2312" w:cs="Arial"/>
                <w:kern w:val="0"/>
                <w:sz w:val="21"/>
              </w:rPr>
              <w:t>√</w:t>
            </w:r>
            <w:r>
              <w:rPr>
                <w:rFonts w:ascii="仿宋_GB2312" w:hAnsi="宋体" w:eastAsia="仿宋_GB2312" w:cs="仿宋_GB2312"/>
                <w:kern w:val="0"/>
                <w:sz w:val="21"/>
              </w:rPr>
              <w:t xml:space="preserve">   2</w:t>
            </w:r>
            <w:r>
              <w:rPr>
                <w:rFonts w:hint="eastAsia" w:ascii="仿宋_GB2312" w:hAnsi="宋体" w:eastAsia="仿宋_GB2312" w:cs="仿宋_GB2312"/>
                <w:kern w:val="0"/>
                <w:sz w:val="21"/>
              </w:rPr>
              <w:t>、延续性项目</w:t>
            </w:r>
            <w:r>
              <w:rPr>
                <w:rFonts w:ascii="仿宋_GB2312" w:hAnsi="宋体" w:eastAsia="仿宋_GB2312" w:cs="仿宋_GB2312"/>
                <w:kern w:val="0"/>
                <w:sz w:val="21"/>
              </w:rPr>
              <w:t xml:space="preserve"> </w:t>
            </w:r>
            <w:r>
              <w:rPr>
                <w:rFonts w:hint="eastAsia" w:ascii="仿宋_GB2312" w:hAnsi="宋体" w:eastAsia="仿宋_GB2312" w:cs="仿宋_GB2312"/>
                <w:kern w:val="0"/>
                <w:sz w:val="21"/>
              </w:rPr>
              <w:t>□</w:t>
            </w:r>
            <w:r>
              <w:rPr>
                <w:rFonts w:ascii="仿宋_GB2312" w:hAnsi="宋体" w:eastAsia="仿宋_GB2312" w:cs="仿宋_GB2312"/>
                <w:kern w:val="0"/>
                <w:sz w:val="21"/>
              </w:rPr>
              <w:t xml:space="preserve">      3</w:t>
            </w:r>
            <w:r>
              <w:rPr>
                <w:rFonts w:hint="eastAsia" w:ascii="仿宋_GB2312" w:hAnsi="宋体" w:eastAsia="仿宋_GB2312" w:cs="仿宋_GB2312"/>
                <w:kern w:val="0"/>
                <w:sz w:val="21"/>
              </w:rPr>
              <w:t>、一次性项目</w:t>
            </w:r>
            <w:r>
              <w:rPr>
                <w:rFonts w:ascii="仿宋_GB2312" w:hAnsi="宋体" w:eastAsia="仿宋_GB2312" w:cs="仿宋_GB2312"/>
                <w:kern w:val="0"/>
                <w:sz w:val="21"/>
              </w:rPr>
              <w:t xml:space="preserve"> </w:t>
            </w:r>
            <w:r>
              <w:rPr>
                <w:rFonts w:hint="eastAsia" w:ascii="仿宋_GB2312" w:hAnsi="宋体" w:eastAsia="仿宋_GB2312" w:cs="仿宋_GB2312"/>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8" w:type="dxa"/>
            <w:gridSpan w:val="3"/>
            <w:vMerge w:val="restart"/>
            <w:vAlign w:val="center"/>
          </w:tcPr>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预算执行情况（万元）</w:t>
            </w:r>
          </w:p>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w:t>
            </w:r>
            <w:r>
              <w:rPr>
                <w:rFonts w:ascii="仿宋_GB2312" w:hAnsi="宋体" w:eastAsia="仿宋_GB2312" w:cs="仿宋_GB2312"/>
                <w:kern w:val="0"/>
                <w:sz w:val="21"/>
              </w:rPr>
              <w:t>20</w:t>
            </w:r>
            <w:r>
              <w:rPr>
                <w:rFonts w:hint="eastAsia" w:ascii="仿宋_GB2312" w:hAnsi="宋体" w:eastAsia="仿宋_GB2312" w:cs="仿宋_GB2312"/>
                <w:kern w:val="0"/>
                <w:sz w:val="21"/>
              </w:rPr>
              <w:t>分）</w:t>
            </w:r>
          </w:p>
        </w:tc>
        <w:tc>
          <w:tcPr>
            <w:tcW w:w="1510" w:type="dxa"/>
            <w:vAlign w:val="center"/>
          </w:tcPr>
          <w:p>
            <w:pPr>
              <w:widowControl/>
              <w:snapToGrid w:val="0"/>
              <w:jc w:val="center"/>
              <w:rPr>
                <w:rFonts w:ascii="仿宋_GB2312" w:hAnsi="宋体" w:eastAsia="仿宋_GB2312" w:cs="Times New Roman"/>
                <w:kern w:val="0"/>
                <w:sz w:val="21"/>
              </w:rPr>
            </w:pPr>
          </w:p>
        </w:tc>
        <w:tc>
          <w:tcPr>
            <w:tcW w:w="931" w:type="dxa"/>
            <w:vAlign w:val="center"/>
          </w:tcPr>
          <w:p>
            <w:pPr>
              <w:widowControl/>
              <w:snapToGrid w:val="0"/>
              <w:jc w:val="center"/>
              <w:rPr>
                <w:rFonts w:ascii="仿宋_GB2312" w:hAnsi="宋体" w:eastAsia="仿宋_GB2312" w:cs="仿宋_GB2312"/>
                <w:kern w:val="0"/>
                <w:sz w:val="21"/>
              </w:rPr>
            </w:pPr>
            <w:r>
              <w:rPr>
                <w:rFonts w:hint="eastAsia" w:ascii="仿宋_GB2312" w:hAnsi="宋体" w:eastAsia="仿宋_GB2312" w:cs="仿宋_GB2312"/>
                <w:kern w:val="0"/>
                <w:sz w:val="21"/>
              </w:rPr>
              <w:t>预算数（</w:t>
            </w:r>
            <w:r>
              <w:rPr>
                <w:rFonts w:ascii="仿宋_GB2312" w:hAnsi="宋体" w:eastAsia="仿宋_GB2312" w:cs="仿宋_GB2312"/>
                <w:kern w:val="0"/>
                <w:sz w:val="21"/>
              </w:rPr>
              <w:t>A）</w:t>
            </w:r>
          </w:p>
        </w:tc>
        <w:tc>
          <w:tcPr>
            <w:tcW w:w="1105" w:type="dxa"/>
            <w:gridSpan w:val="2"/>
            <w:vAlign w:val="center"/>
          </w:tcPr>
          <w:p>
            <w:pPr>
              <w:widowControl/>
              <w:snapToGrid w:val="0"/>
              <w:jc w:val="center"/>
              <w:rPr>
                <w:rFonts w:ascii="仿宋_GB2312" w:hAnsi="宋体" w:eastAsia="仿宋_GB2312" w:cs="仿宋_GB2312"/>
                <w:kern w:val="0"/>
                <w:sz w:val="21"/>
              </w:rPr>
            </w:pPr>
            <w:r>
              <w:rPr>
                <w:rFonts w:hint="eastAsia" w:ascii="仿宋_GB2312" w:hAnsi="宋体" w:eastAsia="仿宋_GB2312" w:cs="仿宋_GB2312"/>
                <w:kern w:val="0"/>
                <w:sz w:val="21"/>
              </w:rPr>
              <w:t>执行数</w:t>
            </w:r>
            <w:r>
              <w:rPr>
                <w:rFonts w:ascii="仿宋_GB2312" w:hAnsi="宋体" w:eastAsia="仿宋_GB2312" w:cs="仿宋_GB2312"/>
                <w:kern w:val="0"/>
                <w:sz w:val="21"/>
              </w:rPr>
              <w:t>（B）</w:t>
            </w:r>
          </w:p>
        </w:tc>
        <w:tc>
          <w:tcPr>
            <w:tcW w:w="1678" w:type="dxa"/>
            <w:vAlign w:val="center"/>
          </w:tcPr>
          <w:p>
            <w:pPr>
              <w:widowControl/>
              <w:snapToGrid w:val="0"/>
              <w:jc w:val="center"/>
              <w:rPr>
                <w:rFonts w:ascii="仿宋_GB2312" w:hAnsi="宋体" w:eastAsia="仿宋_GB2312" w:cs="仿宋_GB2312"/>
                <w:kern w:val="0"/>
                <w:sz w:val="21"/>
              </w:rPr>
            </w:pPr>
            <w:r>
              <w:rPr>
                <w:rFonts w:hint="eastAsia" w:ascii="仿宋_GB2312" w:hAnsi="宋体" w:eastAsia="仿宋_GB2312" w:cs="仿宋_GB2312"/>
                <w:kern w:val="0"/>
                <w:sz w:val="21"/>
              </w:rPr>
              <w:t>执行率</w:t>
            </w:r>
            <w:r>
              <w:rPr>
                <w:rFonts w:ascii="仿宋_GB2312" w:hAnsi="宋体" w:eastAsia="仿宋_GB2312" w:cs="仿宋_GB2312"/>
                <w:kern w:val="0"/>
                <w:sz w:val="21"/>
              </w:rPr>
              <w:t>（B/A）</w:t>
            </w:r>
          </w:p>
        </w:tc>
        <w:tc>
          <w:tcPr>
            <w:tcW w:w="2196" w:type="dxa"/>
            <w:gridSpan w:val="3"/>
            <w:vAlign w:val="center"/>
          </w:tcPr>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得分</w:t>
            </w:r>
          </w:p>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w:t>
            </w:r>
            <w:r>
              <w:rPr>
                <w:rFonts w:ascii="仿宋_GB2312" w:hAnsi="宋体" w:eastAsia="仿宋_GB2312" w:cs="仿宋_GB2312"/>
                <w:kern w:val="0"/>
                <w:sz w:val="21"/>
              </w:rPr>
              <w:t>20</w:t>
            </w:r>
            <w:r>
              <w:rPr>
                <w:rFonts w:hint="eastAsia" w:ascii="仿宋_GB2312" w:hAnsi="宋体" w:eastAsia="仿宋_GB2312" w:cs="仿宋_GB2312"/>
                <w:kern w:val="0"/>
                <w:sz w:val="21"/>
              </w:rPr>
              <w:t>分</w:t>
            </w:r>
            <w:r>
              <w:rPr>
                <w:rFonts w:ascii="仿宋_GB2312" w:hAnsi="宋体" w:eastAsia="仿宋_GB2312" w:cs="仿宋_GB2312"/>
                <w:kern w:val="0"/>
                <w:sz w:val="21"/>
              </w:rPr>
              <w:t>*</w:t>
            </w:r>
            <w:r>
              <w:rPr>
                <w:rFonts w:hint="eastAsia" w:ascii="仿宋_GB2312" w:hAnsi="宋体" w:eastAsia="仿宋_GB2312" w:cs="仿宋_GB2312"/>
                <w:kern w:val="0"/>
                <w:sz w:val="21"/>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8" w:type="dxa"/>
            <w:gridSpan w:val="3"/>
            <w:vMerge w:val="continue"/>
            <w:vAlign w:val="center"/>
          </w:tcPr>
          <w:p>
            <w:pPr>
              <w:widowControl/>
              <w:snapToGrid w:val="0"/>
              <w:jc w:val="center"/>
              <w:rPr>
                <w:rFonts w:ascii="仿宋_GB2312" w:hAnsi="宋体" w:eastAsia="仿宋_GB2312" w:cs="Times New Roman"/>
                <w:kern w:val="0"/>
                <w:sz w:val="21"/>
              </w:rPr>
            </w:pPr>
          </w:p>
        </w:tc>
        <w:tc>
          <w:tcPr>
            <w:tcW w:w="1510" w:type="dxa"/>
            <w:vAlign w:val="center"/>
          </w:tcPr>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年度财政资金总额</w:t>
            </w:r>
          </w:p>
        </w:tc>
        <w:tc>
          <w:tcPr>
            <w:tcW w:w="931" w:type="dxa"/>
            <w:vAlign w:val="center"/>
          </w:tcPr>
          <w:p>
            <w:pPr>
              <w:widowControl/>
              <w:snapToGrid w:val="0"/>
              <w:jc w:val="center"/>
              <w:rPr>
                <w:rFonts w:hint="eastAsia" w:ascii="仿宋_GB2312" w:hAnsi="宋体" w:eastAsia="仿宋_GB2312" w:cs="Times New Roman"/>
                <w:kern w:val="0"/>
                <w:sz w:val="21"/>
                <w:lang w:val="en-US" w:eastAsia="zh-CN"/>
              </w:rPr>
            </w:pPr>
            <w:r>
              <w:rPr>
                <w:rFonts w:hint="eastAsia" w:ascii="仿宋_GB2312" w:hAnsi="宋体" w:eastAsia="仿宋_GB2312" w:cs="Times New Roman"/>
                <w:kern w:val="0"/>
                <w:sz w:val="21"/>
                <w:lang w:val="en-US" w:eastAsia="zh-CN"/>
              </w:rPr>
              <w:t>99.16</w:t>
            </w:r>
          </w:p>
        </w:tc>
        <w:tc>
          <w:tcPr>
            <w:tcW w:w="1105" w:type="dxa"/>
            <w:gridSpan w:val="2"/>
            <w:vAlign w:val="center"/>
          </w:tcPr>
          <w:p>
            <w:pPr>
              <w:widowControl/>
              <w:snapToGrid w:val="0"/>
              <w:jc w:val="center"/>
              <w:rPr>
                <w:rFonts w:hint="eastAsia" w:ascii="仿宋_GB2312" w:hAnsi="宋体" w:eastAsia="仿宋_GB2312" w:cs="Times New Roman"/>
                <w:kern w:val="0"/>
                <w:sz w:val="21"/>
                <w:lang w:val="en-US" w:eastAsia="zh-CN"/>
              </w:rPr>
            </w:pPr>
            <w:r>
              <w:rPr>
                <w:rFonts w:hint="eastAsia" w:ascii="仿宋_GB2312" w:hAnsi="宋体" w:eastAsia="仿宋_GB2312" w:cs="Times New Roman"/>
                <w:kern w:val="0"/>
                <w:sz w:val="21"/>
                <w:lang w:val="en-US" w:eastAsia="zh-CN"/>
              </w:rPr>
              <w:t>93.56</w:t>
            </w:r>
          </w:p>
        </w:tc>
        <w:tc>
          <w:tcPr>
            <w:tcW w:w="1678" w:type="dxa"/>
            <w:vAlign w:val="center"/>
          </w:tcPr>
          <w:p>
            <w:pPr>
              <w:widowControl/>
              <w:snapToGrid w:val="0"/>
              <w:jc w:val="center"/>
              <w:rPr>
                <w:rFonts w:hint="eastAsia" w:ascii="仿宋_GB2312" w:hAnsi="宋体" w:eastAsia="仿宋_GB2312" w:cs="Times New Roman"/>
                <w:kern w:val="0"/>
                <w:sz w:val="21"/>
                <w:lang w:val="en-US" w:eastAsia="zh-CN"/>
              </w:rPr>
            </w:pPr>
            <w:r>
              <w:rPr>
                <w:rFonts w:hint="eastAsia" w:ascii="仿宋_GB2312" w:hAnsi="宋体" w:eastAsia="仿宋_GB2312" w:cs="Times New Roman"/>
                <w:kern w:val="0"/>
                <w:sz w:val="21"/>
                <w:lang w:val="en-US" w:eastAsia="zh-CN"/>
              </w:rPr>
              <w:t>94.35%</w:t>
            </w:r>
          </w:p>
        </w:tc>
        <w:tc>
          <w:tcPr>
            <w:tcW w:w="2196" w:type="dxa"/>
            <w:gridSpan w:val="3"/>
            <w:vAlign w:val="center"/>
          </w:tcPr>
          <w:p>
            <w:pPr>
              <w:widowControl/>
              <w:snapToGrid w:val="0"/>
              <w:jc w:val="center"/>
              <w:rPr>
                <w:rFonts w:hint="eastAsia" w:ascii="仿宋_GB2312" w:hAnsi="宋体" w:eastAsia="仿宋_GB2312" w:cs="Times New Roman"/>
                <w:kern w:val="0"/>
                <w:sz w:val="21"/>
                <w:lang w:val="en-US" w:eastAsia="zh-CN"/>
              </w:rPr>
            </w:pPr>
            <w:r>
              <w:rPr>
                <w:rFonts w:hint="eastAsia" w:ascii="仿宋_GB2312" w:hAnsi="宋体" w:eastAsia="仿宋_GB2312" w:cs="Times New Roman"/>
                <w:kern w:val="0"/>
                <w:sz w:val="21"/>
                <w:lang w:val="en-US" w:eastAsia="zh-CN"/>
              </w:rPr>
              <w:t>18.87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年度绩效目标</w:t>
            </w:r>
          </w:p>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w:t>
            </w:r>
            <w:r>
              <w:rPr>
                <w:rFonts w:hint="eastAsia" w:ascii="仿宋_GB2312" w:hAnsi="仿宋_GB2312" w:eastAsia="仿宋_GB2312" w:cs="仿宋_GB2312"/>
                <w:kern w:val="0"/>
                <w:sz w:val="20"/>
                <w:szCs w:val="20"/>
                <w:lang w:val="en-US" w:eastAsia="zh-CN"/>
              </w:rPr>
              <w:t>80</w:t>
            </w:r>
            <w:r>
              <w:rPr>
                <w:rFonts w:hint="eastAsia" w:ascii="仿宋_GB2312" w:hAnsi="仿宋_GB2312" w:eastAsia="仿宋_GB2312" w:cs="仿宋_GB2312"/>
                <w:kern w:val="0"/>
                <w:sz w:val="21"/>
              </w:rPr>
              <w:t>分）</w:t>
            </w:r>
          </w:p>
        </w:tc>
        <w:tc>
          <w:tcPr>
            <w:tcW w:w="780" w:type="dxa"/>
            <w:gridSpan w:val="2"/>
            <w:vAlign w:val="center"/>
          </w:tcPr>
          <w:p>
            <w:pPr>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一级指标</w:t>
            </w:r>
          </w:p>
        </w:tc>
        <w:tc>
          <w:tcPr>
            <w:tcW w:w="1510" w:type="dxa"/>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二级指标</w:t>
            </w:r>
          </w:p>
        </w:tc>
        <w:tc>
          <w:tcPr>
            <w:tcW w:w="2036" w:type="dxa"/>
            <w:gridSpan w:val="3"/>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三级指标</w:t>
            </w:r>
          </w:p>
        </w:tc>
        <w:tc>
          <w:tcPr>
            <w:tcW w:w="1678" w:type="dxa"/>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年初目标值（A）</w:t>
            </w:r>
          </w:p>
        </w:tc>
        <w:tc>
          <w:tcPr>
            <w:tcW w:w="1319" w:type="dxa"/>
            <w:gridSpan w:val="2"/>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实际完成值（B）</w:t>
            </w:r>
          </w:p>
        </w:tc>
        <w:tc>
          <w:tcPr>
            <w:tcW w:w="877" w:type="dxa"/>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hint="eastAsia" w:ascii="仿宋_GB2312" w:hAnsi="仿宋_GB2312" w:eastAsia="仿宋_GB2312" w:cs="仿宋_GB2312"/>
                <w:kern w:val="0"/>
                <w:sz w:val="21"/>
              </w:rPr>
            </w:pPr>
          </w:p>
        </w:tc>
        <w:tc>
          <w:tcPr>
            <w:tcW w:w="780" w:type="dxa"/>
            <w:gridSpan w:val="2"/>
            <w:vMerge w:val="restart"/>
            <w:vAlign w:val="center"/>
          </w:tcPr>
          <w:p>
            <w:pPr>
              <w:widowControl/>
              <w:spacing w:line="240" w:lineRule="exact"/>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18"/>
                <w:szCs w:val="18"/>
                <w:lang w:eastAsia="zh-CN"/>
              </w:rPr>
              <w:t>数</w:t>
            </w:r>
            <w:r>
              <w:rPr>
                <w:rFonts w:hint="eastAsia" w:ascii="仿宋_GB2312" w:hAnsi="仿宋_GB2312" w:eastAsia="仿宋_GB2312" w:cs="仿宋_GB2312"/>
                <w:kern w:val="0"/>
                <w:sz w:val="18"/>
                <w:szCs w:val="18"/>
              </w:rPr>
              <w:t>量指标</w:t>
            </w:r>
          </w:p>
        </w:tc>
        <w:tc>
          <w:tcPr>
            <w:tcW w:w="1510" w:type="dxa"/>
            <w:vAlign w:val="center"/>
          </w:tcPr>
          <w:p>
            <w:pPr>
              <w:widowControl/>
              <w:spacing w:line="240" w:lineRule="exact"/>
              <w:rPr>
                <w:rFonts w:hint="eastAsia" w:ascii="仿宋_GB2312" w:hAnsi="仿宋_GB2312" w:eastAsia="仿宋_GB2312" w:cs="仿宋_GB2312"/>
                <w:kern w:val="0"/>
                <w:sz w:val="21"/>
              </w:rPr>
            </w:pPr>
            <w:r>
              <w:rPr>
                <w:rFonts w:hint="eastAsia" w:ascii="仿宋_GB2312" w:hAnsi="仿宋_GB2312" w:eastAsia="仿宋_GB2312" w:cs="仿宋_GB2312"/>
                <w:kern w:val="0"/>
                <w:sz w:val="18"/>
                <w:szCs w:val="18"/>
              </w:rPr>
              <w:t>编印宣传材料数量</w:t>
            </w:r>
          </w:p>
        </w:tc>
        <w:tc>
          <w:tcPr>
            <w:tcW w:w="2036" w:type="dxa"/>
            <w:gridSpan w:val="3"/>
            <w:vAlign w:val="center"/>
          </w:tcPr>
          <w:p>
            <w:pPr>
              <w:widowControl/>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rPr>
              <w:t>≥10000个</w:t>
            </w:r>
          </w:p>
        </w:tc>
        <w:tc>
          <w:tcPr>
            <w:tcW w:w="1678" w:type="dxa"/>
            <w:vAlign w:val="center"/>
          </w:tcPr>
          <w:p>
            <w:pPr>
              <w:widowControl/>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rPr>
              <w:t>10000个</w:t>
            </w:r>
          </w:p>
        </w:tc>
        <w:tc>
          <w:tcPr>
            <w:tcW w:w="1319" w:type="dxa"/>
            <w:gridSpan w:val="2"/>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rPr>
              <w:t>10000</w:t>
            </w:r>
          </w:p>
        </w:tc>
        <w:tc>
          <w:tcPr>
            <w:tcW w:w="877" w:type="dxa"/>
            <w:vMerge w:val="restart"/>
            <w:vAlign w:val="center"/>
          </w:tcPr>
          <w:p>
            <w:pPr>
              <w:widowControl/>
              <w:snapToGrid w:val="0"/>
              <w:jc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hint="eastAsia" w:ascii="仿宋_GB2312" w:hAnsi="仿宋_GB2312" w:eastAsia="仿宋_GB2312" w:cs="仿宋_GB2312"/>
                <w:kern w:val="0"/>
                <w:sz w:val="21"/>
              </w:rPr>
            </w:pPr>
          </w:p>
        </w:tc>
        <w:tc>
          <w:tcPr>
            <w:tcW w:w="780" w:type="dxa"/>
            <w:gridSpan w:val="2"/>
            <w:vMerge w:val="continue"/>
            <w:vAlign w:val="center"/>
          </w:tcPr>
          <w:p>
            <w:pPr>
              <w:widowControl/>
              <w:spacing w:line="240" w:lineRule="exact"/>
              <w:jc w:val="center"/>
              <w:rPr>
                <w:rFonts w:hint="eastAsia" w:ascii="仿宋_GB2312" w:hAnsi="仿宋_GB2312" w:eastAsia="仿宋_GB2312" w:cs="仿宋_GB2312"/>
                <w:kern w:val="0"/>
                <w:sz w:val="21"/>
              </w:rPr>
            </w:pPr>
          </w:p>
        </w:tc>
        <w:tc>
          <w:tcPr>
            <w:tcW w:w="1510" w:type="dxa"/>
            <w:vAlign w:val="center"/>
          </w:tcPr>
          <w:p>
            <w:pPr>
              <w:widowControl/>
              <w:spacing w:line="240" w:lineRule="exact"/>
              <w:rPr>
                <w:rFonts w:hint="eastAsia" w:ascii="仿宋_GB2312" w:hAnsi="仿宋_GB2312" w:eastAsia="仿宋_GB2312" w:cs="仿宋_GB2312"/>
                <w:kern w:val="0"/>
                <w:sz w:val="21"/>
              </w:rPr>
            </w:pPr>
            <w:r>
              <w:rPr>
                <w:rFonts w:hint="eastAsia" w:ascii="仿宋_GB2312" w:hAnsi="仿宋_GB2312" w:eastAsia="仿宋_GB2312" w:cs="仿宋_GB2312"/>
                <w:kern w:val="0"/>
                <w:sz w:val="18"/>
                <w:szCs w:val="18"/>
              </w:rPr>
              <w:t>举办宣传活动次数</w:t>
            </w:r>
          </w:p>
        </w:tc>
        <w:tc>
          <w:tcPr>
            <w:tcW w:w="2036" w:type="dxa"/>
            <w:gridSpan w:val="3"/>
            <w:vAlign w:val="center"/>
          </w:tcPr>
          <w:p>
            <w:pPr>
              <w:widowControl/>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rPr>
              <w:t>≥5次</w:t>
            </w:r>
          </w:p>
        </w:tc>
        <w:tc>
          <w:tcPr>
            <w:tcW w:w="1678" w:type="dxa"/>
            <w:vAlign w:val="center"/>
          </w:tcPr>
          <w:p>
            <w:pPr>
              <w:widowControl/>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lang w:val="en-US" w:eastAsia="zh-CN"/>
              </w:rPr>
              <w:t>8</w:t>
            </w:r>
            <w:r>
              <w:rPr>
                <w:rFonts w:hint="eastAsia" w:ascii="仿宋_GB2312" w:hAnsi="仿宋_GB2312" w:eastAsia="仿宋_GB2312" w:cs="仿宋_GB2312"/>
                <w:color w:val="000000"/>
                <w:kern w:val="0"/>
                <w:sz w:val="20"/>
                <w:szCs w:val="20"/>
              </w:rPr>
              <w:t>次</w:t>
            </w:r>
          </w:p>
        </w:tc>
        <w:tc>
          <w:tcPr>
            <w:tcW w:w="1319" w:type="dxa"/>
            <w:gridSpan w:val="2"/>
            <w:vAlign w:val="center"/>
          </w:tcPr>
          <w:p>
            <w:pPr>
              <w:widowControl/>
              <w:snapToGrid w:val="0"/>
              <w:jc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8次</w:t>
            </w:r>
          </w:p>
        </w:tc>
        <w:tc>
          <w:tcPr>
            <w:tcW w:w="877" w:type="dxa"/>
            <w:vMerge w:val="continue"/>
            <w:vAlign w:val="center"/>
          </w:tcPr>
          <w:p>
            <w:pPr>
              <w:widowControl/>
              <w:snapToGrid w:val="0"/>
              <w:jc w:val="center"/>
              <w:rPr>
                <w:rFonts w:hint="eastAsia" w:ascii="仿宋_GB2312" w:hAnsi="仿宋_GB2312" w:eastAsia="仿宋_GB2312" w:cs="仿宋_GB2312"/>
                <w:kern w:val="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hint="eastAsia" w:ascii="仿宋_GB2312" w:hAnsi="仿宋_GB2312" w:eastAsia="仿宋_GB2312" w:cs="仿宋_GB2312"/>
                <w:kern w:val="0"/>
                <w:sz w:val="21"/>
              </w:rPr>
            </w:pPr>
          </w:p>
        </w:tc>
        <w:tc>
          <w:tcPr>
            <w:tcW w:w="780" w:type="dxa"/>
            <w:gridSpan w:val="2"/>
            <w:vMerge w:val="continue"/>
            <w:vAlign w:val="center"/>
          </w:tcPr>
          <w:p>
            <w:pPr>
              <w:widowControl/>
              <w:spacing w:line="240" w:lineRule="exact"/>
              <w:jc w:val="center"/>
              <w:rPr>
                <w:rFonts w:hint="eastAsia" w:ascii="仿宋_GB2312" w:hAnsi="仿宋_GB2312" w:eastAsia="仿宋_GB2312" w:cs="仿宋_GB2312"/>
                <w:kern w:val="0"/>
                <w:sz w:val="21"/>
              </w:rPr>
            </w:pPr>
          </w:p>
        </w:tc>
        <w:tc>
          <w:tcPr>
            <w:tcW w:w="1510" w:type="dxa"/>
            <w:vAlign w:val="center"/>
          </w:tcPr>
          <w:p>
            <w:pPr>
              <w:widowControl/>
              <w:spacing w:line="240" w:lineRule="exact"/>
              <w:rPr>
                <w:rFonts w:hint="eastAsia" w:ascii="仿宋_GB2312" w:hAnsi="仿宋_GB2312" w:eastAsia="仿宋_GB2312" w:cs="仿宋_GB2312"/>
                <w:kern w:val="0"/>
                <w:sz w:val="21"/>
              </w:rPr>
            </w:pPr>
            <w:r>
              <w:rPr>
                <w:rFonts w:hint="eastAsia" w:ascii="仿宋_GB2312" w:hAnsi="仿宋_GB2312" w:eastAsia="仿宋_GB2312" w:cs="仿宋_GB2312"/>
                <w:kern w:val="0"/>
                <w:sz w:val="18"/>
                <w:szCs w:val="18"/>
              </w:rPr>
              <w:t>培训次数</w:t>
            </w:r>
          </w:p>
        </w:tc>
        <w:tc>
          <w:tcPr>
            <w:tcW w:w="2036" w:type="dxa"/>
            <w:gridSpan w:val="3"/>
            <w:vAlign w:val="center"/>
          </w:tcPr>
          <w:p>
            <w:pPr>
              <w:widowControl/>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rPr>
              <w:t>≥3次</w:t>
            </w:r>
          </w:p>
        </w:tc>
        <w:tc>
          <w:tcPr>
            <w:tcW w:w="1678" w:type="dxa"/>
            <w:vAlign w:val="center"/>
          </w:tcPr>
          <w:p>
            <w:pPr>
              <w:widowControl/>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rPr>
              <w:t>3次</w:t>
            </w:r>
          </w:p>
        </w:tc>
        <w:tc>
          <w:tcPr>
            <w:tcW w:w="1319" w:type="dxa"/>
            <w:gridSpan w:val="2"/>
            <w:vAlign w:val="center"/>
          </w:tcPr>
          <w:p>
            <w:pPr>
              <w:widowControl/>
              <w:snapToGrid w:val="0"/>
              <w:jc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5次</w:t>
            </w:r>
          </w:p>
        </w:tc>
        <w:tc>
          <w:tcPr>
            <w:tcW w:w="877" w:type="dxa"/>
            <w:vMerge w:val="continue"/>
            <w:vAlign w:val="center"/>
          </w:tcPr>
          <w:p>
            <w:pPr>
              <w:widowControl/>
              <w:snapToGrid w:val="0"/>
              <w:jc w:val="center"/>
              <w:rPr>
                <w:rFonts w:hint="eastAsia" w:ascii="仿宋_GB2312" w:hAnsi="仿宋_GB2312" w:eastAsia="仿宋_GB2312" w:cs="仿宋_GB2312"/>
                <w:kern w:val="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hint="eastAsia" w:ascii="仿宋_GB2312" w:hAnsi="仿宋_GB2312" w:eastAsia="仿宋_GB2312" w:cs="仿宋_GB2312"/>
                <w:kern w:val="0"/>
                <w:sz w:val="21"/>
              </w:rPr>
            </w:pPr>
          </w:p>
        </w:tc>
        <w:tc>
          <w:tcPr>
            <w:tcW w:w="780" w:type="dxa"/>
            <w:gridSpan w:val="2"/>
            <w:vMerge w:val="continue"/>
            <w:vAlign w:val="center"/>
          </w:tcPr>
          <w:p>
            <w:pPr>
              <w:widowControl/>
              <w:spacing w:line="240" w:lineRule="exact"/>
              <w:jc w:val="center"/>
              <w:rPr>
                <w:rFonts w:hint="eastAsia" w:ascii="仿宋_GB2312" w:hAnsi="仿宋_GB2312" w:eastAsia="仿宋_GB2312" w:cs="仿宋_GB2312"/>
                <w:kern w:val="0"/>
                <w:sz w:val="21"/>
              </w:rPr>
            </w:pPr>
          </w:p>
        </w:tc>
        <w:tc>
          <w:tcPr>
            <w:tcW w:w="1510" w:type="dxa"/>
            <w:vAlign w:val="center"/>
          </w:tcPr>
          <w:p>
            <w:pPr>
              <w:widowControl/>
              <w:spacing w:line="240" w:lineRule="exact"/>
              <w:rPr>
                <w:rFonts w:hint="eastAsia" w:ascii="仿宋_GB2312" w:hAnsi="仿宋_GB2312" w:eastAsia="仿宋_GB2312" w:cs="仿宋_GB2312"/>
                <w:kern w:val="0"/>
                <w:sz w:val="21"/>
              </w:rPr>
            </w:pPr>
            <w:r>
              <w:rPr>
                <w:rFonts w:hint="eastAsia" w:ascii="仿宋_GB2312" w:hAnsi="仿宋_GB2312" w:eastAsia="仿宋_GB2312" w:cs="仿宋_GB2312"/>
                <w:kern w:val="0"/>
                <w:sz w:val="18"/>
                <w:szCs w:val="18"/>
              </w:rPr>
              <w:t>培训人数</w:t>
            </w:r>
          </w:p>
        </w:tc>
        <w:tc>
          <w:tcPr>
            <w:tcW w:w="2036" w:type="dxa"/>
            <w:gridSpan w:val="3"/>
            <w:vAlign w:val="center"/>
          </w:tcPr>
          <w:p>
            <w:pPr>
              <w:widowControl/>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rPr>
              <w:t>≥300人</w:t>
            </w:r>
          </w:p>
        </w:tc>
        <w:tc>
          <w:tcPr>
            <w:tcW w:w="1678" w:type="dxa"/>
            <w:vAlign w:val="center"/>
          </w:tcPr>
          <w:p>
            <w:pPr>
              <w:widowControl/>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rPr>
              <w:t>300人</w:t>
            </w:r>
          </w:p>
        </w:tc>
        <w:tc>
          <w:tcPr>
            <w:tcW w:w="1319" w:type="dxa"/>
            <w:gridSpan w:val="2"/>
            <w:vAlign w:val="center"/>
          </w:tcPr>
          <w:p>
            <w:pPr>
              <w:widowControl/>
              <w:snapToGrid w:val="0"/>
              <w:jc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320</w:t>
            </w:r>
          </w:p>
        </w:tc>
        <w:tc>
          <w:tcPr>
            <w:tcW w:w="877" w:type="dxa"/>
            <w:vMerge w:val="continue"/>
            <w:vAlign w:val="center"/>
          </w:tcPr>
          <w:p>
            <w:pPr>
              <w:widowControl/>
              <w:snapToGrid w:val="0"/>
              <w:jc w:val="center"/>
              <w:rPr>
                <w:rFonts w:hint="eastAsia" w:ascii="仿宋_GB2312" w:hAnsi="仿宋_GB2312" w:eastAsia="仿宋_GB2312" w:cs="仿宋_GB2312"/>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hint="eastAsia" w:ascii="仿宋_GB2312" w:hAnsi="仿宋_GB2312" w:eastAsia="仿宋_GB2312" w:cs="仿宋_GB2312"/>
                <w:kern w:val="0"/>
                <w:sz w:val="21"/>
              </w:rPr>
            </w:pPr>
          </w:p>
        </w:tc>
        <w:tc>
          <w:tcPr>
            <w:tcW w:w="780" w:type="dxa"/>
            <w:gridSpan w:val="2"/>
            <w:vMerge w:val="continue"/>
            <w:vAlign w:val="center"/>
          </w:tcPr>
          <w:p>
            <w:pPr>
              <w:widowControl/>
              <w:spacing w:line="240" w:lineRule="exact"/>
              <w:jc w:val="center"/>
              <w:rPr>
                <w:rFonts w:hint="eastAsia" w:ascii="仿宋_GB2312" w:hAnsi="仿宋_GB2312" w:eastAsia="仿宋_GB2312" w:cs="仿宋_GB2312"/>
                <w:kern w:val="0"/>
                <w:sz w:val="21"/>
              </w:rPr>
            </w:pPr>
          </w:p>
        </w:tc>
        <w:tc>
          <w:tcPr>
            <w:tcW w:w="1510" w:type="dxa"/>
            <w:vAlign w:val="center"/>
          </w:tcPr>
          <w:p>
            <w:pPr>
              <w:widowControl/>
              <w:spacing w:line="240" w:lineRule="exact"/>
              <w:rPr>
                <w:rFonts w:hint="eastAsia" w:ascii="仿宋_GB2312" w:hAnsi="仿宋_GB2312" w:eastAsia="仿宋_GB2312" w:cs="仿宋_GB2312"/>
                <w:kern w:val="0"/>
                <w:sz w:val="21"/>
              </w:rPr>
            </w:pPr>
            <w:r>
              <w:rPr>
                <w:rFonts w:hint="eastAsia" w:ascii="仿宋_GB2312" w:hAnsi="仿宋_GB2312" w:eastAsia="仿宋_GB2312" w:cs="仿宋_GB2312"/>
                <w:kern w:val="0"/>
                <w:sz w:val="18"/>
                <w:szCs w:val="18"/>
              </w:rPr>
              <w:t>促成银企对接，签订银企合作协议金额</w:t>
            </w:r>
          </w:p>
        </w:tc>
        <w:tc>
          <w:tcPr>
            <w:tcW w:w="2036" w:type="dxa"/>
            <w:gridSpan w:val="3"/>
            <w:vAlign w:val="center"/>
          </w:tcPr>
          <w:p>
            <w:pPr>
              <w:widowControl/>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rPr>
              <w:t>≥20</w:t>
            </w:r>
            <w:r>
              <w:rPr>
                <w:rFonts w:hint="eastAsia" w:ascii="仿宋_GB2312" w:hAnsi="仿宋_GB2312" w:eastAsia="仿宋_GB2312" w:cs="仿宋_GB2312"/>
                <w:color w:val="000000"/>
                <w:kern w:val="0"/>
                <w:sz w:val="20"/>
                <w:szCs w:val="20"/>
                <w:lang w:eastAsia="zh-CN"/>
              </w:rPr>
              <w:t>亿</w:t>
            </w:r>
          </w:p>
        </w:tc>
        <w:tc>
          <w:tcPr>
            <w:tcW w:w="1678" w:type="dxa"/>
            <w:vAlign w:val="center"/>
          </w:tcPr>
          <w:p>
            <w:pPr>
              <w:widowControl/>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rPr>
              <w:t>20</w:t>
            </w:r>
            <w:r>
              <w:rPr>
                <w:rFonts w:hint="eastAsia" w:ascii="仿宋_GB2312" w:hAnsi="仿宋_GB2312" w:eastAsia="仿宋_GB2312" w:cs="仿宋_GB2312"/>
                <w:color w:val="000000"/>
                <w:kern w:val="0"/>
                <w:sz w:val="20"/>
                <w:szCs w:val="20"/>
                <w:lang w:val="en-US" w:eastAsia="zh-CN"/>
              </w:rPr>
              <w:t>0亿</w:t>
            </w:r>
          </w:p>
        </w:tc>
        <w:tc>
          <w:tcPr>
            <w:tcW w:w="1319" w:type="dxa"/>
            <w:gridSpan w:val="2"/>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lang w:val="en-US" w:eastAsia="zh-CN"/>
              </w:rPr>
              <w:t>379.9亿</w:t>
            </w:r>
          </w:p>
        </w:tc>
        <w:tc>
          <w:tcPr>
            <w:tcW w:w="877" w:type="dxa"/>
            <w:vMerge w:val="continue"/>
            <w:vAlign w:val="center"/>
          </w:tcPr>
          <w:p>
            <w:pPr>
              <w:widowControl/>
              <w:snapToGrid w:val="0"/>
              <w:jc w:val="center"/>
              <w:rPr>
                <w:rFonts w:hint="eastAsia" w:ascii="仿宋_GB2312" w:hAnsi="仿宋_GB2312" w:eastAsia="仿宋_GB2312" w:cs="仿宋_GB2312"/>
                <w:kern w:val="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hint="eastAsia" w:ascii="仿宋_GB2312" w:hAnsi="仿宋_GB2312" w:eastAsia="仿宋_GB2312" w:cs="仿宋_GB2312"/>
                <w:kern w:val="0"/>
                <w:sz w:val="21"/>
              </w:rPr>
            </w:pPr>
          </w:p>
        </w:tc>
        <w:tc>
          <w:tcPr>
            <w:tcW w:w="780" w:type="dxa"/>
            <w:gridSpan w:val="2"/>
            <w:vMerge w:val="continue"/>
            <w:vAlign w:val="center"/>
          </w:tcPr>
          <w:p>
            <w:pPr>
              <w:widowControl/>
              <w:spacing w:line="240" w:lineRule="exact"/>
              <w:jc w:val="center"/>
              <w:rPr>
                <w:rFonts w:hint="eastAsia" w:ascii="仿宋_GB2312" w:hAnsi="仿宋_GB2312" w:eastAsia="仿宋_GB2312" w:cs="仿宋_GB2312"/>
                <w:kern w:val="0"/>
                <w:sz w:val="21"/>
              </w:rPr>
            </w:pPr>
          </w:p>
        </w:tc>
        <w:tc>
          <w:tcPr>
            <w:tcW w:w="1510" w:type="dxa"/>
            <w:vAlign w:val="center"/>
          </w:tcPr>
          <w:p>
            <w:pPr>
              <w:widowControl/>
              <w:spacing w:line="240" w:lineRule="exact"/>
              <w:rPr>
                <w:rFonts w:hint="eastAsia" w:ascii="仿宋_GB2312" w:hAnsi="仿宋_GB2312" w:eastAsia="仿宋_GB2312" w:cs="仿宋_GB2312"/>
                <w:kern w:val="0"/>
                <w:sz w:val="21"/>
              </w:rPr>
            </w:pPr>
            <w:r>
              <w:rPr>
                <w:rFonts w:hint="eastAsia" w:ascii="仿宋_GB2312" w:hAnsi="仿宋_GB2312" w:eastAsia="仿宋_GB2312" w:cs="仿宋_GB2312"/>
                <w:kern w:val="0"/>
                <w:sz w:val="18"/>
                <w:szCs w:val="18"/>
              </w:rPr>
              <w:t>为企业解决融资需求家数</w:t>
            </w:r>
          </w:p>
        </w:tc>
        <w:tc>
          <w:tcPr>
            <w:tcW w:w="2036" w:type="dxa"/>
            <w:gridSpan w:val="3"/>
            <w:vAlign w:val="center"/>
          </w:tcPr>
          <w:p>
            <w:pPr>
              <w:widowControl/>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rPr>
              <w:t>≥20家</w:t>
            </w:r>
          </w:p>
        </w:tc>
        <w:tc>
          <w:tcPr>
            <w:tcW w:w="1678" w:type="dxa"/>
            <w:vAlign w:val="center"/>
          </w:tcPr>
          <w:p>
            <w:pPr>
              <w:widowControl/>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lang w:val="en-US" w:eastAsia="zh-CN"/>
              </w:rPr>
              <w:t>4</w:t>
            </w:r>
            <w:r>
              <w:rPr>
                <w:rFonts w:hint="eastAsia" w:ascii="仿宋_GB2312" w:hAnsi="仿宋_GB2312" w:eastAsia="仿宋_GB2312" w:cs="仿宋_GB2312"/>
                <w:color w:val="000000"/>
                <w:kern w:val="0"/>
                <w:sz w:val="20"/>
                <w:szCs w:val="20"/>
              </w:rPr>
              <w:t>0家</w:t>
            </w:r>
          </w:p>
        </w:tc>
        <w:tc>
          <w:tcPr>
            <w:tcW w:w="1319" w:type="dxa"/>
            <w:gridSpan w:val="2"/>
            <w:vAlign w:val="center"/>
          </w:tcPr>
          <w:p>
            <w:pPr>
              <w:widowControl/>
              <w:snapToGrid w:val="0"/>
              <w:jc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278家</w:t>
            </w:r>
          </w:p>
        </w:tc>
        <w:tc>
          <w:tcPr>
            <w:tcW w:w="877" w:type="dxa"/>
            <w:vMerge w:val="continue"/>
            <w:vAlign w:val="center"/>
          </w:tcPr>
          <w:p>
            <w:pPr>
              <w:widowControl/>
              <w:snapToGrid w:val="0"/>
              <w:jc w:val="center"/>
              <w:rPr>
                <w:rFonts w:hint="eastAsia" w:ascii="仿宋_GB2312" w:hAnsi="仿宋_GB2312" w:eastAsia="仿宋_GB2312" w:cs="仿宋_GB2312"/>
                <w:kern w:val="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hint="eastAsia" w:ascii="仿宋_GB2312" w:hAnsi="仿宋_GB2312" w:eastAsia="仿宋_GB2312" w:cs="仿宋_GB2312"/>
                <w:kern w:val="0"/>
                <w:sz w:val="21"/>
              </w:rPr>
            </w:pPr>
          </w:p>
        </w:tc>
        <w:tc>
          <w:tcPr>
            <w:tcW w:w="780" w:type="dxa"/>
            <w:gridSpan w:val="2"/>
            <w:vMerge w:val="restart"/>
            <w:vAlign w:val="center"/>
          </w:tcPr>
          <w:p>
            <w:pPr>
              <w:widowControl/>
              <w:spacing w:line="240" w:lineRule="exact"/>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18"/>
                <w:szCs w:val="18"/>
              </w:rPr>
              <w:t>质量指标</w:t>
            </w:r>
          </w:p>
        </w:tc>
        <w:tc>
          <w:tcPr>
            <w:tcW w:w="1510" w:type="dxa"/>
            <w:vAlign w:val="center"/>
          </w:tcPr>
          <w:p>
            <w:pPr>
              <w:widowControl/>
              <w:spacing w:line="240" w:lineRule="exact"/>
              <w:rPr>
                <w:rFonts w:hint="eastAsia" w:ascii="仿宋_GB2312" w:hAnsi="仿宋_GB2312" w:eastAsia="仿宋_GB2312" w:cs="仿宋_GB2312"/>
                <w:kern w:val="0"/>
                <w:sz w:val="21"/>
              </w:rPr>
            </w:pPr>
            <w:r>
              <w:rPr>
                <w:rFonts w:hint="eastAsia" w:ascii="仿宋_GB2312" w:hAnsi="仿宋_GB2312" w:eastAsia="仿宋_GB2312" w:cs="仿宋_GB2312"/>
                <w:kern w:val="0"/>
                <w:sz w:val="18"/>
                <w:szCs w:val="18"/>
              </w:rPr>
              <w:t>不良贷款降比率</w:t>
            </w:r>
          </w:p>
        </w:tc>
        <w:tc>
          <w:tcPr>
            <w:tcW w:w="2036" w:type="dxa"/>
            <w:gridSpan w:val="3"/>
            <w:vAlign w:val="center"/>
          </w:tcPr>
          <w:p>
            <w:pPr>
              <w:widowControl/>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rPr>
              <w:t>降低</w:t>
            </w:r>
          </w:p>
        </w:tc>
        <w:tc>
          <w:tcPr>
            <w:tcW w:w="1678" w:type="dxa"/>
            <w:vAlign w:val="center"/>
          </w:tcPr>
          <w:p>
            <w:pPr>
              <w:widowControl/>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rPr>
              <w:t>降低</w:t>
            </w:r>
          </w:p>
        </w:tc>
        <w:tc>
          <w:tcPr>
            <w:tcW w:w="1319" w:type="dxa"/>
            <w:gridSpan w:val="2"/>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rPr>
              <w:t>降低</w:t>
            </w:r>
          </w:p>
        </w:tc>
        <w:tc>
          <w:tcPr>
            <w:tcW w:w="877" w:type="dxa"/>
            <w:vMerge w:val="restart"/>
            <w:vAlign w:val="center"/>
          </w:tcPr>
          <w:p>
            <w:pPr>
              <w:widowControl/>
              <w:snapToGrid w:val="0"/>
              <w:jc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hint="eastAsia" w:ascii="仿宋_GB2312" w:hAnsi="仿宋_GB2312" w:eastAsia="仿宋_GB2312" w:cs="仿宋_GB2312"/>
                <w:kern w:val="0"/>
                <w:sz w:val="21"/>
              </w:rPr>
            </w:pPr>
          </w:p>
        </w:tc>
        <w:tc>
          <w:tcPr>
            <w:tcW w:w="780" w:type="dxa"/>
            <w:gridSpan w:val="2"/>
            <w:vMerge w:val="continue"/>
            <w:vAlign w:val="center"/>
          </w:tcPr>
          <w:p>
            <w:pPr>
              <w:widowControl/>
              <w:spacing w:line="240" w:lineRule="exact"/>
              <w:jc w:val="center"/>
              <w:rPr>
                <w:rFonts w:hint="eastAsia" w:ascii="仿宋_GB2312" w:hAnsi="仿宋_GB2312" w:eastAsia="仿宋_GB2312" w:cs="仿宋_GB2312"/>
                <w:kern w:val="0"/>
                <w:sz w:val="21"/>
              </w:rPr>
            </w:pPr>
          </w:p>
        </w:tc>
        <w:tc>
          <w:tcPr>
            <w:tcW w:w="1510" w:type="dxa"/>
            <w:vAlign w:val="center"/>
          </w:tcPr>
          <w:p>
            <w:pPr>
              <w:widowControl/>
              <w:spacing w:line="240" w:lineRule="exact"/>
              <w:rPr>
                <w:rFonts w:hint="eastAsia" w:ascii="仿宋_GB2312" w:hAnsi="仿宋_GB2312" w:eastAsia="仿宋_GB2312" w:cs="仿宋_GB2312"/>
                <w:kern w:val="0"/>
                <w:sz w:val="21"/>
              </w:rPr>
            </w:pPr>
            <w:r>
              <w:rPr>
                <w:rFonts w:hint="eastAsia" w:ascii="仿宋_GB2312" w:hAnsi="仿宋_GB2312" w:eastAsia="仿宋_GB2312" w:cs="仿宋_GB2312"/>
                <w:kern w:val="0"/>
                <w:sz w:val="18"/>
                <w:szCs w:val="18"/>
              </w:rPr>
              <w:t>信贷资金使用率</w:t>
            </w:r>
          </w:p>
        </w:tc>
        <w:tc>
          <w:tcPr>
            <w:tcW w:w="2036" w:type="dxa"/>
            <w:gridSpan w:val="3"/>
            <w:vAlign w:val="center"/>
          </w:tcPr>
          <w:p>
            <w:pPr>
              <w:widowControl/>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rPr>
              <w:t>良好</w:t>
            </w:r>
          </w:p>
        </w:tc>
        <w:tc>
          <w:tcPr>
            <w:tcW w:w="1678" w:type="dxa"/>
            <w:vAlign w:val="center"/>
          </w:tcPr>
          <w:p>
            <w:pPr>
              <w:widowControl/>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rPr>
              <w:t>良好</w:t>
            </w:r>
          </w:p>
        </w:tc>
        <w:tc>
          <w:tcPr>
            <w:tcW w:w="1319" w:type="dxa"/>
            <w:gridSpan w:val="2"/>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rPr>
              <w:t>良好</w:t>
            </w:r>
          </w:p>
        </w:tc>
        <w:tc>
          <w:tcPr>
            <w:tcW w:w="877" w:type="dxa"/>
            <w:vMerge w:val="continue"/>
            <w:vAlign w:val="center"/>
          </w:tcPr>
          <w:p>
            <w:pPr>
              <w:widowControl/>
              <w:snapToGrid w:val="0"/>
              <w:jc w:val="center"/>
              <w:rPr>
                <w:rFonts w:hint="eastAsia" w:ascii="仿宋_GB2312" w:hAnsi="仿宋_GB2312" w:eastAsia="仿宋_GB2312" w:cs="仿宋_GB2312"/>
                <w:kern w:val="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hint="eastAsia" w:ascii="仿宋_GB2312" w:hAnsi="仿宋_GB2312" w:eastAsia="仿宋_GB2312" w:cs="仿宋_GB2312"/>
                <w:kern w:val="0"/>
                <w:sz w:val="21"/>
              </w:rPr>
            </w:pPr>
          </w:p>
        </w:tc>
        <w:tc>
          <w:tcPr>
            <w:tcW w:w="780" w:type="dxa"/>
            <w:gridSpan w:val="2"/>
            <w:vAlign w:val="center"/>
          </w:tcPr>
          <w:p>
            <w:pPr>
              <w:widowControl/>
              <w:spacing w:line="240" w:lineRule="exact"/>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18"/>
                <w:szCs w:val="18"/>
              </w:rPr>
              <w:t>成本指标</w:t>
            </w:r>
          </w:p>
        </w:tc>
        <w:tc>
          <w:tcPr>
            <w:tcW w:w="1510" w:type="dxa"/>
            <w:vAlign w:val="center"/>
          </w:tcPr>
          <w:p>
            <w:pPr>
              <w:widowControl/>
              <w:spacing w:line="240" w:lineRule="exact"/>
              <w:rPr>
                <w:rFonts w:hint="eastAsia" w:ascii="仿宋_GB2312" w:hAnsi="仿宋_GB2312" w:eastAsia="仿宋_GB2312" w:cs="仿宋_GB2312"/>
                <w:kern w:val="0"/>
                <w:sz w:val="21"/>
              </w:rPr>
            </w:pPr>
            <w:r>
              <w:rPr>
                <w:rFonts w:hint="eastAsia" w:ascii="仿宋_GB2312" w:hAnsi="仿宋_GB2312" w:eastAsia="仿宋_GB2312" w:cs="仿宋_GB2312"/>
                <w:kern w:val="0"/>
                <w:sz w:val="18"/>
                <w:szCs w:val="18"/>
              </w:rPr>
              <w:t>场地租赁成本</w:t>
            </w:r>
          </w:p>
        </w:tc>
        <w:tc>
          <w:tcPr>
            <w:tcW w:w="2036" w:type="dxa"/>
            <w:gridSpan w:val="3"/>
            <w:vAlign w:val="center"/>
          </w:tcPr>
          <w:p>
            <w:pPr>
              <w:widowControl/>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rPr>
              <w:t>≤5万元</w:t>
            </w:r>
          </w:p>
        </w:tc>
        <w:tc>
          <w:tcPr>
            <w:tcW w:w="1678" w:type="dxa"/>
            <w:vAlign w:val="center"/>
          </w:tcPr>
          <w:p>
            <w:pPr>
              <w:widowControl/>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lang w:val="en-US" w:eastAsia="zh-CN"/>
              </w:rPr>
              <w:t>4</w:t>
            </w:r>
            <w:r>
              <w:rPr>
                <w:rFonts w:hint="eastAsia" w:ascii="仿宋_GB2312" w:hAnsi="仿宋_GB2312" w:eastAsia="仿宋_GB2312" w:cs="仿宋_GB2312"/>
                <w:color w:val="000000"/>
                <w:kern w:val="0"/>
                <w:sz w:val="20"/>
                <w:szCs w:val="20"/>
              </w:rPr>
              <w:t>万元</w:t>
            </w:r>
          </w:p>
        </w:tc>
        <w:tc>
          <w:tcPr>
            <w:tcW w:w="1319" w:type="dxa"/>
            <w:gridSpan w:val="2"/>
            <w:vAlign w:val="center"/>
          </w:tcPr>
          <w:p>
            <w:pPr>
              <w:widowControl/>
              <w:snapToGrid w:val="0"/>
              <w:jc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3.5万</w:t>
            </w:r>
          </w:p>
        </w:tc>
        <w:tc>
          <w:tcPr>
            <w:tcW w:w="877" w:type="dxa"/>
            <w:vAlign w:val="center"/>
          </w:tcPr>
          <w:p>
            <w:pPr>
              <w:widowControl/>
              <w:snapToGrid w:val="0"/>
              <w:jc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hint="eastAsia" w:ascii="仿宋_GB2312" w:hAnsi="仿宋_GB2312" w:eastAsia="仿宋_GB2312" w:cs="仿宋_GB2312"/>
                <w:kern w:val="0"/>
                <w:sz w:val="21"/>
              </w:rPr>
            </w:pPr>
          </w:p>
        </w:tc>
        <w:tc>
          <w:tcPr>
            <w:tcW w:w="780" w:type="dxa"/>
            <w:gridSpan w:val="2"/>
            <w:vAlign w:val="center"/>
          </w:tcPr>
          <w:p>
            <w:pPr>
              <w:widowControl/>
              <w:spacing w:line="240" w:lineRule="exact"/>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18"/>
                <w:szCs w:val="18"/>
              </w:rPr>
              <w:t>社会效益指标</w:t>
            </w:r>
          </w:p>
        </w:tc>
        <w:tc>
          <w:tcPr>
            <w:tcW w:w="1510" w:type="dxa"/>
            <w:vAlign w:val="center"/>
          </w:tcPr>
          <w:p>
            <w:pPr>
              <w:widowControl/>
              <w:spacing w:line="240" w:lineRule="exact"/>
              <w:rPr>
                <w:rFonts w:hint="eastAsia" w:ascii="仿宋_GB2312" w:hAnsi="仿宋_GB2312" w:eastAsia="仿宋_GB2312" w:cs="仿宋_GB2312"/>
                <w:kern w:val="0"/>
                <w:sz w:val="21"/>
              </w:rPr>
            </w:pPr>
            <w:r>
              <w:rPr>
                <w:rFonts w:hint="eastAsia" w:ascii="仿宋_GB2312" w:hAnsi="仿宋_GB2312" w:eastAsia="仿宋_GB2312" w:cs="仿宋_GB2312"/>
                <w:kern w:val="0"/>
                <w:sz w:val="18"/>
                <w:szCs w:val="18"/>
              </w:rPr>
              <w:t>宣传政策知晓率</w:t>
            </w:r>
          </w:p>
        </w:tc>
        <w:tc>
          <w:tcPr>
            <w:tcW w:w="2036" w:type="dxa"/>
            <w:gridSpan w:val="3"/>
            <w:vAlign w:val="center"/>
          </w:tcPr>
          <w:p>
            <w:pPr>
              <w:widowControl/>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rPr>
              <w:t>≥98%</w:t>
            </w:r>
          </w:p>
        </w:tc>
        <w:tc>
          <w:tcPr>
            <w:tcW w:w="1678" w:type="dxa"/>
            <w:vAlign w:val="center"/>
          </w:tcPr>
          <w:p>
            <w:pPr>
              <w:widowControl/>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color w:val="000000"/>
                <w:kern w:val="0"/>
                <w:sz w:val="20"/>
                <w:szCs w:val="20"/>
              </w:rPr>
              <w:t>98%</w:t>
            </w:r>
          </w:p>
        </w:tc>
        <w:tc>
          <w:tcPr>
            <w:tcW w:w="1319" w:type="dxa"/>
            <w:gridSpan w:val="2"/>
            <w:vAlign w:val="center"/>
          </w:tcPr>
          <w:p>
            <w:pPr>
              <w:widowControl/>
              <w:snapToGrid w:val="0"/>
              <w:jc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98%</w:t>
            </w:r>
          </w:p>
        </w:tc>
        <w:tc>
          <w:tcPr>
            <w:tcW w:w="877" w:type="dxa"/>
            <w:vAlign w:val="center"/>
          </w:tcPr>
          <w:p>
            <w:pPr>
              <w:widowControl/>
              <w:snapToGrid w:val="0"/>
              <w:jc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28" w:type="dxa"/>
            <w:vMerge w:val="continue"/>
            <w:vAlign w:val="center"/>
          </w:tcPr>
          <w:p>
            <w:pPr>
              <w:widowControl/>
              <w:snapToGrid w:val="0"/>
              <w:jc w:val="center"/>
              <w:rPr>
                <w:rFonts w:ascii="仿宋_GB2312" w:hAnsi="宋体" w:eastAsia="仿宋_GB2312" w:cs="Times New Roman"/>
                <w:kern w:val="0"/>
                <w:sz w:val="21"/>
              </w:rPr>
            </w:pPr>
          </w:p>
        </w:tc>
        <w:tc>
          <w:tcPr>
            <w:tcW w:w="780" w:type="dxa"/>
            <w:gridSpan w:val="2"/>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服务对象满意度指标</w:t>
            </w:r>
          </w:p>
        </w:tc>
        <w:tc>
          <w:tcPr>
            <w:tcW w:w="1510" w:type="dxa"/>
            <w:vAlign w:val="center"/>
          </w:tcPr>
          <w:p>
            <w:pPr>
              <w:widowControl/>
              <w:spacing w:line="240" w:lineRule="exac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受益人员满意度</w:t>
            </w:r>
          </w:p>
        </w:tc>
        <w:tc>
          <w:tcPr>
            <w:tcW w:w="2036" w:type="dxa"/>
            <w:gridSpan w:val="3"/>
            <w:vAlign w:val="center"/>
          </w:tcPr>
          <w:p>
            <w:pPr>
              <w:widowControl/>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1678" w:type="dxa"/>
            <w:vAlign w:val="center"/>
          </w:tcPr>
          <w:p>
            <w:pPr>
              <w:widowControl/>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98%</w:t>
            </w:r>
          </w:p>
        </w:tc>
        <w:tc>
          <w:tcPr>
            <w:tcW w:w="1319" w:type="dxa"/>
            <w:gridSpan w:val="2"/>
            <w:vAlign w:val="center"/>
          </w:tcPr>
          <w:p>
            <w:pPr>
              <w:widowControl/>
              <w:snapToGrid w:val="0"/>
              <w:jc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98%</w:t>
            </w:r>
          </w:p>
        </w:tc>
        <w:tc>
          <w:tcPr>
            <w:tcW w:w="877" w:type="dxa"/>
            <w:vAlign w:val="center"/>
          </w:tcPr>
          <w:p>
            <w:pPr>
              <w:widowControl/>
              <w:snapToGrid w:val="0"/>
              <w:jc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总分</w:t>
            </w:r>
          </w:p>
        </w:tc>
        <w:tc>
          <w:tcPr>
            <w:tcW w:w="8200" w:type="dxa"/>
            <w:gridSpan w:val="10"/>
            <w:vAlign w:val="center"/>
          </w:tcPr>
          <w:p>
            <w:pPr>
              <w:widowControl/>
              <w:snapToGrid w:val="0"/>
              <w:jc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98.87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1528" w:type="dxa"/>
            <w:gridSpan w:val="2"/>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偏差大或</w:t>
            </w:r>
          </w:p>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目标未完成</w:t>
            </w:r>
          </w:p>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原因分析</w:t>
            </w:r>
          </w:p>
        </w:tc>
        <w:tc>
          <w:tcPr>
            <w:tcW w:w="7500" w:type="dxa"/>
            <w:gridSpan w:val="9"/>
            <w:vAlign w:val="center"/>
          </w:tcPr>
          <w:p>
            <w:pPr>
              <w:widowControl/>
              <w:jc w:val="left"/>
              <w:rPr>
                <w:rFonts w:ascii="仿宋_GB2312" w:hAnsi="宋体" w:eastAsia="仿宋_GB2312" w:cs="Times New Roman"/>
                <w:kern w:val="0"/>
                <w:sz w:val="21"/>
              </w:rPr>
            </w:pPr>
            <w:r>
              <w:rPr>
                <w:rFonts w:hint="eastAsia" w:ascii="仿宋_GB2312" w:hAnsi="宋体" w:eastAsia="仿宋_GB2312" w:cs="Times New Roman"/>
                <w:kern w:val="0"/>
                <w:sz w:val="21"/>
                <w:lang w:val="en-US" w:eastAsia="zh-CN"/>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1" w:hRule="atLeast"/>
          <w:jc w:val="center"/>
        </w:trPr>
        <w:tc>
          <w:tcPr>
            <w:tcW w:w="1528" w:type="dxa"/>
            <w:gridSpan w:val="2"/>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改进措施及</w:t>
            </w:r>
          </w:p>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结果应用方案</w:t>
            </w:r>
          </w:p>
        </w:tc>
        <w:tc>
          <w:tcPr>
            <w:tcW w:w="7500" w:type="dxa"/>
            <w:gridSpan w:val="9"/>
            <w:vAlign w:val="center"/>
          </w:tcPr>
          <w:p>
            <w:pPr>
              <w:widowControl/>
              <w:jc w:val="left"/>
              <w:rPr>
                <w:rFonts w:ascii="仿宋_GB2312" w:hAnsi="宋体" w:eastAsia="仿宋_GB2312" w:cs="Times New Roman"/>
                <w:kern w:val="0"/>
                <w:sz w:val="21"/>
              </w:rPr>
            </w:pPr>
            <w:r>
              <w:rPr>
                <w:rFonts w:hint="eastAsia" w:ascii="仿宋_GB2312" w:hAnsi="宋体" w:eastAsia="仿宋_GB2312" w:cs="Times New Roman"/>
                <w:kern w:val="0"/>
                <w:sz w:val="21"/>
                <w:lang w:val="en-US" w:eastAsia="zh-CN"/>
              </w:rPr>
              <w:t xml:space="preserve">根据湖北省金融生态建设领导小组办公室《关于安排信用环境建设经费并纳入市级财政预算的函》及关于印发鄂州市非法集资举报奖励实施细则的通知文件，创建良好的金融生态环境，由办公室定期对部门开展考核，了解各部门目标任务完成情况，并督促各科室积极开展培训活动，为全市实体经济创造优良的金融营商环境。   </w:t>
            </w:r>
          </w:p>
        </w:tc>
      </w:tr>
    </w:tbl>
    <w:p>
      <w:pPr>
        <w:rPr>
          <w:rFonts w:hint="eastAsia" w:ascii="黑体" w:hAnsi="黑体" w:eastAsia="黑体" w:cs="黑体"/>
          <w:color w:val="FF0000"/>
          <w:szCs w:val="32"/>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cs="Times New Roman" w:asciiTheme="minorHAnsi" w:hAnsiTheme="minorHAnsi" w:eastAsiaTheme="minorEastAsia"/>
          <w:sz w:val="21"/>
        </w:rPr>
      </w:pPr>
      <w:r>
        <w:rPr>
          <w:rFonts w:hint="eastAsia" w:asciiTheme="majorEastAsia" w:hAnsiTheme="majorEastAsia" w:eastAsiaTheme="majorEastAsia" w:cstheme="majorEastAsia"/>
          <w:b/>
          <w:bCs/>
          <w:sz w:val="32"/>
          <w:szCs w:val="32"/>
          <w:lang w:val="en-US" w:eastAsia="zh-CN"/>
        </w:rPr>
        <w:t>2022</w:t>
      </w:r>
      <w:r>
        <w:rPr>
          <w:rFonts w:hint="eastAsia" w:asciiTheme="majorEastAsia" w:hAnsiTheme="majorEastAsia" w:eastAsiaTheme="majorEastAsia" w:cstheme="majorEastAsia"/>
          <w:b/>
          <w:bCs/>
          <w:sz w:val="32"/>
          <w:szCs w:val="32"/>
        </w:rPr>
        <w:t>年度</w:t>
      </w:r>
      <w:r>
        <w:rPr>
          <w:rFonts w:hint="eastAsia" w:ascii="宋体" w:hAnsi="宋体" w:eastAsia="宋体" w:cs="宋体"/>
          <w:b/>
          <w:bCs/>
          <w:kern w:val="0"/>
          <w:sz w:val="32"/>
          <w:szCs w:val="32"/>
        </w:rPr>
        <w:t>市直部门</w:t>
      </w:r>
      <w:r>
        <w:rPr>
          <w:rFonts w:hint="eastAsia" w:asciiTheme="majorEastAsia" w:hAnsiTheme="majorEastAsia" w:eastAsiaTheme="majorEastAsia" w:cstheme="majorEastAsia"/>
          <w:b/>
          <w:bCs/>
          <w:sz w:val="32"/>
          <w:szCs w:val="32"/>
        </w:rPr>
        <w:t>项目自评表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单位名称：鄂州市地方金融工作局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2023年5月 24日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334"/>
        <w:gridCol w:w="1107"/>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项目名称</w:t>
            </w:r>
          </w:p>
        </w:tc>
        <w:tc>
          <w:tcPr>
            <w:tcW w:w="7420" w:type="dxa"/>
            <w:gridSpan w:val="8"/>
            <w:vAlign w:val="center"/>
          </w:tcPr>
          <w:p>
            <w:pPr>
              <w:widowControl/>
              <w:snapToGrid w:val="0"/>
              <w:jc w:val="center"/>
              <w:rPr>
                <w:rFonts w:ascii="仿宋_GB2312" w:hAnsi="宋体" w:eastAsia="仿宋_GB2312" w:cs="Times New Roman"/>
                <w:kern w:val="0"/>
                <w:sz w:val="21"/>
              </w:rPr>
            </w:pPr>
            <w:r>
              <w:rPr>
                <w:rFonts w:hint="eastAsia" w:ascii="仿宋_GB2312" w:hAnsi="仿宋_GB2312" w:eastAsia="仿宋_GB2312" w:cs="仿宋_GB2312"/>
                <w:color w:val="auto"/>
                <w:kern w:val="0"/>
                <w:sz w:val="18"/>
                <w:szCs w:val="18"/>
              </w:rPr>
              <w:t xml:space="preserve"> 企业上市奖励资金</w:t>
            </w:r>
            <w:r>
              <w:rPr>
                <w:rFonts w:hint="eastAsia" w:ascii="仿宋_GB2312" w:hAnsi="仿宋_GB2312" w:eastAsia="仿宋_GB2312" w:cs="仿宋_GB2312"/>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8" w:type="dxa"/>
            <w:gridSpan w:val="2"/>
            <w:vAlign w:val="center"/>
          </w:tcPr>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主管部门</w:t>
            </w:r>
          </w:p>
        </w:tc>
        <w:tc>
          <w:tcPr>
            <w:tcW w:w="3364" w:type="dxa"/>
            <w:gridSpan w:val="3"/>
            <w:vAlign w:val="center"/>
          </w:tcPr>
          <w:p>
            <w:pPr>
              <w:widowControl/>
              <w:snapToGrid w:val="0"/>
              <w:jc w:val="left"/>
              <w:rPr>
                <w:rFonts w:ascii="仿宋_GB2312" w:hAnsi="宋体" w:eastAsia="仿宋_GB2312" w:cs="Times New Roman"/>
                <w:kern w:val="0"/>
                <w:sz w:val="21"/>
              </w:rPr>
            </w:pPr>
            <w:r>
              <w:rPr>
                <w:rFonts w:hint="eastAsia" w:ascii="仿宋_GB2312" w:hAnsi="宋体" w:eastAsia="仿宋_GB2312" w:cs="仿宋_GB2312"/>
                <w:kern w:val="0"/>
                <w:sz w:val="21"/>
              </w:rPr>
              <w:t>市地方金融工作局</w:t>
            </w:r>
          </w:p>
        </w:tc>
        <w:tc>
          <w:tcPr>
            <w:tcW w:w="2520" w:type="dxa"/>
            <w:gridSpan w:val="3"/>
            <w:vAlign w:val="center"/>
          </w:tcPr>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项目实施单位</w:t>
            </w:r>
          </w:p>
        </w:tc>
        <w:tc>
          <w:tcPr>
            <w:tcW w:w="1536" w:type="dxa"/>
            <w:gridSpan w:val="2"/>
            <w:vAlign w:val="center"/>
          </w:tcPr>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　市地方金融工作局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项目类别</w:t>
            </w:r>
          </w:p>
        </w:tc>
        <w:tc>
          <w:tcPr>
            <w:tcW w:w="7420" w:type="dxa"/>
            <w:gridSpan w:val="8"/>
            <w:vAlign w:val="center"/>
          </w:tcPr>
          <w:p>
            <w:pPr>
              <w:widowControl/>
              <w:snapToGrid w:val="0"/>
              <w:jc w:val="left"/>
              <w:rPr>
                <w:rFonts w:ascii="仿宋_GB2312" w:hAnsi="宋体" w:eastAsia="仿宋_GB2312" w:cs="Times New Roman"/>
                <w:kern w:val="0"/>
                <w:sz w:val="21"/>
              </w:rPr>
            </w:pPr>
            <w:r>
              <w:rPr>
                <w:rFonts w:ascii="仿宋_GB2312" w:hAnsi="宋体" w:eastAsia="仿宋_GB2312" w:cs="仿宋_GB2312"/>
                <w:kern w:val="0"/>
                <w:sz w:val="21"/>
              </w:rPr>
              <w:t>1</w:t>
            </w:r>
            <w:r>
              <w:rPr>
                <w:rFonts w:hint="eastAsia" w:ascii="仿宋_GB2312" w:hAnsi="宋体" w:eastAsia="仿宋_GB2312" w:cs="仿宋_GB2312"/>
                <w:kern w:val="0"/>
                <w:sz w:val="21"/>
              </w:rPr>
              <w:t>、部门预算项目</w:t>
            </w:r>
            <w:r>
              <w:rPr>
                <w:rFonts w:ascii="仿宋_GB2312" w:hAnsi="宋体" w:eastAsia="仿宋_GB2312" w:cs="仿宋_GB2312"/>
                <w:kern w:val="0"/>
                <w:sz w:val="21"/>
              </w:rPr>
              <w:t xml:space="preserve">    </w:t>
            </w:r>
            <w:r>
              <w:rPr>
                <w:rFonts w:hint="default" w:ascii="Arial" w:hAnsi="Arial" w:eastAsia="仿宋_GB2312" w:cs="Arial"/>
                <w:kern w:val="0"/>
                <w:sz w:val="21"/>
              </w:rPr>
              <w:t>√</w:t>
            </w:r>
            <w:r>
              <w:rPr>
                <w:rFonts w:ascii="仿宋_GB2312" w:hAnsi="宋体" w:eastAsia="仿宋_GB2312" w:cs="仿宋_GB2312"/>
                <w:kern w:val="0"/>
                <w:sz w:val="21"/>
              </w:rPr>
              <w:t xml:space="preserve">  2</w:t>
            </w:r>
            <w:r>
              <w:rPr>
                <w:rFonts w:hint="eastAsia" w:ascii="仿宋_GB2312" w:hAnsi="宋体" w:eastAsia="仿宋_GB2312" w:cs="仿宋_GB2312"/>
                <w:kern w:val="0"/>
                <w:sz w:val="21"/>
              </w:rPr>
              <w:t>、省直专项</w:t>
            </w:r>
            <w:r>
              <w:rPr>
                <w:rFonts w:ascii="仿宋_GB2312" w:hAnsi="宋体" w:eastAsia="仿宋_GB2312" w:cs="仿宋_GB2312"/>
                <w:kern w:val="0"/>
                <w:sz w:val="21"/>
              </w:rPr>
              <w:t xml:space="preserve">   </w:t>
            </w:r>
            <w:r>
              <w:rPr>
                <w:rFonts w:hint="eastAsia" w:ascii="仿宋_GB2312" w:hAnsi="宋体" w:eastAsia="仿宋_GB2312" w:cs="仿宋_GB2312"/>
                <w:kern w:val="0"/>
                <w:sz w:val="21"/>
              </w:rPr>
              <w:t>□</w:t>
            </w:r>
            <w:r>
              <w:rPr>
                <w:rFonts w:ascii="仿宋_GB2312" w:hAnsi="宋体" w:eastAsia="仿宋_GB2312" w:cs="仿宋_GB2312"/>
                <w:kern w:val="0"/>
                <w:sz w:val="21"/>
              </w:rPr>
              <w:t xml:space="preserve">  3</w:t>
            </w:r>
            <w:r>
              <w:rPr>
                <w:rFonts w:hint="eastAsia" w:ascii="仿宋_GB2312" w:hAnsi="宋体" w:eastAsia="仿宋_GB2312" w:cs="仿宋_GB2312"/>
                <w:kern w:val="0"/>
                <w:sz w:val="21"/>
              </w:rPr>
              <w:t>、省对下转移支付项目</w:t>
            </w:r>
            <w:r>
              <w:rPr>
                <w:rFonts w:ascii="仿宋_GB2312" w:hAnsi="宋体" w:eastAsia="仿宋_GB2312" w:cs="仿宋_GB2312"/>
                <w:kern w:val="0"/>
                <w:sz w:val="21"/>
              </w:rPr>
              <w:t xml:space="preserve"> </w:t>
            </w:r>
            <w:r>
              <w:rPr>
                <w:rFonts w:hint="eastAsia" w:ascii="仿宋_GB2312" w:hAnsi="宋体" w:eastAsia="仿宋_GB2312" w:cs="仿宋_GB2312"/>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项目属性</w:t>
            </w:r>
          </w:p>
        </w:tc>
        <w:tc>
          <w:tcPr>
            <w:tcW w:w="7420" w:type="dxa"/>
            <w:gridSpan w:val="8"/>
            <w:vAlign w:val="center"/>
          </w:tcPr>
          <w:p>
            <w:pPr>
              <w:widowControl/>
              <w:snapToGrid w:val="0"/>
              <w:jc w:val="left"/>
              <w:rPr>
                <w:rFonts w:ascii="仿宋_GB2312" w:hAnsi="宋体" w:eastAsia="仿宋_GB2312" w:cs="仿宋_GB2312"/>
                <w:kern w:val="0"/>
                <w:sz w:val="21"/>
              </w:rPr>
            </w:pPr>
            <w:r>
              <w:rPr>
                <w:rFonts w:ascii="仿宋_GB2312" w:hAnsi="宋体" w:eastAsia="仿宋_GB2312" w:cs="仿宋_GB2312"/>
                <w:kern w:val="0"/>
                <w:sz w:val="21"/>
              </w:rPr>
              <w:t>1</w:t>
            </w:r>
            <w:r>
              <w:rPr>
                <w:rFonts w:hint="eastAsia" w:ascii="仿宋_GB2312" w:hAnsi="宋体" w:eastAsia="仿宋_GB2312" w:cs="仿宋_GB2312"/>
                <w:kern w:val="0"/>
                <w:sz w:val="21"/>
              </w:rPr>
              <w:t>、持续性项目</w:t>
            </w:r>
            <w:r>
              <w:rPr>
                <w:rFonts w:ascii="仿宋_GB2312" w:hAnsi="宋体" w:eastAsia="仿宋_GB2312" w:cs="仿宋_GB2312"/>
                <w:kern w:val="0"/>
                <w:sz w:val="21"/>
              </w:rPr>
              <w:t xml:space="preserve">     </w:t>
            </w:r>
            <w:r>
              <w:rPr>
                <w:rFonts w:hint="eastAsia" w:ascii="仿宋_GB2312" w:hAnsi="宋体" w:eastAsia="仿宋_GB2312" w:cs="仿宋_GB2312"/>
                <w:kern w:val="0"/>
                <w:sz w:val="21"/>
              </w:rPr>
              <w:t>□</w:t>
            </w:r>
            <w:r>
              <w:rPr>
                <w:rFonts w:ascii="仿宋_GB2312" w:hAnsi="宋体" w:eastAsia="仿宋_GB2312" w:cs="仿宋_GB2312"/>
                <w:kern w:val="0"/>
                <w:sz w:val="21"/>
              </w:rPr>
              <w:t xml:space="preserve">   2</w:t>
            </w:r>
            <w:r>
              <w:rPr>
                <w:rFonts w:hint="eastAsia" w:ascii="仿宋_GB2312" w:hAnsi="宋体" w:eastAsia="仿宋_GB2312" w:cs="仿宋_GB2312"/>
                <w:kern w:val="0"/>
                <w:sz w:val="21"/>
              </w:rPr>
              <w:t>、新增性项目</w:t>
            </w:r>
            <w:r>
              <w:rPr>
                <w:rFonts w:ascii="仿宋_GB2312" w:hAnsi="宋体" w:eastAsia="仿宋_GB2312" w:cs="仿宋_GB2312"/>
                <w:kern w:val="0"/>
                <w:sz w:val="21"/>
              </w:rPr>
              <w:t xml:space="preserve"> </w:t>
            </w:r>
            <w:r>
              <w:rPr>
                <w:rFonts w:hint="default" w:ascii="Arial" w:hAnsi="Arial" w:eastAsia="仿宋_GB2312" w:cs="Arial"/>
                <w:kern w:val="0"/>
                <w:sz w:val="21"/>
              </w:rPr>
              <w:t>√</w:t>
            </w:r>
            <w:r>
              <w:rPr>
                <w:rFonts w:ascii="仿宋_GB2312" w:hAnsi="宋体" w:eastAsia="仿宋_GB2312" w:cs="仿宋_GB2312"/>
                <w:kern w:val="0"/>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项目类型</w:t>
            </w:r>
          </w:p>
        </w:tc>
        <w:tc>
          <w:tcPr>
            <w:tcW w:w="7420" w:type="dxa"/>
            <w:gridSpan w:val="8"/>
            <w:vAlign w:val="center"/>
          </w:tcPr>
          <w:p>
            <w:pPr>
              <w:widowControl/>
              <w:snapToGrid w:val="0"/>
              <w:jc w:val="left"/>
              <w:rPr>
                <w:rFonts w:ascii="仿宋_GB2312" w:hAnsi="宋体" w:eastAsia="仿宋_GB2312" w:cs="Times New Roman"/>
                <w:kern w:val="0"/>
                <w:sz w:val="21"/>
              </w:rPr>
            </w:pPr>
            <w:r>
              <w:rPr>
                <w:rFonts w:ascii="仿宋_GB2312" w:hAnsi="宋体" w:eastAsia="仿宋_GB2312" w:cs="仿宋_GB2312"/>
                <w:kern w:val="0"/>
                <w:sz w:val="21"/>
              </w:rPr>
              <w:t>1</w:t>
            </w:r>
            <w:r>
              <w:rPr>
                <w:rFonts w:hint="eastAsia" w:ascii="仿宋_GB2312" w:hAnsi="宋体" w:eastAsia="仿宋_GB2312" w:cs="仿宋_GB2312"/>
                <w:kern w:val="0"/>
                <w:sz w:val="21"/>
              </w:rPr>
              <w:t>、常年性项目</w:t>
            </w:r>
            <w:r>
              <w:rPr>
                <w:rFonts w:ascii="仿宋_GB2312" w:hAnsi="宋体" w:eastAsia="仿宋_GB2312" w:cs="仿宋_GB2312"/>
                <w:kern w:val="0"/>
                <w:sz w:val="21"/>
              </w:rPr>
              <w:t xml:space="preserve">     </w:t>
            </w:r>
            <w:r>
              <w:rPr>
                <w:rFonts w:hint="default" w:ascii="Arial" w:hAnsi="Arial" w:eastAsia="仿宋_GB2312" w:cs="Arial"/>
                <w:kern w:val="0"/>
                <w:sz w:val="21"/>
              </w:rPr>
              <w:t>√</w:t>
            </w:r>
            <w:r>
              <w:rPr>
                <w:rFonts w:ascii="仿宋_GB2312" w:hAnsi="宋体" w:eastAsia="仿宋_GB2312" w:cs="仿宋_GB2312"/>
                <w:kern w:val="0"/>
                <w:sz w:val="21"/>
              </w:rPr>
              <w:t xml:space="preserve">    2</w:t>
            </w:r>
            <w:r>
              <w:rPr>
                <w:rFonts w:hint="eastAsia" w:ascii="仿宋_GB2312" w:hAnsi="宋体" w:eastAsia="仿宋_GB2312" w:cs="仿宋_GB2312"/>
                <w:kern w:val="0"/>
                <w:sz w:val="21"/>
              </w:rPr>
              <w:t>、延续性项目</w:t>
            </w:r>
            <w:r>
              <w:rPr>
                <w:rFonts w:ascii="仿宋_GB2312" w:hAnsi="宋体" w:eastAsia="仿宋_GB2312" w:cs="仿宋_GB2312"/>
                <w:kern w:val="0"/>
                <w:sz w:val="21"/>
              </w:rPr>
              <w:t xml:space="preserve"> </w:t>
            </w:r>
            <w:r>
              <w:rPr>
                <w:rFonts w:hint="eastAsia" w:ascii="仿宋_GB2312" w:hAnsi="宋体" w:eastAsia="仿宋_GB2312" w:cs="仿宋_GB2312"/>
                <w:kern w:val="0"/>
                <w:sz w:val="21"/>
              </w:rPr>
              <w:t>□</w:t>
            </w:r>
            <w:r>
              <w:rPr>
                <w:rFonts w:ascii="仿宋_GB2312" w:hAnsi="宋体" w:eastAsia="仿宋_GB2312" w:cs="仿宋_GB2312"/>
                <w:kern w:val="0"/>
                <w:sz w:val="21"/>
              </w:rPr>
              <w:t xml:space="preserve">      3</w:t>
            </w:r>
            <w:r>
              <w:rPr>
                <w:rFonts w:hint="eastAsia" w:ascii="仿宋_GB2312" w:hAnsi="宋体" w:eastAsia="仿宋_GB2312" w:cs="仿宋_GB2312"/>
                <w:kern w:val="0"/>
                <w:sz w:val="21"/>
              </w:rPr>
              <w:t>、一次性项目</w:t>
            </w:r>
            <w:r>
              <w:rPr>
                <w:rFonts w:ascii="仿宋_GB2312" w:hAnsi="宋体" w:eastAsia="仿宋_GB2312" w:cs="仿宋_GB2312"/>
                <w:kern w:val="0"/>
                <w:sz w:val="21"/>
              </w:rPr>
              <w:t xml:space="preserve"> </w:t>
            </w:r>
            <w:r>
              <w:rPr>
                <w:rFonts w:hint="eastAsia" w:ascii="仿宋_GB2312" w:hAnsi="宋体" w:eastAsia="仿宋_GB2312" w:cs="仿宋_GB2312"/>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预算执行情况（万元）</w:t>
            </w:r>
          </w:p>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（20分）</w:t>
            </w:r>
          </w:p>
        </w:tc>
        <w:tc>
          <w:tcPr>
            <w:tcW w:w="1334" w:type="dxa"/>
            <w:vAlign w:val="center"/>
          </w:tcPr>
          <w:p>
            <w:pPr>
              <w:widowControl/>
              <w:snapToGrid w:val="0"/>
              <w:jc w:val="center"/>
              <w:rPr>
                <w:rFonts w:hint="eastAsia" w:ascii="仿宋_GB2312" w:hAnsi="仿宋_GB2312" w:eastAsia="仿宋_GB2312" w:cs="仿宋_GB2312"/>
                <w:kern w:val="0"/>
                <w:sz w:val="21"/>
              </w:rPr>
            </w:pPr>
          </w:p>
        </w:tc>
        <w:tc>
          <w:tcPr>
            <w:tcW w:w="1107" w:type="dxa"/>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预算数（A）</w:t>
            </w:r>
          </w:p>
        </w:tc>
        <w:tc>
          <w:tcPr>
            <w:tcW w:w="1317" w:type="dxa"/>
            <w:gridSpan w:val="2"/>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执行数（B）</w:t>
            </w:r>
          </w:p>
        </w:tc>
        <w:tc>
          <w:tcPr>
            <w:tcW w:w="1466" w:type="dxa"/>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执行率（B/A）</w:t>
            </w:r>
          </w:p>
        </w:tc>
        <w:tc>
          <w:tcPr>
            <w:tcW w:w="2196" w:type="dxa"/>
            <w:gridSpan w:val="3"/>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得分</w:t>
            </w:r>
          </w:p>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hint="eastAsia" w:ascii="仿宋_GB2312" w:hAnsi="仿宋_GB2312" w:eastAsia="仿宋_GB2312" w:cs="仿宋_GB2312"/>
                <w:kern w:val="0"/>
                <w:sz w:val="21"/>
              </w:rPr>
            </w:pPr>
          </w:p>
        </w:tc>
        <w:tc>
          <w:tcPr>
            <w:tcW w:w="1334" w:type="dxa"/>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年度财政资金总额</w:t>
            </w:r>
          </w:p>
        </w:tc>
        <w:tc>
          <w:tcPr>
            <w:tcW w:w="1107" w:type="dxa"/>
            <w:vAlign w:val="center"/>
          </w:tcPr>
          <w:p>
            <w:pPr>
              <w:widowControl/>
              <w:snapToGrid w:val="0"/>
              <w:jc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312.84</w:t>
            </w:r>
          </w:p>
        </w:tc>
        <w:tc>
          <w:tcPr>
            <w:tcW w:w="1317" w:type="dxa"/>
            <w:gridSpan w:val="2"/>
            <w:vAlign w:val="center"/>
          </w:tcPr>
          <w:p>
            <w:pPr>
              <w:widowControl/>
              <w:snapToGrid w:val="0"/>
              <w:jc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269.61</w:t>
            </w:r>
          </w:p>
        </w:tc>
        <w:tc>
          <w:tcPr>
            <w:tcW w:w="1466" w:type="dxa"/>
            <w:vAlign w:val="center"/>
          </w:tcPr>
          <w:p>
            <w:pPr>
              <w:widowControl/>
              <w:snapToGrid w:val="0"/>
              <w:jc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86.18%</w:t>
            </w:r>
          </w:p>
        </w:tc>
        <w:tc>
          <w:tcPr>
            <w:tcW w:w="2196" w:type="dxa"/>
            <w:gridSpan w:val="3"/>
            <w:vAlign w:val="center"/>
          </w:tcPr>
          <w:p>
            <w:pPr>
              <w:widowControl/>
              <w:snapToGrid w:val="0"/>
              <w:jc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年度绩效目标1</w:t>
            </w:r>
          </w:p>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w:t>
            </w:r>
            <w:r>
              <w:rPr>
                <w:rFonts w:hint="eastAsia" w:ascii="仿宋_GB2312" w:hAnsi="仿宋_GB2312" w:eastAsia="仿宋_GB2312" w:cs="仿宋_GB2312"/>
                <w:kern w:val="0"/>
                <w:sz w:val="20"/>
                <w:szCs w:val="20"/>
                <w:lang w:val="en-US" w:eastAsia="zh-CN"/>
              </w:rPr>
              <w:t>80</w:t>
            </w:r>
            <w:r>
              <w:rPr>
                <w:rFonts w:hint="eastAsia" w:ascii="仿宋_GB2312" w:hAnsi="仿宋_GB2312" w:eastAsia="仿宋_GB2312" w:cs="仿宋_GB2312"/>
                <w:kern w:val="0"/>
                <w:sz w:val="21"/>
              </w:rPr>
              <w:t>分）</w:t>
            </w:r>
          </w:p>
        </w:tc>
        <w:tc>
          <w:tcPr>
            <w:tcW w:w="700" w:type="dxa"/>
            <w:vAlign w:val="center"/>
          </w:tcPr>
          <w:p>
            <w:pPr>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一级指标</w:t>
            </w:r>
          </w:p>
        </w:tc>
        <w:tc>
          <w:tcPr>
            <w:tcW w:w="1334" w:type="dxa"/>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二级指标</w:t>
            </w:r>
          </w:p>
        </w:tc>
        <w:tc>
          <w:tcPr>
            <w:tcW w:w="2424" w:type="dxa"/>
            <w:gridSpan w:val="3"/>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三级指标</w:t>
            </w:r>
          </w:p>
        </w:tc>
        <w:tc>
          <w:tcPr>
            <w:tcW w:w="1466" w:type="dxa"/>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年初目标值（A）</w:t>
            </w:r>
          </w:p>
        </w:tc>
        <w:tc>
          <w:tcPr>
            <w:tcW w:w="1319" w:type="dxa"/>
            <w:gridSpan w:val="2"/>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实际完成值（B）</w:t>
            </w:r>
          </w:p>
        </w:tc>
        <w:tc>
          <w:tcPr>
            <w:tcW w:w="877" w:type="dxa"/>
            <w:vAlign w:val="center"/>
          </w:tcPr>
          <w:p>
            <w:pPr>
              <w:widowControl/>
              <w:snapToGrid w:val="0"/>
              <w:jc w:val="center"/>
              <w:rPr>
                <w:rFonts w:hint="eastAsia" w:ascii="仿宋_GB2312" w:hAnsi="仿宋_GB2312" w:eastAsia="仿宋_GB2312" w:cs="仿宋_GB2312"/>
                <w:kern w:val="0"/>
                <w:sz w:val="21"/>
              </w:rPr>
            </w:pPr>
            <w:r>
              <w:rPr>
                <w:rFonts w:hint="eastAsia" w:ascii="仿宋_GB2312" w:hAnsi="仿宋_GB2312" w:eastAsia="仿宋_GB2312" w:cs="仿宋_GB2312"/>
                <w:kern w:val="0"/>
                <w:sz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28" w:type="dxa"/>
            <w:vMerge w:val="continue"/>
            <w:vAlign w:val="center"/>
          </w:tcPr>
          <w:p>
            <w:pPr>
              <w:snapToGrid w:val="0"/>
              <w:jc w:val="center"/>
              <w:rPr>
                <w:rFonts w:hint="eastAsia" w:ascii="仿宋_GB2312" w:hAnsi="仿宋_GB2312" w:eastAsia="仿宋_GB2312" w:cs="仿宋_GB2312"/>
                <w:kern w:val="0"/>
                <w:sz w:val="21"/>
              </w:rPr>
            </w:pPr>
          </w:p>
        </w:tc>
        <w:tc>
          <w:tcPr>
            <w:tcW w:w="7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rPr>
            </w:pPr>
            <w:r>
              <w:rPr>
                <w:rFonts w:hint="eastAsia" w:ascii="仿宋_GB2312" w:hAnsi="仿宋_GB2312" w:eastAsia="仿宋_GB2312" w:cs="仿宋_GB2312"/>
                <w:color w:val="auto"/>
                <w:kern w:val="0"/>
                <w:sz w:val="18"/>
                <w:szCs w:val="18"/>
                <w:lang w:eastAsia="zh-CN"/>
              </w:rPr>
              <w:t>数量指标</w:t>
            </w:r>
          </w:p>
        </w:tc>
        <w:tc>
          <w:tcPr>
            <w:tcW w:w="1334"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rPr>
            </w:pPr>
            <w:r>
              <w:rPr>
                <w:rFonts w:hint="eastAsia" w:ascii="仿宋_GB2312" w:hAnsi="仿宋_GB2312" w:eastAsia="仿宋_GB2312" w:cs="仿宋_GB2312"/>
                <w:color w:val="auto"/>
                <w:kern w:val="0"/>
                <w:sz w:val="18"/>
                <w:szCs w:val="18"/>
              </w:rPr>
              <w:t>四板挂牌企业</w:t>
            </w:r>
          </w:p>
        </w:tc>
        <w:tc>
          <w:tcPr>
            <w:tcW w:w="2424" w:type="dxa"/>
            <w:gridSpan w:val="3"/>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i w:val="0"/>
                <w:iCs w:val="0"/>
                <w:color w:val="000000"/>
                <w:kern w:val="0"/>
                <w:sz w:val="20"/>
                <w:szCs w:val="20"/>
                <w:u w:val="none"/>
                <w:lang w:val="en-US" w:eastAsia="zh-CN" w:bidi="ar"/>
              </w:rPr>
              <w:t>≥10家</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i w:val="0"/>
                <w:iCs w:val="0"/>
                <w:color w:val="000000"/>
                <w:kern w:val="0"/>
                <w:sz w:val="20"/>
                <w:szCs w:val="20"/>
                <w:u w:val="none"/>
                <w:lang w:val="en-US" w:eastAsia="zh-CN" w:bidi="ar"/>
              </w:rPr>
              <w:t>10家</w:t>
            </w:r>
          </w:p>
        </w:tc>
        <w:tc>
          <w:tcPr>
            <w:tcW w:w="131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9家</w:t>
            </w:r>
          </w:p>
        </w:tc>
        <w:tc>
          <w:tcPr>
            <w:tcW w:w="877" w:type="dxa"/>
            <w:vAlign w:val="center"/>
          </w:tcPr>
          <w:p>
            <w:pPr>
              <w:widowControl/>
              <w:snapToGrid w:val="0"/>
              <w:jc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828" w:type="dxa"/>
            <w:vMerge w:val="continue"/>
            <w:vAlign w:val="center"/>
          </w:tcPr>
          <w:p>
            <w:pPr>
              <w:snapToGrid w:val="0"/>
              <w:jc w:val="center"/>
              <w:rPr>
                <w:rFonts w:hint="eastAsia" w:ascii="仿宋_GB2312" w:hAnsi="仿宋_GB2312" w:eastAsia="仿宋_GB2312" w:cs="仿宋_GB2312"/>
                <w:kern w:val="0"/>
                <w:sz w:val="21"/>
              </w:rPr>
            </w:pPr>
          </w:p>
        </w:tc>
        <w:tc>
          <w:tcPr>
            <w:tcW w:w="7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rPr>
            </w:pPr>
            <w:r>
              <w:rPr>
                <w:rFonts w:hint="eastAsia" w:ascii="仿宋_GB2312" w:hAnsi="仿宋_GB2312" w:eastAsia="仿宋_GB2312" w:cs="仿宋_GB2312"/>
                <w:color w:val="auto"/>
                <w:kern w:val="0"/>
                <w:sz w:val="18"/>
                <w:szCs w:val="18"/>
              </w:rPr>
              <w:t>经济效益指标</w:t>
            </w:r>
          </w:p>
        </w:tc>
        <w:tc>
          <w:tcPr>
            <w:tcW w:w="133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i w:val="0"/>
                <w:color w:val="000000"/>
                <w:kern w:val="0"/>
                <w:sz w:val="20"/>
                <w:szCs w:val="20"/>
                <w:u w:val="none"/>
                <w:lang w:val="en-US" w:eastAsia="zh-CN" w:bidi="ar"/>
              </w:rPr>
              <w:t>增加税收额</w:t>
            </w:r>
          </w:p>
        </w:tc>
        <w:tc>
          <w:tcPr>
            <w:tcW w:w="2424" w:type="dxa"/>
            <w:gridSpan w:val="3"/>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color w:val="auto"/>
                <w:kern w:val="0"/>
                <w:sz w:val="18"/>
                <w:szCs w:val="18"/>
                <w:lang w:eastAsia="zh-CN"/>
              </w:rPr>
              <w:t>提升</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i w:val="0"/>
                <w:color w:val="000000"/>
                <w:kern w:val="0"/>
                <w:sz w:val="20"/>
                <w:szCs w:val="20"/>
                <w:u w:val="none"/>
                <w:lang w:val="en-US" w:eastAsia="zh-CN" w:bidi="ar"/>
              </w:rPr>
              <w:t>提升</w:t>
            </w:r>
          </w:p>
        </w:tc>
        <w:tc>
          <w:tcPr>
            <w:tcW w:w="131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提升</w:t>
            </w:r>
          </w:p>
        </w:tc>
        <w:tc>
          <w:tcPr>
            <w:tcW w:w="877" w:type="dxa"/>
            <w:vAlign w:val="center"/>
          </w:tcPr>
          <w:p>
            <w:pPr>
              <w:widowControl/>
              <w:snapToGrid w:val="0"/>
              <w:jc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hint="eastAsia" w:ascii="仿宋_GB2312" w:hAnsi="仿宋_GB2312" w:eastAsia="仿宋_GB2312" w:cs="仿宋_GB2312"/>
                <w:kern w:val="0"/>
                <w:sz w:val="21"/>
              </w:rPr>
            </w:pPr>
          </w:p>
        </w:tc>
        <w:tc>
          <w:tcPr>
            <w:tcW w:w="7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rPr>
            </w:pPr>
            <w:r>
              <w:rPr>
                <w:rFonts w:hint="eastAsia" w:ascii="仿宋_GB2312" w:hAnsi="仿宋_GB2312" w:eastAsia="仿宋_GB2312" w:cs="仿宋_GB2312"/>
                <w:color w:val="auto"/>
                <w:kern w:val="0"/>
                <w:sz w:val="18"/>
                <w:szCs w:val="18"/>
              </w:rPr>
              <w:t>社会效益指标</w:t>
            </w:r>
          </w:p>
        </w:tc>
        <w:tc>
          <w:tcPr>
            <w:tcW w:w="1334"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rPr>
            </w:pPr>
            <w:r>
              <w:rPr>
                <w:rFonts w:hint="eastAsia" w:ascii="仿宋_GB2312" w:hAnsi="仿宋_GB2312" w:eastAsia="仿宋_GB2312" w:cs="仿宋_GB2312"/>
                <w:color w:val="auto"/>
                <w:kern w:val="0"/>
                <w:sz w:val="18"/>
                <w:szCs w:val="18"/>
              </w:rPr>
              <w:t>带动就业人数</w:t>
            </w:r>
          </w:p>
        </w:tc>
        <w:tc>
          <w:tcPr>
            <w:tcW w:w="2424" w:type="dxa"/>
            <w:gridSpan w:val="3"/>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i w:val="0"/>
                <w:iCs w:val="0"/>
                <w:color w:val="000000"/>
                <w:kern w:val="0"/>
                <w:sz w:val="20"/>
                <w:szCs w:val="20"/>
                <w:u w:val="none"/>
                <w:lang w:val="en-US" w:eastAsia="zh-CN" w:bidi="ar"/>
              </w:rPr>
              <w:t>≥50人</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i w:val="0"/>
                <w:iCs w:val="0"/>
                <w:color w:val="000000"/>
                <w:kern w:val="0"/>
                <w:sz w:val="20"/>
                <w:szCs w:val="20"/>
                <w:u w:val="none"/>
                <w:lang w:val="en-US" w:eastAsia="zh-CN" w:bidi="ar"/>
              </w:rPr>
              <w:t>≥50人</w:t>
            </w:r>
          </w:p>
        </w:tc>
        <w:tc>
          <w:tcPr>
            <w:tcW w:w="131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60</w:t>
            </w:r>
          </w:p>
        </w:tc>
        <w:tc>
          <w:tcPr>
            <w:tcW w:w="877" w:type="dxa"/>
            <w:vAlign w:val="center"/>
          </w:tcPr>
          <w:p>
            <w:pPr>
              <w:widowControl/>
              <w:snapToGrid w:val="0"/>
              <w:jc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28" w:type="dxa"/>
            <w:vMerge w:val="continue"/>
            <w:vAlign w:val="center"/>
          </w:tcPr>
          <w:p>
            <w:pPr>
              <w:snapToGrid w:val="0"/>
              <w:jc w:val="center"/>
              <w:rPr>
                <w:rFonts w:hint="eastAsia" w:ascii="仿宋_GB2312" w:hAnsi="仿宋_GB2312" w:eastAsia="仿宋_GB2312" w:cs="仿宋_GB2312"/>
                <w:kern w:val="0"/>
                <w:sz w:val="21"/>
              </w:rPr>
            </w:pPr>
          </w:p>
        </w:tc>
        <w:tc>
          <w:tcPr>
            <w:tcW w:w="7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1"/>
              </w:rPr>
            </w:pPr>
            <w:r>
              <w:rPr>
                <w:rFonts w:hint="eastAsia" w:ascii="仿宋_GB2312" w:hAnsi="仿宋_GB2312" w:eastAsia="仿宋_GB2312" w:cs="仿宋_GB2312"/>
                <w:color w:val="auto"/>
                <w:kern w:val="0"/>
                <w:sz w:val="18"/>
                <w:szCs w:val="18"/>
              </w:rPr>
              <w:t>服务对象满意度指标</w:t>
            </w:r>
          </w:p>
        </w:tc>
        <w:tc>
          <w:tcPr>
            <w:tcW w:w="1334"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rPr>
            </w:pPr>
            <w:r>
              <w:rPr>
                <w:rFonts w:hint="eastAsia" w:ascii="仿宋_GB2312" w:hAnsi="仿宋_GB2312" w:eastAsia="仿宋_GB2312" w:cs="仿宋_GB2312"/>
                <w:color w:val="auto"/>
                <w:kern w:val="0"/>
                <w:sz w:val="18"/>
                <w:szCs w:val="18"/>
              </w:rPr>
              <w:t>企业满意度</w:t>
            </w:r>
          </w:p>
        </w:tc>
        <w:tc>
          <w:tcPr>
            <w:tcW w:w="2424" w:type="dxa"/>
            <w:gridSpan w:val="3"/>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i w:val="0"/>
                <w:iCs w:val="0"/>
                <w:color w:val="000000"/>
                <w:kern w:val="0"/>
                <w:sz w:val="20"/>
                <w:szCs w:val="20"/>
                <w:u w:val="none"/>
                <w:lang w:val="en-US" w:eastAsia="zh-CN" w:bidi="ar"/>
              </w:rPr>
              <w:t>≥98%</w:t>
            </w:r>
          </w:p>
        </w:tc>
        <w:tc>
          <w:tcPr>
            <w:tcW w:w="1466"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rPr>
            </w:pPr>
            <w:r>
              <w:rPr>
                <w:rFonts w:hint="eastAsia" w:ascii="仿宋_GB2312" w:hAnsi="仿宋_GB2312" w:eastAsia="仿宋_GB2312" w:cs="仿宋_GB2312"/>
                <w:i w:val="0"/>
                <w:iCs w:val="0"/>
                <w:color w:val="000000"/>
                <w:kern w:val="0"/>
                <w:sz w:val="20"/>
                <w:szCs w:val="20"/>
                <w:u w:val="none"/>
                <w:lang w:val="en-US" w:eastAsia="zh-CN" w:bidi="ar"/>
              </w:rPr>
              <w:t>≥98%</w:t>
            </w:r>
          </w:p>
        </w:tc>
        <w:tc>
          <w:tcPr>
            <w:tcW w:w="131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100%</w:t>
            </w:r>
          </w:p>
        </w:tc>
        <w:tc>
          <w:tcPr>
            <w:tcW w:w="877" w:type="dxa"/>
            <w:vAlign w:val="center"/>
          </w:tcPr>
          <w:p>
            <w:pPr>
              <w:widowControl/>
              <w:snapToGrid w:val="0"/>
              <w:jc w:val="center"/>
              <w:rPr>
                <w:rFonts w:hint="eastAsia" w:ascii="仿宋_GB2312" w:hAnsi="仿宋_GB2312" w:eastAsia="仿宋_GB2312" w:cs="仿宋_GB2312"/>
                <w:kern w:val="0"/>
                <w:sz w:val="21"/>
                <w:lang w:val="en-US" w:eastAsia="zh-CN"/>
              </w:rPr>
            </w:pPr>
            <w:r>
              <w:rPr>
                <w:rFonts w:hint="eastAsia" w:ascii="仿宋_GB2312" w:hAnsi="仿宋_GB2312" w:eastAsia="仿宋_GB2312" w:cs="仿宋_GB2312"/>
                <w:kern w:val="0"/>
                <w:sz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28" w:type="dxa"/>
            <w:vAlign w:val="center"/>
          </w:tcPr>
          <w:p>
            <w:pPr>
              <w:widowControl/>
              <w:snapToGrid w:val="0"/>
              <w:jc w:val="center"/>
              <w:rPr>
                <w:rFonts w:ascii="仿宋_GB2312" w:hAnsi="宋体" w:eastAsia="仿宋_GB2312" w:cs="Times New Roman"/>
                <w:kern w:val="0"/>
                <w:sz w:val="21"/>
              </w:rPr>
            </w:pPr>
            <w:r>
              <w:rPr>
                <w:rFonts w:hint="eastAsia" w:ascii="仿宋_GB2312" w:hAnsi="宋体" w:eastAsia="仿宋_GB2312" w:cs="仿宋_GB2312"/>
                <w:kern w:val="0"/>
                <w:sz w:val="21"/>
              </w:rPr>
              <w:t>总分</w:t>
            </w:r>
          </w:p>
        </w:tc>
        <w:tc>
          <w:tcPr>
            <w:tcW w:w="8120" w:type="dxa"/>
            <w:gridSpan w:val="9"/>
            <w:vAlign w:val="center"/>
          </w:tcPr>
          <w:p>
            <w:pPr>
              <w:widowControl/>
              <w:snapToGrid w:val="0"/>
              <w:jc w:val="center"/>
              <w:rPr>
                <w:rFonts w:hint="eastAsia" w:ascii="仿宋_GB2312" w:hAnsi="宋体" w:eastAsia="仿宋_GB2312" w:cs="Times New Roman"/>
                <w:kern w:val="0"/>
                <w:sz w:val="21"/>
                <w:lang w:val="en-US" w:eastAsia="zh-CN"/>
              </w:rPr>
            </w:pPr>
            <w:r>
              <w:rPr>
                <w:rFonts w:hint="eastAsia" w:ascii="仿宋_GB2312" w:hAnsi="宋体" w:eastAsia="仿宋_GB2312" w:cs="Times New Roman"/>
                <w:kern w:val="0"/>
                <w:sz w:val="21"/>
                <w:lang w:val="en-US" w:eastAsia="zh-CN"/>
              </w:rPr>
              <w:t>95.24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1" w:hRule="atLeast"/>
          <w:jc w:val="center"/>
        </w:trPr>
        <w:tc>
          <w:tcPr>
            <w:tcW w:w="1528" w:type="dxa"/>
            <w:gridSpan w:val="2"/>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偏差大或</w:t>
            </w:r>
          </w:p>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目标未完成</w:t>
            </w:r>
          </w:p>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原因分析</w:t>
            </w:r>
          </w:p>
        </w:tc>
        <w:tc>
          <w:tcPr>
            <w:tcW w:w="7420" w:type="dxa"/>
            <w:gridSpan w:val="8"/>
            <w:vAlign w:val="center"/>
          </w:tcPr>
          <w:p>
            <w:pPr>
              <w:widowControl/>
              <w:jc w:val="left"/>
              <w:rPr>
                <w:rFonts w:ascii="仿宋_GB2312" w:hAnsi="宋体" w:eastAsia="仿宋_GB2312" w:cs="Times New Roman"/>
                <w:kern w:val="0"/>
                <w:sz w:val="21"/>
              </w:rPr>
            </w:pPr>
            <w:r>
              <w:rPr>
                <w:rFonts w:hint="eastAsia" w:ascii="仿宋_GB2312" w:hAnsi="宋体" w:eastAsia="仿宋_GB2312" w:cs="Times New Roman"/>
                <w:kern w:val="0"/>
                <w:sz w:val="21"/>
                <w:lang w:eastAsia="zh-CN"/>
              </w:rPr>
              <w:t>一方面，</w:t>
            </w:r>
            <w:r>
              <w:rPr>
                <w:rFonts w:hint="eastAsia" w:ascii="仿宋_GB2312" w:hAnsi="宋体" w:eastAsia="仿宋_GB2312" w:cs="Times New Roman"/>
                <w:kern w:val="0"/>
                <w:sz w:val="21"/>
              </w:rPr>
              <w:t>因企业上市是市场化行为，有许多不可控的因素，因此预算编制、指标下达和预算执行上有些许偏差。另一方面，企业上市奖励兑现是根据《市人民政府办公室关于加快推进企业上市的若干意见》（鄂州政办发〔2021〕17号）文件精神制定的预算项目，需要企业符合上市相关条件才可申请奖励。2022年我市遭遇新冠疫情等不可控因素，导致企业上市进程放缓，企业未达到奖励兑现条件，因此上市奖励不能按期兑现</w:t>
            </w:r>
            <w:r>
              <w:rPr>
                <w:rFonts w:hint="eastAsia" w:ascii="仿宋_GB2312" w:hAnsi="宋体" w:eastAsia="仿宋_GB2312" w:cs="Times New Roman"/>
                <w:kern w:val="0"/>
                <w:sz w:val="21"/>
                <w:lang w:eastAsia="zh-CN"/>
              </w:rPr>
              <w:t>，所以该绩效指标未完成。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1" w:hRule="atLeast"/>
          <w:jc w:val="center"/>
        </w:trPr>
        <w:tc>
          <w:tcPr>
            <w:tcW w:w="1528" w:type="dxa"/>
            <w:gridSpan w:val="2"/>
            <w:vAlign w:val="center"/>
          </w:tcPr>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改进措施及</w:t>
            </w:r>
          </w:p>
          <w:p>
            <w:pPr>
              <w:widowControl/>
              <w:jc w:val="center"/>
              <w:rPr>
                <w:rFonts w:ascii="仿宋_GB2312" w:hAnsi="宋体" w:eastAsia="仿宋_GB2312" w:cs="Times New Roman"/>
                <w:kern w:val="0"/>
                <w:sz w:val="21"/>
              </w:rPr>
            </w:pPr>
            <w:r>
              <w:rPr>
                <w:rFonts w:hint="eastAsia" w:ascii="仿宋_GB2312" w:hAnsi="宋体" w:eastAsia="仿宋_GB2312" w:cs="仿宋_GB2312"/>
                <w:kern w:val="0"/>
                <w:sz w:val="21"/>
              </w:rPr>
              <w:t>结果应用方案</w:t>
            </w:r>
          </w:p>
        </w:tc>
        <w:tc>
          <w:tcPr>
            <w:tcW w:w="7420" w:type="dxa"/>
            <w:gridSpan w:val="8"/>
            <w:vAlign w:val="center"/>
          </w:tcPr>
          <w:p>
            <w:pPr>
              <w:widowControl/>
              <w:jc w:val="left"/>
              <w:rPr>
                <w:rFonts w:ascii="仿宋_GB2312" w:hAnsi="宋体" w:eastAsia="仿宋_GB2312" w:cs="Times New Roman"/>
                <w:kern w:val="0"/>
                <w:sz w:val="21"/>
              </w:rPr>
            </w:pPr>
            <w:r>
              <w:rPr>
                <w:rFonts w:hint="eastAsia" w:ascii="仿宋_GB2312" w:hAnsi="宋体" w:eastAsia="仿宋_GB2312" w:cs="Times New Roman"/>
                <w:kern w:val="0"/>
                <w:sz w:val="21"/>
                <w:lang w:val="en-US" w:eastAsia="zh-CN"/>
              </w:rPr>
              <w:t>坚持以“政府引导、市场主导、企业主体、多方联动、分类推进”工作原则，建立完善推进企业“培育、改制、辅导、申报、上市”全周期上市工作机制，显著提升上市公司的数量和质量，为全市经济高质量发展提供坚实支撑。</w:t>
            </w:r>
          </w:p>
        </w:tc>
      </w:tr>
    </w:tbl>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ruUMsUAgAAGwQAAA4AAAAAAAAAAQAgAAAANQ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D5EA9"/>
    <w:multiLevelType w:val="singleLevel"/>
    <w:tmpl w:val="A73D5EA9"/>
    <w:lvl w:ilvl="0" w:tentative="0">
      <w:start w:val="2"/>
      <w:numFmt w:val="chineseCounting"/>
      <w:suff w:val="nothing"/>
      <w:lvlText w:val="%1、"/>
      <w:lvlJc w:val="left"/>
      <w:rPr>
        <w:rFonts w:hint="eastAsia"/>
      </w:rPr>
    </w:lvl>
  </w:abstractNum>
  <w:abstractNum w:abstractNumId="1">
    <w:nsid w:val="2EDCD458"/>
    <w:multiLevelType w:val="singleLevel"/>
    <w:tmpl w:val="2EDCD458"/>
    <w:lvl w:ilvl="0" w:tentative="0">
      <w:start w:val="4"/>
      <w:numFmt w:val="chineseCounting"/>
      <w:suff w:val="space"/>
      <w:lvlText w:val="第%1部分"/>
      <w:lvlJc w:val="left"/>
      <w:rPr>
        <w:rFonts w:hint="eastAsia"/>
      </w:rPr>
    </w:lvl>
  </w:abstractNum>
  <w:abstractNum w:abstractNumId="2">
    <w:nsid w:val="64781A5B"/>
    <w:multiLevelType w:val="singleLevel"/>
    <w:tmpl w:val="64781A5B"/>
    <w:lvl w:ilvl="0" w:tentative="0">
      <w:start w:val="2"/>
      <w:numFmt w:val="decimal"/>
      <w:suff w:val="space"/>
      <w:lvlText w:val="%1."/>
      <w:lvlJc w:val="left"/>
    </w:lvl>
  </w:abstractNum>
  <w:abstractNum w:abstractNumId="3">
    <w:nsid w:val="64781B02"/>
    <w:multiLevelType w:val="singleLevel"/>
    <w:tmpl w:val="64781B02"/>
    <w:lvl w:ilvl="0" w:tentative="0">
      <w:start w:val="4"/>
      <w:numFmt w:val="chineseCounting"/>
      <w:suff w:val="nothing"/>
      <w:lvlText w:val="（%1）"/>
      <w:lvlJc w:val="left"/>
    </w:lvl>
  </w:abstractNum>
  <w:abstractNum w:abstractNumId="4">
    <w:nsid w:val="64784DB4"/>
    <w:multiLevelType w:val="singleLevel"/>
    <w:tmpl w:val="64784DB4"/>
    <w:lvl w:ilvl="0" w:tentative="0">
      <w:start w:val="2"/>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NDRmMTExYTUzYjIyODViZTU4MTdhOWZhMWZlMWMifQ=="/>
  </w:docVars>
  <w:rsids>
    <w:rsidRoot w:val="1A6449F2"/>
    <w:rsid w:val="001C3C78"/>
    <w:rsid w:val="003D082F"/>
    <w:rsid w:val="006A5248"/>
    <w:rsid w:val="006A794D"/>
    <w:rsid w:val="006B41FD"/>
    <w:rsid w:val="00874B86"/>
    <w:rsid w:val="00B53647"/>
    <w:rsid w:val="00C10E46"/>
    <w:rsid w:val="00C20282"/>
    <w:rsid w:val="00CC7FC9"/>
    <w:rsid w:val="00DA1F72"/>
    <w:rsid w:val="0662466E"/>
    <w:rsid w:val="07B74193"/>
    <w:rsid w:val="143D67CD"/>
    <w:rsid w:val="164B1FA8"/>
    <w:rsid w:val="18EB4A4A"/>
    <w:rsid w:val="1A6449F2"/>
    <w:rsid w:val="1BC520EE"/>
    <w:rsid w:val="1DEF0B38"/>
    <w:rsid w:val="25CB7CBD"/>
    <w:rsid w:val="2A8713C0"/>
    <w:rsid w:val="2DFE0923"/>
    <w:rsid w:val="324E4235"/>
    <w:rsid w:val="33D44600"/>
    <w:rsid w:val="36A54D42"/>
    <w:rsid w:val="37F46C7A"/>
    <w:rsid w:val="3A9028D6"/>
    <w:rsid w:val="3C9541F0"/>
    <w:rsid w:val="3CE06912"/>
    <w:rsid w:val="3FF102E8"/>
    <w:rsid w:val="456559F2"/>
    <w:rsid w:val="4EA02972"/>
    <w:rsid w:val="53262284"/>
    <w:rsid w:val="540B4634"/>
    <w:rsid w:val="571B4D3E"/>
    <w:rsid w:val="5DBE7B6A"/>
    <w:rsid w:val="618F69CF"/>
    <w:rsid w:val="67B25931"/>
    <w:rsid w:val="68E77154"/>
    <w:rsid w:val="6B8F25DF"/>
    <w:rsid w:val="6DF244FF"/>
    <w:rsid w:val="6FE2212D"/>
    <w:rsid w:val="75373844"/>
    <w:rsid w:val="79B53791"/>
    <w:rsid w:val="7D1174AC"/>
    <w:rsid w:val="7F9E7636"/>
    <w:rsid w:val="7FFFA9B2"/>
    <w:rsid w:val="DC7EF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qFormat/>
    <w:uiPriority w:val="0"/>
    <w:pPr>
      <w:widowControl w:val="0"/>
      <w:ind w:firstLine="420" w:firstLineChars="100"/>
      <w:jc w:val="both"/>
    </w:pPr>
    <w:rPr>
      <w:rFonts w:asciiTheme="minorHAnsi" w:hAnsiTheme="minorHAnsi" w:eastAsiaTheme="minorEastAsia" w:cstheme="minorBidi"/>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Emphasis"/>
    <w:qFormat/>
    <w:uiPriority w:val="0"/>
    <w:rPr>
      <w:i/>
    </w:rPr>
  </w:style>
  <w:style w:type="paragraph" w:customStyle="1" w:styleId="9">
    <w:name w:val="正文缩进 + 首行缩进:  2 字符"/>
    <w:basedOn w:val="1"/>
    <w:qFormat/>
    <w:uiPriority w:val="0"/>
    <w:pPr>
      <w:spacing w:line="560" w:lineRule="exact"/>
      <w:ind w:firstLine="640"/>
    </w:pPr>
    <w:rPr>
      <w:rFonts w:ascii="仿宋" w:hAnsi="仿宋" w:eastAsia="仿宋" w:cs="宋体"/>
      <w:szCs w:val="20"/>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p0"/>
    <w:qFormat/>
    <w:uiPriority w:val="0"/>
    <w:pPr>
      <w:widowControl/>
      <w:jc w:val="both"/>
    </w:pPr>
    <w:rPr>
      <w:rFonts w:ascii="仿宋_GB2312" w:hAnsi="宋体" w:eastAsia="仿宋_GB2312" w:cs="宋体"/>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2.emf"/><Relationship Id="rId22" Type="http://schemas.openxmlformats.org/officeDocument/2006/relationships/oleObject" Target="embeddings/oleObject3.bin"/><Relationship Id="rId21" Type="http://schemas.openxmlformats.org/officeDocument/2006/relationships/image" Target="media/image11.e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image" Target="media/image10.emf"/><Relationship Id="rId17" Type="http://schemas.openxmlformats.org/officeDocument/2006/relationships/oleObject" Target="embeddings/oleObject1.bin"/><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22270;&#34920;%20&#22312;%20&#65288;2024&#24180;&#22797;&#26597;&#65289;&#37122;&#24030;&#24066;2022&#24180;&#24230;&#37096;&#38376;&#20915;&#31639;&#20844;&#24320;&#27169;&#26495;(1).doc"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025742337164751"/>
          <c:y val="0.0431252104359823"/>
          <c:w val="0.938888888888889"/>
          <c:h val="0.780185758513932"/>
        </c:manualLayout>
      </c:layout>
      <c:pieChart>
        <c:varyColors val="true"/>
        <c:ser>
          <c:idx val="0"/>
          <c:order val="0"/>
          <c:tx>
            <c:strRef>
              <c:f>'[图表 在 （2024年复查）鄂州市2022年度部门决算公开模板(1).doc]Sheet1'!$A$3</c:f>
              <c:strCache>
                <c:ptCount val="1"/>
                <c:pt idx="0">
                  <c:v>2022年度</c:v>
                </c:pt>
              </c:strCache>
            </c:strRef>
          </c:tx>
          <c:explosion val="0"/>
          <c:dPt>
            <c:idx val="0"/>
            <c:bubble3D val="false"/>
            <c:explosion val="0"/>
            <c:spPr>
              <a:solidFill>
                <a:schemeClr val="accent1"/>
              </a:solidFill>
              <a:ln w="25400">
                <a:solidFill>
                  <a:schemeClr val="lt1"/>
                </a:solidFill>
              </a:ln>
              <a:effectLst/>
            </c:spPr>
          </c:dPt>
          <c:dPt>
            <c:idx val="1"/>
            <c:bubble3D val="false"/>
            <c:explosion val="0"/>
            <c:spPr>
              <a:solidFill>
                <a:schemeClr val="accent2"/>
              </a:solidFill>
              <a:ln w="25400">
                <a:solidFill>
                  <a:schemeClr val="lt1"/>
                </a:solidFill>
              </a:ln>
              <a:effectLst/>
            </c:spPr>
          </c:dPt>
          <c:dPt>
            <c:idx val="2"/>
            <c:bubble3D val="false"/>
            <c:explosion val="0"/>
            <c:spPr>
              <a:solidFill>
                <a:schemeClr val="accent3"/>
              </a:solidFill>
              <a:ln w="25400">
                <a:solidFill>
                  <a:schemeClr val="lt1"/>
                </a:solidFill>
              </a:ln>
              <a:effectLst/>
            </c:spPr>
          </c:dPt>
          <c:dPt>
            <c:idx val="3"/>
            <c:bubble3D val="false"/>
            <c:explosion val="0"/>
            <c:spPr>
              <a:solidFill>
                <a:schemeClr val="accent4"/>
              </a:solidFill>
              <a:ln w="25400">
                <a:solidFill>
                  <a:schemeClr val="lt1"/>
                </a:solidFill>
              </a:ln>
              <a:effectLst/>
            </c:spPr>
          </c:dPt>
          <c:dPt>
            <c:idx val="4"/>
            <c:bubble3D val="false"/>
            <c:explosion val="0"/>
            <c:spPr>
              <a:solidFill>
                <a:schemeClr val="accent5"/>
              </a:solidFill>
              <a:ln w="2540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1000" b="1" i="0" u="none" strike="noStrike" kern="1200" baseline="0">
                    <a:solidFill>
                      <a:schemeClr val="bg1"/>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[00013afc1]Sheet1!$B$2:$F$2</c:f>
              <c:strCache>
                <c:ptCount val="5"/>
                <c:pt idx="0">
                  <c:v>财政拨款收入</c:v>
                </c:pt>
                <c:pt idx="1">
                  <c:v>上级补助收入</c:v>
                </c:pt>
                <c:pt idx="2">
                  <c:v>事业收入</c:v>
                </c:pt>
                <c:pt idx="3">
                  <c:v>经营收入</c:v>
                </c:pt>
                <c:pt idx="4">
                  <c:v>其他收入</c:v>
                </c:pt>
              </c:strCache>
            </c:strRef>
          </c:cat>
          <c:val>
            <c:numRef>
              <c:f>'[图表 在 （2024年复查）鄂州市2022年度部门决算公开模板(1).doc]Sheet1'!$B$3:$F$3</c:f>
              <c:numCache>
                <c:formatCode>General</c:formatCode>
                <c:ptCount val="5"/>
                <c:pt idx="0">
                  <c:v>695.07</c:v>
                </c:pt>
                <c:pt idx="1">
                  <c:v>0</c:v>
                </c:pt>
                <c:pt idx="2">
                  <c:v>0</c:v>
                </c:pt>
                <c:pt idx="3">
                  <c:v>0</c:v>
                </c:pt>
                <c:pt idx="4">
                  <c:v>25.33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wrap="square"/>
    <a:lstStyle/>
    <a:p>
      <a:pPr>
        <a:defRPr lang="zh-CN"/>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word/theme/themeOverride1.xml><?xml version="1.0" encoding="utf-8"?>
<a:themeOverride xmlns:a="http://schemas.openxmlformats.org/drawingml/2006/main">
  <a:clrScheme name="【1】">
    <a:dk1>
      <a:srgbClr val="000000"/>
    </a:dk1>
    <a:lt1>
      <a:srgbClr val="FFFFFF"/>
    </a:lt1>
    <a:dk2>
      <a:srgbClr val="0C0E1F"/>
    </a:dk2>
    <a:lt2>
      <a:srgbClr val="FEFFFF"/>
    </a:lt2>
    <a:accent1>
      <a:srgbClr val="4F81FF"/>
    </a:accent1>
    <a:accent2>
      <a:srgbClr val="16CC8A"/>
    </a:accent2>
    <a:accent3>
      <a:srgbClr val="FFC619"/>
    </a:accent3>
    <a:accent4>
      <a:srgbClr val="FF8041"/>
    </a:accent4>
    <a:accent5>
      <a:srgbClr val="F95F5F"/>
    </a:accent5>
    <a:accent6>
      <a:srgbClr val="A15CFF"/>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7582</Words>
  <Characters>8259</Characters>
  <Lines>62</Lines>
  <Paragraphs>17</Paragraphs>
  <TotalTime>8</TotalTime>
  <ScaleCrop>false</ScaleCrop>
  <LinksUpToDate>false</LinksUpToDate>
  <CharactersWithSpaces>8400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2023-11-29T09:52:00Z</dcterms:created>
  <dc:creator>Administrator</dc:creator>
  <cp:lastModifiedBy>inspur</cp:lastModifiedBy>
  <dcterms:modified xsi:type="dcterms:W3CDTF">2024-08-29T10:35:56Z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70ED3DF7C17D40CB8BCD1E3DAD86EA49_13</vt:lpwstr>
  </property>
</Properties>
</file>