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  <w:bookmarkStart w:id="0" w:name="_GoBack"/>
      <w:bookmarkEnd w:id="0"/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1"/>
        <w:gridCol w:w="1114"/>
        <w:gridCol w:w="216"/>
        <w:gridCol w:w="200"/>
        <w:gridCol w:w="315"/>
        <w:gridCol w:w="539"/>
        <w:gridCol w:w="240"/>
        <w:gridCol w:w="276"/>
        <w:gridCol w:w="266"/>
        <w:gridCol w:w="271"/>
        <w:gridCol w:w="59"/>
        <w:gridCol w:w="1011"/>
        <w:gridCol w:w="1176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hint="eastAsia" w:ascii="Calibri" w:hAnsi="Calibri" w:eastAsia="宋体" w:cs="宋体"/>
                <w:kern w:val="0"/>
                <w:lang w:val="en-US" w:eastAsia="zh-CN"/>
              </w:rPr>
              <w:t>九三学社鄂州委员会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九三学社鄂州市委员会工作经费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鄂州市各民主党派机关机构改革方案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鄂州办发【2001】80号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4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607" w:type="dxa"/>
            <w:gridSpan w:val="1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4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607" w:type="dxa"/>
            <w:gridSpan w:val="14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在中共鄂州市委、市政府、市委统战部坚强领导下，始终高举中国特色社会主义伟大旗帜，深入学习贯彻落实中共二十大精神，深入践行“四新”“三好”要求，以建设政治坚定、组织坚实、履职有力、作风优良、制度健全的高素质中国特色社会主义参政党为目标，以组织建设为基础，全面加强自身建设，切实履行参政党职能，做好政党协商、参政议政、民主监督、社会服务、自身建设等工作，为加快推进“两区一枢纽”贡献智慧和力量。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4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607" w:type="dxa"/>
            <w:gridSpan w:val="1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中共</w:t>
            </w:r>
            <w:r>
              <w:rPr>
                <w:rFonts w:hint="eastAsia" w:ascii="宋体" w:hAnsi="宋体" w:cs="宋体"/>
                <w:kern w:val="0"/>
                <w:szCs w:val="21"/>
              </w:rPr>
              <w:t>市委、市政府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加强</w:t>
            </w:r>
            <w:r>
              <w:rPr>
                <w:rFonts w:hint="eastAsia" w:ascii="宋体" w:hAnsi="宋体" w:cs="宋体"/>
                <w:kern w:val="0"/>
                <w:szCs w:val="21"/>
              </w:rPr>
              <w:t>领导下，九三学社鄂州市委认真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学习</w:t>
            </w:r>
            <w:r>
              <w:rPr>
                <w:rFonts w:hint="eastAsia" w:ascii="宋体" w:hAnsi="宋体" w:cs="宋体"/>
                <w:kern w:val="0"/>
                <w:szCs w:val="21"/>
              </w:rPr>
              <w:t>贯彻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中共二十</w:t>
            </w:r>
            <w:r>
              <w:rPr>
                <w:rFonts w:hint="eastAsia" w:ascii="宋体" w:hAnsi="宋体" w:cs="宋体"/>
                <w:kern w:val="0"/>
                <w:szCs w:val="21"/>
              </w:rPr>
              <w:t>大精神和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习近平</w:t>
            </w:r>
            <w:r>
              <w:rPr>
                <w:rFonts w:hint="eastAsia" w:ascii="宋体" w:hAnsi="宋体" w:cs="宋体"/>
                <w:kern w:val="0"/>
                <w:szCs w:val="21"/>
              </w:rPr>
              <w:t>总书记系列重要讲话精神为主线，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围绕中心，服务大局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以“四新”“三好”为标准，着力提高“五种能力”，加强党派机关自身建设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圆满完成各项绩效目标。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51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51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参政议政调研　</w:t>
            </w:r>
          </w:p>
        </w:tc>
        <w:tc>
          <w:tcPr>
            <w:tcW w:w="117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≥</w:t>
            </w: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20篇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计划标准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提交社情民意信息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≥</w:t>
            </w: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20篇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计划标准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开展社员学习培训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≥</w:t>
            </w: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名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计划标准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优秀提案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3篇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计划标准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被市委、市政府、市政协主席会议成员督办提案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计划标准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市政协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提案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社员培训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社员培训11月底前完成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计划标准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仿宋_GB2312" w:hAnsi="宋体" w:eastAsia="仿宋_GB2312" w:cs="Times New Roman"/>
                <w:kern w:val="0"/>
              </w:rPr>
              <w:t>参政议政课题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参政议政课题12月底前完成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计划标准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控制成本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成本节约10%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51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向有关部门报送，解决社会民生相关问题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=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计划标准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向有关部门报送，解决社会民生相关问题　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=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计划标准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绿色、生态、农业等相关调研　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=</w:t>
            </w: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2篇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计划标准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51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883" w:type="dxa"/>
            <w:gridSpan w:val="5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default" w:ascii="仿宋_GB2312" w:hAnsi="Arial" w:eastAsia="仿宋_GB2312" w:cs="Times New Roman"/>
                <w:kern w:val="0"/>
              </w:rPr>
              <w:t>群众满意度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群众满意度不低于98%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计划标准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51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72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2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51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72" w:type="dxa"/>
            <w:gridSpan w:val="4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参政议政调研　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081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≥</w:t>
            </w: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20篇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提交社情民意信息　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≥</w:t>
            </w: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20篇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87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开展社员学习培训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≥</w:t>
            </w:r>
            <w:r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  <w:t>50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名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87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优秀提案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3篇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7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被市委、市政府、市政协主席会议成员督办提案　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872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市政协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提案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72" w:type="dxa"/>
            <w:gridSpan w:val="4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社员培训　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kern w:val="0"/>
              </w:rPr>
              <w:t>社员培训11月底前完成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72" w:type="dxa"/>
            <w:gridSpan w:val="4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kern w:val="0"/>
              </w:rPr>
              <w:t>参政议政课题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参政议政课题12月底前完成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计划标准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72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控制成本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成本节约10%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计划标准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51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7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向有关部门报送，解决社会民生相关问题　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=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7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向有关部门报送，解决社会民生相关问题　　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=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7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绿色、生态、农业等相关调研　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宋体"/>
                <w:kern w:val="0"/>
              </w:rPr>
              <w:t>=</w:t>
            </w:r>
            <w:r>
              <w:rPr>
                <w:rFonts w:hint="default" w:ascii="Calibri" w:hAnsi="Calibri" w:eastAsia="宋体" w:cs="宋体"/>
                <w:kern w:val="0"/>
                <w:lang w:val="en-US" w:eastAsia="zh-CN"/>
              </w:rPr>
              <w:t>2篇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计划标准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51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72" w:type="dxa"/>
            <w:gridSpan w:val="4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Arial" w:eastAsia="仿宋_GB2312" w:cs="Times New Roman"/>
                <w:kern w:val="0"/>
              </w:rPr>
              <w:t>群众满意度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群众满意度不低于98%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732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32" w:type="dxa"/>
            <w:gridSpan w:val="1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32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ODkzNTAxMjM4N2JjZmIzYjYwZWVlZGE0MzU3ODYifQ=="/>
  </w:docVars>
  <w:rsids>
    <w:rsidRoot w:val="62E502C3"/>
    <w:rsid w:val="11FF1C4E"/>
    <w:rsid w:val="1AB03212"/>
    <w:rsid w:val="59D87C0E"/>
    <w:rsid w:val="62E502C3"/>
    <w:rsid w:val="652E1B04"/>
    <w:rsid w:val="666F1150"/>
    <w:rsid w:val="EBE3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2023-11-06T18:12:00Z</dcterms:created>
  <dc:creator>叶贝</dc:creator>
  <cp:lastModifiedBy>Joe</cp:lastModifiedBy>
  <dcterms:modified xsi:type="dcterms:W3CDTF">2023-11-14T02:54:04Z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EFDE2529B1E640BFAE26DD811E259D63_13</vt:lpwstr>
  </property>
</Properties>
</file>