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600" w:lineRule="exact"/>
        <w:jc w:val="center"/>
        <w:rPr>
          <w:rFonts w:hint="eastAsia" w:ascii="方正小标宋简体" w:hAnsi="方正小标宋简体" w:eastAsia="方正小标宋简体" w:cs="方正小标宋简体"/>
          <w:sz w:val="40"/>
          <w:szCs w:val="40"/>
          <w:u w:val="none"/>
        </w:rPr>
      </w:pPr>
      <w:r>
        <w:rPr>
          <w:rFonts w:hint="eastAsia" w:ascii="方正小标宋简体" w:hAnsi="方正小标宋简体" w:eastAsia="方正小标宋简体" w:cs="方正小标宋简体"/>
          <w:sz w:val="40"/>
          <w:szCs w:val="40"/>
          <w:u w:val="none"/>
        </w:rPr>
        <w:t xml:space="preserve"> </w:t>
      </w:r>
    </w:p>
    <w:p>
      <w:pPr>
        <w:spacing w:afterLines="100" w:line="600" w:lineRule="exact"/>
        <w:jc w:val="center"/>
        <w:rPr>
          <w:rFonts w:hint="eastAsia" w:ascii="黑体" w:hAnsi="黑体" w:eastAsia="黑体" w:cs="黑体"/>
          <w:sz w:val="32"/>
          <w:szCs w:val="32"/>
        </w:rPr>
      </w:pPr>
      <w:r>
        <w:rPr>
          <w:rFonts w:hint="eastAsia" w:ascii="方正小标宋简体" w:hAnsi="方正小标宋简体" w:eastAsia="方正小标宋简体" w:cs="方正小标宋简体"/>
          <w:sz w:val="40"/>
          <w:szCs w:val="40"/>
          <w:u w:val="none"/>
        </w:rPr>
        <w:t xml:space="preserve">鄂州市农业农村局 </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年部门预算公开说明</w:t>
      </w:r>
    </w:p>
    <w:p>
      <w:pPr>
        <w:spacing w:after="312" w:afterLines="100" w:line="600" w:lineRule="exact"/>
        <w:ind w:firstLine="3600" w:firstLineChars="900"/>
        <w:jc w:val="both"/>
        <w:rPr>
          <w:rFonts w:hint="eastAsia" w:ascii="黑体" w:hAnsi="黑体" w:eastAsia="黑体" w:cs="黑体"/>
          <w:color w:val="auto"/>
          <w:sz w:val="40"/>
          <w:szCs w:val="40"/>
          <w:lang w:val="en-US" w:eastAsia="zh-CN"/>
        </w:rPr>
      </w:pPr>
      <w:r>
        <w:rPr>
          <w:rFonts w:hint="eastAsia" w:ascii="黑体" w:hAnsi="黑体" w:eastAsia="黑体" w:cs="黑体"/>
          <w:color w:val="auto"/>
          <w:sz w:val="40"/>
          <w:szCs w:val="40"/>
          <w:lang w:val="en-US" w:eastAsia="zh-CN"/>
        </w:rPr>
        <w:t>目  录</w:t>
      </w:r>
    </w:p>
    <w:p>
      <w:pPr>
        <w:numPr>
          <w:ilvl w:val="0"/>
          <w:numId w:val="1"/>
        </w:numPr>
        <w:spacing w:line="620" w:lineRule="exact"/>
        <w:ind w:left="630"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部门主要职责</w:t>
      </w:r>
    </w:p>
    <w:p>
      <w:pPr>
        <w:numPr>
          <w:ilvl w:val="0"/>
          <w:numId w:val="1"/>
        </w:numPr>
        <w:spacing w:line="620" w:lineRule="exact"/>
        <w:ind w:left="630"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机构设置情况</w:t>
      </w:r>
    </w:p>
    <w:p>
      <w:pPr>
        <w:numPr>
          <w:ilvl w:val="0"/>
          <w:numId w:val="1"/>
        </w:numPr>
        <w:spacing w:line="620" w:lineRule="exact"/>
        <w:ind w:left="630"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预算收支及增减变化情况</w:t>
      </w:r>
    </w:p>
    <w:p>
      <w:pPr>
        <w:numPr>
          <w:ilvl w:val="0"/>
          <w:numId w:val="1"/>
        </w:numPr>
        <w:spacing w:line="620" w:lineRule="exact"/>
        <w:ind w:left="630" w:left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部门运行经费安排情况</w:t>
      </w:r>
    </w:p>
    <w:p>
      <w:pPr>
        <w:numPr>
          <w:ilvl w:val="0"/>
          <w:numId w:val="1"/>
        </w:numPr>
        <w:spacing w:line="620" w:lineRule="exact"/>
        <w:ind w:left="630" w:left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一般公共预算“三公”经费及增减变化情况</w:t>
      </w:r>
    </w:p>
    <w:p>
      <w:pPr>
        <w:numPr>
          <w:ilvl w:val="0"/>
          <w:numId w:val="1"/>
        </w:numPr>
        <w:spacing w:line="620" w:lineRule="exact"/>
        <w:ind w:left="630" w:left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政府采购预算安排情况</w:t>
      </w:r>
    </w:p>
    <w:p>
      <w:pPr>
        <w:numPr>
          <w:ilvl w:val="0"/>
          <w:numId w:val="1"/>
        </w:numPr>
        <w:spacing w:line="620" w:lineRule="exact"/>
        <w:ind w:left="630"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国有资产占用情况</w:t>
      </w:r>
    </w:p>
    <w:p>
      <w:pPr>
        <w:numPr>
          <w:ilvl w:val="0"/>
          <w:numId w:val="1"/>
        </w:numPr>
        <w:spacing w:line="620" w:lineRule="exact"/>
        <w:ind w:left="630"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重点项目预算绩效情况</w:t>
      </w:r>
    </w:p>
    <w:p>
      <w:pPr>
        <w:numPr>
          <w:ilvl w:val="0"/>
          <w:numId w:val="1"/>
        </w:numPr>
        <w:spacing w:line="620" w:lineRule="exact"/>
        <w:ind w:left="630"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其他需要说明的情况</w:t>
      </w:r>
    </w:p>
    <w:p>
      <w:pPr>
        <w:numPr>
          <w:ilvl w:val="0"/>
          <w:numId w:val="1"/>
        </w:numPr>
        <w:spacing w:line="620" w:lineRule="exact"/>
        <w:ind w:left="630"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专业名词解释</w:t>
      </w:r>
    </w:p>
    <w:p>
      <w:pPr>
        <w:spacing w:line="62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textWrapping"/>
      </w:r>
    </w:p>
    <w:p>
      <w:pPr>
        <w:pStyle w:val="7"/>
        <w:rPr>
          <w:rFonts w:hint="eastAsia" w:ascii="黑体" w:hAnsi="黑体" w:eastAsia="黑体" w:cs="黑体"/>
          <w:sz w:val="32"/>
          <w:szCs w:val="32"/>
        </w:rPr>
      </w:pPr>
    </w:p>
    <w:p>
      <w:pPr>
        <w:pStyle w:val="7"/>
        <w:rPr>
          <w:rFonts w:hint="eastAsia" w:ascii="黑体" w:hAnsi="黑体" w:eastAsia="黑体" w:cs="黑体"/>
          <w:sz w:val="32"/>
          <w:szCs w:val="32"/>
        </w:rPr>
      </w:pPr>
    </w:p>
    <w:p>
      <w:pPr>
        <w:pStyle w:val="7"/>
        <w:rPr>
          <w:rFonts w:hint="eastAsia" w:ascii="黑体" w:hAnsi="黑体" w:eastAsia="黑体" w:cs="黑体"/>
          <w:sz w:val="32"/>
          <w:szCs w:val="32"/>
        </w:rPr>
      </w:pPr>
    </w:p>
    <w:p>
      <w:pPr>
        <w:pStyle w:val="7"/>
        <w:rPr>
          <w:rFonts w:hint="eastAsia" w:ascii="黑体" w:hAnsi="黑体" w:eastAsia="黑体" w:cs="黑体"/>
          <w:sz w:val="32"/>
          <w:szCs w:val="32"/>
        </w:rPr>
      </w:pPr>
    </w:p>
    <w:p>
      <w:pPr>
        <w:spacing w:line="6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一、部门</w:t>
      </w:r>
      <w:r>
        <w:rPr>
          <w:rFonts w:hint="eastAsia" w:ascii="黑体" w:hAnsi="黑体" w:eastAsia="黑体" w:cs="黑体"/>
          <w:sz w:val="32"/>
          <w:szCs w:val="32"/>
          <w:lang w:eastAsia="zh-CN"/>
        </w:rPr>
        <w:t>主要职能</w:t>
      </w:r>
    </w:p>
    <w:p>
      <w:pPr>
        <w:spacing w:line="620" w:lineRule="exact"/>
        <w:ind w:firstLine="640" w:firstLineChars="200"/>
        <w:rPr>
          <w:rFonts w:ascii="仿宋_GB2312" w:hAnsi="仿宋_GB2312" w:eastAsia="仿宋_GB2312" w:cs="仿宋_GB2312"/>
          <w:sz w:val="32"/>
          <w:szCs w:val="32"/>
        </w:rPr>
      </w:pPr>
      <w:r>
        <w:rPr>
          <w:rFonts w:ascii="仿宋_GB2312" w:hAnsi="宋体" w:eastAsia="仿宋_GB2312" w:cs="仿宋_GB2312"/>
          <w:i w:val="0"/>
          <w:iCs w:val="0"/>
          <w:caps w:val="0"/>
          <w:color w:val="auto"/>
          <w:spacing w:val="0"/>
          <w:kern w:val="0"/>
          <w:sz w:val="32"/>
          <w:szCs w:val="32"/>
          <w:shd w:val="clear" w:color="auto" w:fill="FFFFFF"/>
          <w:lang w:val="en-US" w:eastAsia="zh-CN" w:bidi="ar"/>
        </w:rPr>
        <w:t>（一）</w:t>
      </w:r>
      <w:r>
        <w:rPr>
          <w:rFonts w:hint="eastAsia" w:ascii="仿宋_GB2312" w:hAnsi="仿宋_GB2312" w:eastAsia="仿宋_GB2312" w:cs="仿宋_GB2312"/>
          <w:sz w:val="32"/>
          <w:szCs w:val="32"/>
        </w:rPr>
        <w:t>统筹研究和组织实施“三农”工作的发展战略、中长期规划、重大政策。指导农业综合执法。参与涉农财税、价格、收储、金融保险等政策措施制定。</w:t>
      </w:r>
    </w:p>
    <w:p>
      <w:pPr>
        <w:spacing w:line="62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i w:val="0"/>
          <w:iCs w:val="0"/>
          <w:caps w:val="0"/>
          <w:color w:val="auto"/>
          <w:spacing w:val="0"/>
          <w:kern w:val="0"/>
          <w:sz w:val="32"/>
          <w:szCs w:val="32"/>
          <w:shd w:val="clear" w:color="auto" w:fill="FFFFFF"/>
          <w:lang w:val="en-US" w:eastAsia="zh-CN" w:bidi="ar"/>
        </w:rPr>
        <w:t>（二）</w:t>
      </w:r>
      <w:r>
        <w:rPr>
          <w:rFonts w:hint="eastAsia" w:ascii="仿宋_GB2312" w:hAnsi="仿宋_GB2312" w:eastAsia="仿宋_GB2312" w:cs="仿宋_GB2312"/>
          <w:sz w:val="32"/>
          <w:szCs w:val="32"/>
        </w:rPr>
        <w:t>统筹推动发展农村社会事业、农村公共服务、农村文化、农村基础设施和乡村治理。牵头组织改善农村人居环境。指导农村精神文明和优秀农耕文化建设。指导农业行业安全生产工作。</w:t>
      </w:r>
    </w:p>
    <w:p>
      <w:pPr>
        <w:spacing w:line="62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i w:val="0"/>
          <w:iCs w:val="0"/>
          <w:caps w:val="0"/>
          <w:color w:val="auto"/>
          <w:spacing w:val="0"/>
          <w:kern w:val="0"/>
          <w:sz w:val="32"/>
          <w:szCs w:val="32"/>
          <w:shd w:val="clear" w:color="auto" w:fill="FFFFFF"/>
          <w:lang w:val="en-US" w:eastAsia="zh-CN" w:bidi="ar"/>
        </w:rPr>
        <w:t>（三）</w:t>
      </w:r>
      <w:r>
        <w:rPr>
          <w:rFonts w:hint="eastAsia" w:ascii="仿宋_GB2312" w:hAnsi="仿宋_GB2312" w:eastAsia="仿宋_GB2312" w:cs="仿宋_GB2312"/>
          <w:sz w:val="32"/>
          <w:szCs w:val="32"/>
        </w:rPr>
        <w:t>组织落实深化农村经济体制改革和巩固完善农村基本经营制度的政策。承担农民承包地、农村宅基地改革和管理有关工作。承担农村集体产权制度改革，指导农村集体经济组织发展和集体资产管理工作。指导农民合作经济组织、农业社会化服务体系、新型农业经营主体建设与发展。</w:t>
      </w:r>
    </w:p>
    <w:p>
      <w:pPr>
        <w:spacing w:line="62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i w:val="0"/>
          <w:iCs w:val="0"/>
          <w:caps w:val="0"/>
          <w:color w:val="auto"/>
          <w:spacing w:val="0"/>
          <w:kern w:val="0"/>
          <w:sz w:val="32"/>
          <w:szCs w:val="32"/>
          <w:shd w:val="clear" w:color="auto" w:fill="FFFFFF"/>
          <w:lang w:val="en-US" w:eastAsia="zh-CN" w:bidi="ar"/>
        </w:rPr>
        <w:t>（四）</w:t>
      </w:r>
      <w:r>
        <w:rPr>
          <w:rFonts w:hint="eastAsia" w:ascii="仿宋_GB2312" w:hAnsi="仿宋_GB2312" w:eastAsia="仿宋_GB2312" w:cs="仿宋_GB2312"/>
          <w:sz w:val="32"/>
          <w:szCs w:val="32"/>
        </w:rPr>
        <w:t>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spacing w:line="62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i w:val="0"/>
          <w:iCs w:val="0"/>
          <w:caps w:val="0"/>
          <w:color w:val="auto"/>
          <w:spacing w:val="0"/>
          <w:kern w:val="0"/>
          <w:sz w:val="32"/>
          <w:szCs w:val="32"/>
          <w:shd w:val="clear" w:color="auto" w:fill="FFFFFF"/>
          <w:lang w:val="en-US" w:eastAsia="zh-CN" w:bidi="ar"/>
        </w:rPr>
        <w:t>（五）</w:t>
      </w:r>
      <w:r>
        <w:rPr>
          <w:rFonts w:hint="eastAsia" w:ascii="仿宋_GB2312" w:hAnsi="仿宋_GB2312" w:eastAsia="仿宋_GB2312" w:cs="仿宋_GB2312"/>
          <w:sz w:val="32"/>
          <w:szCs w:val="32"/>
        </w:rPr>
        <w:t>负责种植业、畜牧业、渔业、农垦、农业机械化等农业各产业的监督管理。指导粮食、油料、畜禽、水产等农产品生产。指导蔬菜、水果、茶叶、蚕桑、中药材、烟叶等经济作物生产可持续发展。组织构建现代农业产业体系、生产体系、经营体系，指导农业标准化生产。负责渔政渔港监督管理。</w:t>
      </w:r>
    </w:p>
    <w:p>
      <w:pPr>
        <w:spacing w:line="620" w:lineRule="exact"/>
        <w:ind w:firstLine="640" w:firstLineChars="200"/>
        <w:rPr>
          <w:rFonts w:hint="eastAsia" w:ascii="仿宋_GB2312" w:hAnsi="仿宋_GB2312" w:eastAsia="仿宋_GB2312" w:cs="仿宋_GB2312"/>
          <w:sz w:val="32"/>
          <w:szCs w:val="32"/>
          <w:lang w:eastAsia="zh-CN"/>
        </w:rPr>
      </w:pPr>
      <w:r>
        <w:rPr>
          <w:rFonts w:hint="eastAsia" w:ascii="仿宋_GB2312" w:hAnsi="宋体" w:eastAsia="仿宋_GB2312" w:cs="仿宋_GB2312"/>
          <w:i w:val="0"/>
          <w:iCs w:val="0"/>
          <w:caps w:val="0"/>
          <w:color w:val="auto"/>
          <w:spacing w:val="0"/>
          <w:kern w:val="0"/>
          <w:sz w:val="32"/>
          <w:szCs w:val="32"/>
          <w:shd w:val="clear" w:color="auto" w:fill="FFFFFF"/>
          <w:lang w:val="en-US" w:eastAsia="zh-CN" w:bidi="ar"/>
        </w:rPr>
        <w:t>（六）</w:t>
      </w:r>
      <w:r>
        <w:rPr>
          <w:rFonts w:ascii="仿宋_GB2312" w:hAnsi="仿宋_GB2312" w:eastAsia="仿宋_GB2312" w:cs="仿宋_GB2312"/>
          <w:sz w:val="32"/>
          <w:szCs w:val="32"/>
        </w:rPr>
        <w:t>负责农产品质量安全监督管理。组织开展农产品质量安全监</w:t>
      </w:r>
      <w:r>
        <w:rPr>
          <w:rFonts w:hint="eastAsia" w:ascii="仿宋_GB2312" w:hAnsi="仿宋_GB2312" w:eastAsia="仿宋_GB2312" w:cs="仿宋_GB2312"/>
          <w:sz w:val="32"/>
          <w:szCs w:val="32"/>
        </w:rPr>
        <w:t>测</w:t>
      </w:r>
      <w:r>
        <w:rPr>
          <w:rFonts w:ascii="仿宋_GB2312" w:hAnsi="仿宋_GB2312" w:eastAsia="仿宋_GB2312" w:cs="仿宋_GB2312"/>
          <w:sz w:val="32"/>
          <w:szCs w:val="32"/>
        </w:rPr>
        <w:t>、追</w:t>
      </w:r>
      <w:r>
        <w:rPr>
          <w:rFonts w:hint="eastAsia" w:ascii="仿宋_GB2312" w:hAnsi="仿宋_GB2312" w:eastAsia="仿宋_GB2312" w:cs="仿宋_GB2312"/>
          <w:sz w:val="32"/>
          <w:szCs w:val="32"/>
        </w:rPr>
        <w:t>溯</w:t>
      </w:r>
      <w:r>
        <w:rPr>
          <w:rFonts w:ascii="仿宋_GB2312" w:hAnsi="仿宋_GB2312" w:eastAsia="仿宋_GB2312" w:cs="仿宋_GB2312"/>
          <w:sz w:val="32"/>
          <w:szCs w:val="32"/>
        </w:rPr>
        <w:t>、风险评估。参与制定农产品质量安全地方标准并会同有关部门组织实施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指导农业检验检测体系建设。</w:t>
      </w:r>
    </w:p>
    <w:p>
      <w:pPr>
        <w:spacing w:line="620" w:lineRule="exact"/>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cs="仿宋_GB2312"/>
          <w:i w:val="0"/>
          <w:iCs w:val="0"/>
          <w:caps w:val="0"/>
          <w:color w:val="auto"/>
          <w:spacing w:val="0"/>
          <w:kern w:val="0"/>
          <w:sz w:val="32"/>
          <w:szCs w:val="32"/>
          <w:shd w:val="clear" w:color="auto" w:fill="FFFFFF"/>
          <w:lang w:val="en-US" w:eastAsia="zh-CN" w:bidi="ar"/>
        </w:rPr>
        <w:t>（七）</w:t>
      </w:r>
      <w:r>
        <w:rPr>
          <w:rFonts w:ascii="仿宋_GB2312" w:hAnsi="仿宋_GB2312" w:eastAsia="仿宋_GB2312" w:cs="仿宋_GB2312"/>
          <w:sz w:val="32"/>
          <w:szCs w:val="32"/>
        </w:rPr>
        <w:t>指导农用地、渔业水</w:t>
      </w:r>
      <w:r>
        <w:rPr>
          <w:rFonts w:hint="eastAsia" w:ascii="仿宋_GB2312" w:hAnsi="仿宋_GB2312" w:eastAsia="仿宋_GB2312" w:cs="仿宋_GB2312"/>
          <w:sz w:val="32"/>
          <w:szCs w:val="32"/>
        </w:rPr>
        <w:t>域</w:t>
      </w:r>
      <w:r>
        <w:rPr>
          <w:rFonts w:ascii="仿宋_GB2312" w:hAnsi="仿宋_GB2312" w:eastAsia="仿宋_GB2312" w:cs="仿宋_GB2312"/>
          <w:sz w:val="32"/>
          <w:szCs w:val="32"/>
        </w:rPr>
        <w:t>以及农业生物物种资源的保护与管理，负责水生野生动植物保护、耕地及永久基本农田质量保护工作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指导农产品产地环境管理和农业清洁生产。指导设施农业、生态循环农业、节水农业发展以及农村可再生能源综合开发</w:t>
      </w:r>
      <w:r>
        <w:rPr>
          <w:rFonts w:hint="eastAsia" w:ascii="仿宋_GB2312" w:hAnsi="仿宋_GB2312" w:eastAsia="仿宋_GB2312" w:cs="仿宋_GB2312"/>
          <w:sz w:val="32"/>
          <w:szCs w:val="32"/>
        </w:rPr>
        <w:t>利</w:t>
      </w:r>
      <w:r>
        <w:rPr>
          <w:rFonts w:ascii="仿宋_GB2312" w:hAnsi="仿宋_GB2312" w:eastAsia="仿宋_GB2312" w:cs="仿宋_GB2312"/>
          <w:sz w:val="32"/>
          <w:szCs w:val="32"/>
        </w:rPr>
        <w:t>用、农业生物质产业发展。牵头管理外来物种。配合做好农业</w:t>
      </w:r>
      <w:r>
        <w:rPr>
          <w:rFonts w:hint="eastAsia" w:ascii="仿宋_GB2312" w:hAnsi="仿宋_GB2312" w:eastAsia="仿宋_GB2312" w:cs="仿宋_GB2312"/>
          <w:sz w:val="32"/>
          <w:szCs w:val="32"/>
        </w:rPr>
        <w:t>资源区划相关工作。</w:t>
      </w:r>
    </w:p>
    <w:p>
      <w:pPr>
        <w:spacing w:line="620" w:lineRule="exact"/>
        <w:ind w:firstLine="640" w:firstLineChars="200"/>
        <w:rPr>
          <w:rFonts w:hint="eastAsia" w:ascii="仿宋_GB2312" w:hAnsi="仿宋_GB2312" w:eastAsia="仿宋_GB2312" w:cs="仿宋_GB2312"/>
          <w:sz w:val="32"/>
          <w:szCs w:val="32"/>
          <w:lang w:eastAsia="zh-CN"/>
        </w:rPr>
      </w:pPr>
      <w:r>
        <w:rPr>
          <w:rFonts w:hint="eastAsia" w:ascii="仿宋_GB2312" w:hAnsi="宋体" w:eastAsia="仿宋_GB2312" w:cs="仿宋_GB2312"/>
          <w:i w:val="0"/>
          <w:iCs w:val="0"/>
          <w:caps w:val="0"/>
          <w:color w:val="auto"/>
          <w:spacing w:val="0"/>
          <w:kern w:val="0"/>
          <w:sz w:val="32"/>
          <w:szCs w:val="32"/>
          <w:shd w:val="clear" w:color="auto" w:fill="FFFFFF"/>
          <w:lang w:val="en-US" w:eastAsia="zh-CN" w:bidi="ar"/>
        </w:rPr>
        <w:t>（八）</w:t>
      </w:r>
      <w:r>
        <w:rPr>
          <w:rFonts w:ascii="仿宋_GB2312" w:hAnsi="仿宋_GB2312" w:eastAsia="仿宋_GB2312" w:cs="仿宋_GB2312"/>
          <w:sz w:val="32"/>
          <w:szCs w:val="32"/>
        </w:rPr>
        <w:t>负责有关农业生产资料和农业投入品的监督管理。配合做好农业生产资料市场体系建设。组织实施</w:t>
      </w:r>
      <w:r>
        <w:rPr>
          <w:rFonts w:hint="eastAsia" w:ascii="仿宋_GB2312" w:hAnsi="仿宋_GB2312" w:eastAsia="仿宋_GB2312" w:cs="仿宋_GB2312"/>
          <w:sz w:val="32"/>
          <w:szCs w:val="32"/>
        </w:rPr>
        <w:t>兽</w:t>
      </w:r>
      <w:r>
        <w:rPr>
          <w:rFonts w:ascii="仿宋_GB2312" w:hAnsi="仿宋_GB2312" w:eastAsia="仿宋_GB2312" w:cs="仿宋_GB2312"/>
          <w:sz w:val="32"/>
          <w:szCs w:val="32"/>
        </w:rPr>
        <w:t>药质量、</w:t>
      </w:r>
      <w:r>
        <w:rPr>
          <w:rFonts w:hint="eastAsia" w:ascii="仿宋_GB2312" w:hAnsi="仿宋_GB2312" w:eastAsia="仿宋_GB2312" w:cs="仿宋_GB2312"/>
          <w:sz w:val="32"/>
          <w:szCs w:val="32"/>
        </w:rPr>
        <w:t>兽</w:t>
      </w:r>
      <w:r>
        <w:rPr>
          <w:rFonts w:ascii="仿宋_GB2312" w:hAnsi="仿宋_GB2312" w:eastAsia="仿宋_GB2312" w:cs="仿宋_GB2312"/>
          <w:sz w:val="32"/>
          <w:szCs w:val="32"/>
        </w:rPr>
        <w:t>药残</w:t>
      </w:r>
      <w:r>
        <w:rPr>
          <w:rFonts w:hint="eastAsia" w:ascii="仿宋_GB2312" w:hAnsi="仿宋_GB2312" w:eastAsia="仿宋_GB2312" w:cs="仿宋_GB2312"/>
          <w:sz w:val="32"/>
          <w:szCs w:val="32"/>
        </w:rPr>
        <w:t>留</w:t>
      </w:r>
      <w:r>
        <w:rPr>
          <w:rFonts w:ascii="仿宋_GB2312" w:hAnsi="仿宋_GB2312" w:eastAsia="仿宋_GB2312" w:cs="仿宋_GB2312"/>
          <w:sz w:val="32"/>
          <w:szCs w:val="32"/>
        </w:rPr>
        <w:t>限量和残留检测方法国家标准。组织</w:t>
      </w:r>
      <w:r>
        <w:rPr>
          <w:rFonts w:hint="eastAsia" w:ascii="仿宋_GB2312" w:hAnsi="仿宋_GB2312" w:eastAsia="仿宋_GB2312" w:cs="仿宋_GB2312"/>
          <w:sz w:val="32"/>
          <w:szCs w:val="32"/>
        </w:rPr>
        <w:t>兽</w:t>
      </w:r>
      <w:r>
        <w:rPr>
          <w:rFonts w:ascii="仿宋_GB2312" w:hAnsi="仿宋_GB2312" w:eastAsia="仿宋_GB2312" w:cs="仿宋_GB2312"/>
          <w:sz w:val="32"/>
          <w:szCs w:val="32"/>
        </w:rPr>
        <w:t>医医政、</w:t>
      </w:r>
      <w:r>
        <w:rPr>
          <w:rFonts w:hint="eastAsia" w:ascii="仿宋_GB2312" w:hAnsi="仿宋_GB2312" w:eastAsia="仿宋_GB2312" w:cs="仿宋_GB2312"/>
          <w:sz w:val="32"/>
          <w:szCs w:val="32"/>
        </w:rPr>
        <w:t>兽</w:t>
      </w:r>
      <w:r>
        <w:rPr>
          <w:rFonts w:ascii="仿宋_GB2312" w:hAnsi="仿宋_GB2312" w:eastAsia="仿宋_GB2312" w:cs="仿宋_GB2312"/>
          <w:sz w:val="32"/>
          <w:szCs w:val="32"/>
        </w:rPr>
        <w:t>药药政药检工作，负责执业</w:t>
      </w:r>
      <w:r>
        <w:rPr>
          <w:rFonts w:hint="eastAsia" w:ascii="仿宋_GB2312" w:hAnsi="仿宋_GB2312" w:eastAsia="仿宋_GB2312" w:cs="仿宋_GB2312"/>
          <w:sz w:val="32"/>
          <w:szCs w:val="32"/>
        </w:rPr>
        <w:t>兽</w:t>
      </w:r>
      <w:r>
        <w:rPr>
          <w:rFonts w:ascii="仿宋_GB2312" w:hAnsi="仿宋_GB2312" w:eastAsia="仿宋_GB2312" w:cs="仿宋_GB2312"/>
          <w:sz w:val="32"/>
          <w:szCs w:val="32"/>
        </w:rPr>
        <w:t>医和</w:t>
      </w:r>
      <w:r>
        <w:rPr>
          <w:rFonts w:hint="eastAsia" w:ascii="仿宋_GB2312" w:hAnsi="仿宋_GB2312" w:eastAsia="仿宋_GB2312" w:cs="仿宋_GB2312"/>
          <w:sz w:val="32"/>
          <w:szCs w:val="32"/>
        </w:rPr>
        <w:t>畜禽屠宰</w:t>
      </w:r>
      <w:r>
        <w:rPr>
          <w:rFonts w:ascii="仿宋_GB2312" w:hAnsi="仿宋_GB2312" w:eastAsia="仿宋_GB2312" w:cs="仿宋_GB2312"/>
          <w:sz w:val="32"/>
          <w:szCs w:val="32"/>
        </w:rPr>
        <w:t>行业管理。</w:t>
      </w:r>
    </w:p>
    <w:p>
      <w:pPr>
        <w:spacing w:line="620" w:lineRule="exact"/>
        <w:ind w:firstLine="640" w:firstLineChars="200"/>
        <w:rPr>
          <w:rFonts w:hint="eastAsia" w:ascii="仿宋_GB2312" w:hAnsi="仿宋_GB2312" w:eastAsia="仿宋_GB2312" w:cs="仿宋_GB2312"/>
          <w:sz w:val="32"/>
          <w:szCs w:val="32"/>
          <w:lang w:eastAsia="zh-CN"/>
        </w:rPr>
      </w:pPr>
      <w:r>
        <w:rPr>
          <w:rFonts w:hint="eastAsia" w:ascii="仿宋_GB2312" w:hAnsi="宋体" w:eastAsia="仿宋_GB2312" w:cs="仿宋_GB2312"/>
          <w:i w:val="0"/>
          <w:iCs w:val="0"/>
          <w:caps w:val="0"/>
          <w:color w:val="auto"/>
          <w:spacing w:val="0"/>
          <w:kern w:val="0"/>
          <w:sz w:val="32"/>
          <w:szCs w:val="32"/>
          <w:shd w:val="clear" w:color="auto" w:fill="FFFFFF"/>
          <w:lang w:val="en-US" w:eastAsia="zh-CN" w:bidi="ar"/>
        </w:rPr>
        <w:t>（九）</w:t>
      </w:r>
      <w:r>
        <w:rPr>
          <w:rFonts w:ascii="仿宋_GB2312" w:hAnsi="仿宋_GB2312" w:eastAsia="仿宋_GB2312" w:cs="仿宋_GB2312"/>
          <w:sz w:val="32"/>
          <w:szCs w:val="32"/>
        </w:rPr>
        <w:t>负责农业防灾减灾、农作物重大病虫</w:t>
      </w:r>
      <w:r>
        <w:rPr>
          <w:rFonts w:hint="eastAsia" w:ascii="仿宋_GB2312" w:hAnsi="仿宋_GB2312" w:eastAsia="仿宋_GB2312" w:cs="仿宋_GB2312"/>
          <w:sz w:val="32"/>
          <w:szCs w:val="32"/>
        </w:rPr>
        <w:t>害</w:t>
      </w:r>
      <w:r>
        <w:rPr>
          <w:rFonts w:ascii="仿宋_GB2312" w:hAnsi="仿宋_GB2312" w:eastAsia="仿宋_GB2312" w:cs="仿宋_GB2312"/>
          <w:sz w:val="32"/>
          <w:szCs w:val="32"/>
        </w:rPr>
        <w:t>防治工作。指导动植物防疫检疫体系建设，组织、监督全市动植物防疫检疫工</w:t>
      </w:r>
      <w:r>
        <w:rPr>
          <w:rFonts w:hint="eastAsia" w:ascii="仿宋_GB2312" w:hAnsi="仿宋_GB2312" w:eastAsia="仿宋_GB2312" w:cs="仿宋_GB2312"/>
          <w:sz w:val="32"/>
          <w:szCs w:val="32"/>
        </w:rPr>
        <w:t>作，发布疫情并组织扑灭。</w:t>
      </w:r>
    </w:p>
    <w:p>
      <w:pPr>
        <w:spacing w:line="620" w:lineRule="exact"/>
        <w:ind w:firstLine="640" w:firstLineChars="200"/>
        <w:rPr>
          <w:rFonts w:hint="eastAsia" w:ascii="仿宋_GB2312" w:hAnsi="仿宋_GB2312" w:eastAsia="仿宋_GB2312" w:cs="仿宋_GB2312"/>
          <w:sz w:val="32"/>
          <w:szCs w:val="32"/>
          <w:lang w:eastAsia="zh-CN"/>
        </w:rPr>
      </w:pPr>
      <w:r>
        <w:rPr>
          <w:rFonts w:hint="eastAsia" w:ascii="仿宋_GB2312" w:hAnsi="宋体" w:eastAsia="仿宋_GB2312" w:cs="仿宋_GB2312"/>
          <w:i w:val="0"/>
          <w:iCs w:val="0"/>
          <w:caps w:val="0"/>
          <w:color w:val="auto"/>
          <w:spacing w:val="0"/>
          <w:kern w:val="0"/>
          <w:sz w:val="32"/>
          <w:szCs w:val="32"/>
          <w:shd w:val="clear" w:color="auto" w:fill="FFFFFF"/>
          <w:lang w:val="en-US" w:eastAsia="zh-CN" w:bidi="ar"/>
        </w:rPr>
        <w:t>（十）</w:t>
      </w:r>
      <w:r>
        <w:rPr>
          <w:rFonts w:ascii="仿宋_GB2312" w:hAnsi="仿宋_GB2312" w:eastAsia="仿宋_GB2312" w:cs="仿宋_GB2312"/>
          <w:sz w:val="32"/>
          <w:szCs w:val="32"/>
        </w:rPr>
        <w:t>负责农业投资管理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提出农业投融资体制机制改革建议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编制市级投资安排的农业投资项目建设规划，提出农业投资规模和方向、扶持农业农村发展财政项目的建议，按市政府规定权限，审</w:t>
      </w:r>
      <w:r>
        <w:rPr>
          <w:rFonts w:hint="eastAsia" w:ascii="仿宋_GB2312" w:hAnsi="仿宋_GB2312" w:eastAsia="仿宋_GB2312" w:cs="仿宋_GB2312"/>
          <w:sz w:val="32"/>
          <w:szCs w:val="32"/>
        </w:rPr>
        <w:t>批</w:t>
      </w:r>
      <w:r>
        <w:rPr>
          <w:rFonts w:ascii="仿宋_GB2312" w:hAnsi="仿宋_GB2312" w:eastAsia="仿宋_GB2312" w:cs="仿宋_GB2312"/>
          <w:sz w:val="32"/>
          <w:szCs w:val="32"/>
        </w:rPr>
        <w:t>市级</w:t>
      </w:r>
      <w:r>
        <w:rPr>
          <w:rFonts w:hint="eastAsia" w:ascii="仿宋_GB2312" w:hAnsi="仿宋_GB2312" w:eastAsia="仿宋_GB2312" w:cs="仿宋_GB2312"/>
          <w:sz w:val="32"/>
          <w:szCs w:val="32"/>
        </w:rPr>
        <w:t>财</w:t>
      </w:r>
      <w:r>
        <w:rPr>
          <w:rFonts w:ascii="仿宋_GB2312" w:hAnsi="仿宋_GB2312" w:eastAsia="仿宋_GB2312" w:cs="仿宋_GB2312"/>
          <w:sz w:val="32"/>
          <w:szCs w:val="32"/>
        </w:rPr>
        <w:t>政专项安排的农业投资项目，负责农业投资项</w:t>
      </w:r>
      <w:r>
        <w:rPr>
          <w:rFonts w:hint="eastAsia" w:ascii="仿宋_GB2312" w:hAnsi="仿宋_GB2312" w:eastAsia="仿宋_GB2312" w:cs="仿宋_GB2312"/>
          <w:sz w:val="32"/>
          <w:szCs w:val="32"/>
        </w:rPr>
        <w:t>目资金安排和监督管理。</w:t>
      </w:r>
    </w:p>
    <w:p>
      <w:pPr>
        <w:spacing w:line="62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i w:val="0"/>
          <w:iCs w:val="0"/>
          <w:caps w:val="0"/>
          <w:color w:val="auto"/>
          <w:spacing w:val="0"/>
          <w:kern w:val="0"/>
          <w:sz w:val="32"/>
          <w:szCs w:val="32"/>
          <w:shd w:val="clear" w:color="auto" w:fill="FFFFFF"/>
          <w:lang w:val="en-US" w:eastAsia="zh-CN" w:bidi="ar"/>
        </w:rPr>
        <w:t>（十一）</w:t>
      </w:r>
      <w:r>
        <w:rPr>
          <w:rFonts w:ascii="仿宋_GB2312" w:hAnsi="仿宋_GB2312" w:eastAsia="仿宋_GB2312" w:cs="仿宋_GB2312"/>
          <w:sz w:val="32"/>
          <w:szCs w:val="32"/>
        </w:rPr>
        <w:t>推动农业科</w:t>
      </w:r>
      <w:r>
        <w:rPr>
          <w:rFonts w:hint="eastAsia" w:ascii="仿宋_GB2312" w:hAnsi="仿宋_GB2312" w:eastAsia="仿宋_GB2312" w:cs="仿宋_GB2312"/>
          <w:sz w:val="32"/>
          <w:szCs w:val="32"/>
        </w:rPr>
        <w:t>技</w:t>
      </w:r>
      <w:r>
        <w:rPr>
          <w:rFonts w:ascii="仿宋_GB2312" w:hAnsi="仿宋_GB2312" w:eastAsia="仿宋_GB2312" w:cs="仿宋_GB2312"/>
          <w:sz w:val="32"/>
          <w:szCs w:val="32"/>
        </w:rPr>
        <w:t>体制改革和农业科技创新体系建设</w:t>
      </w:r>
      <w:r>
        <w:rPr>
          <w:rFonts w:hint="eastAsia" w:ascii="仿宋_GB2312" w:hAnsi="仿宋_GB2312" w:eastAsia="仿宋_GB2312" w:cs="仿宋_GB2312"/>
          <w:sz w:val="32"/>
          <w:szCs w:val="32"/>
        </w:rPr>
        <w:t>。指导农业产业技术体系和农技推广体系建设，组织开展农业领域的高新技术和应用技术研究、科技成果转化和技术推广。负责农业转基因生物安全监督管理和农业植物新品种保护。</w:t>
      </w:r>
    </w:p>
    <w:p>
      <w:pPr>
        <w:spacing w:line="62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i w:val="0"/>
          <w:iCs w:val="0"/>
          <w:caps w:val="0"/>
          <w:color w:val="auto"/>
          <w:spacing w:val="0"/>
          <w:kern w:val="0"/>
          <w:sz w:val="32"/>
          <w:szCs w:val="32"/>
          <w:shd w:val="clear" w:color="auto" w:fill="FFFFFF"/>
          <w:lang w:val="en-US" w:eastAsia="zh-CN" w:bidi="ar"/>
        </w:rPr>
        <w:t>（十二）</w:t>
      </w:r>
      <w:r>
        <w:rPr>
          <w:rFonts w:hint="eastAsia" w:ascii="仿宋_GB2312" w:hAnsi="仿宋_GB2312" w:eastAsia="仿宋_GB2312" w:cs="仿宋_GB2312"/>
          <w:sz w:val="32"/>
          <w:szCs w:val="32"/>
        </w:rPr>
        <w:t>指导农业农村人才工作。拟订农业农村人才队伍建设规划并组织实施，指导农业教育和农业职业技能开发，指导新型职业农民培育、农业科技人才培养和农村实用人才培训工作。</w:t>
      </w:r>
    </w:p>
    <w:p>
      <w:pPr>
        <w:spacing w:line="62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i w:val="0"/>
          <w:iCs w:val="0"/>
          <w:caps w:val="0"/>
          <w:color w:val="auto"/>
          <w:spacing w:val="0"/>
          <w:kern w:val="0"/>
          <w:sz w:val="32"/>
          <w:szCs w:val="32"/>
          <w:shd w:val="clear" w:color="auto" w:fill="FFFFFF"/>
          <w:lang w:val="en-US" w:eastAsia="zh-CN" w:bidi="ar"/>
        </w:rPr>
        <w:t>（十三）</w:t>
      </w:r>
      <w:r>
        <w:rPr>
          <w:rFonts w:hint="eastAsia" w:ascii="仿宋_GB2312" w:hAnsi="仿宋_GB2312" w:eastAsia="仿宋_GB2312" w:cs="仿宋_GB2312"/>
          <w:sz w:val="32"/>
          <w:szCs w:val="32"/>
        </w:rPr>
        <w:t>牵头开展农业对外合作工作。承办政府间农业涉外事务，组织开展农业贸易促进和有关对外交流合作，组织实施有关农业援外项目。</w:t>
      </w:r>
      <w:bookmarkStart w:id="0" w:name="_GoBack"/>
      <w:bookmarkEnd w:id="0"/>
    </w:p>
    <w:p>
      <w:pPr>
        <w:spacing w:line="62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i w:val="0"/>
          <w:iCs w:val="0"/>
          <w:caps w:val="0"/>
          <w:color w:val="auto"/>
          <w:spacing w:val="0"/>
          <w:kern w:val="0"/>
          <w:sz w:val="32"/>
          <w:szCs w:val="32"/>
          <w:shd w:val="clear" w:color="auto" w:fill="FFFFFF"/>
          <w:lang w:val="en-US" w:eastAsia="zh-CN" w:bidi="ar"/>
        </w:rPr>
        <w:t>（十四）</w:t>
      </w:r>
      <w:r>
        <w:rPr>
          <w:rFonts w:hint="eastAsia" w:ascii="仿宋_GB2312" w:hAnsi="仿宋_GB2312" w:eastAsia="仿宋_GB2312" w:cs="仿宋_GB2312"/>
          <w:sz w:val="32"/>
          <w:szCs w:val="32"/>
        </w:rPr>
        <w:t>完成上级交办的其他任务。</w:t>
      </w:r>
    </w:p>
    <w:p>
      <w:pPr>
        <w:spacing w:line="6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机构设置情况</w:t>
      </w:r>
    </w:p>
    <w:p>
      <w:pPr>
        <w:spacing w:line="620" w:lineRule="exact"/>
        <w:ind w:firstLine="643" w:firstLineChars="200"/>
        <w:rPr>
          <w:rFonts w:hint="eastAsia" w:ascii="黑体" w:hAnsi="黑体" w:eastAsia="黑体" w:cs="黑体"/>
          <w:sz w:val="32"/>
          <w:szCs w:val="32"/>
          <w:lang w:eastAsia="zh-CN"/>
        </w:rPr>
      </w:pPr>
      <w:r>
        <w:rPr>
          <w:rFonts w:hint="eastAsia" w:ascii="楷体" w:hAnsi="楷体" w:eastAsia="楷体" w:cs="仿宋_GB2312"/>
          <w:b/>
          <w:sz w:val="32"/>
          <w:szCs w:val="32"/>
        </w:rPr>
        <w:t>（</w:t>
      </w:r>
      <w:r>
        <w:rPr>
          <w:rFonts w:hint="eastAsia" w:ascii="楷体" w:hAnsi="楷体" w:eastAsia="楷体" w:cs="仿宋_GB2312"/>
          <w:b/>
          <w:sz w:val="32"/>
          <w:szCs w:val="32"/>
          <w:lang w:eastAsia="zh-CN"/>
        </w:rPr>
        <w:t>一</w:t>
      </w:r>
      <w:r>
        <w:rPr>
          <w:rFonts w:hint="eastAsia" w:ascii="楷体" w:hAnsi="楷体" w:eastAsia="楷体" w:cs="仿宋_GB2312"/>
          <w:b/>
          <w:sz w:val="32"/>
          <w:szCs w:val="32"/>
        </w:rPr>
        <w:t>）</w:t>
      </w:r>
      <w:r>
        <w:rPr>
          <w:rFonts w:hint="eastAsia" w:ascii="楷体" w:hAnsi="楷体" w:eastAsia="楷体" w:cs="仿宋_GB2312"/>
          <w:b/>
          <w:sz w:val="32"/>
          <w:szCs w:val="32"/>
          <w:lang w:eastAsia="zh-CN"/>
        </w:rPr>
        <w:t>部门预算单位</w:t>
      </w:r>
      <w:r>
        <w:rPr>
          <w:rFonts w:hint="eastAsia" w:ascii="楷体" w:hAnsi="楷体" w:eastAsia="楷体" w:cs="仿宋_GB2312"/>
          <w:b/>
          <w:sz w:val="32"/>
          <w:szCs w:val="32"/>
        </w:rPr>
        <w:t>构成</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鄂州市农业农村局下属1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二级预算单位：市农业综合执法支队、市土肥站、市植保站、市农业科学研究所、市农业技术推广中心、市蔬菜生产服务中心、市畜牧兽医服务中心、市动物疫病预防控制中心、市畜牧技术推广站、市农机技术推广中心、市渔业技术推广中心。内设16个职能科室：秘书科、办公室、人事教育科、法规科、经管科（市农民负担监督管理办公室）、发展规划建设科、计划财务科、农村社会事业促进科、科教与信息科、产业化与农产品质量安全监督科、种植业与种业管理科、畜牧兽医科、渔业渔政管理科、农机科、机关党委、离退休干部科。</w:t>
      </w:r>
    </w:p>
    <w:p>
      <w:pPr>
        <w:spacing w:line="62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w:t>
      </w:r>
      <w:r>
        <w:rPr>
          <w:rFonts w:hint="eastAsia" w:ascii="楷体" w:hAnsi="楷体" w:eastAsia="楷体" w:cs="仿宋_GB2312"/>
          <w:b/>
          <w:sz w:val="32"/>
          <w:szCs w:val="32"/>
          <w:lang w:eastAsia="zh-CN"/>
        </w:rPr>
        <w:t>二</w:t>
      </w:r>
      <w:r>
        <w:rPr>
          <w:rFonts w:hint="eastAsia" w:ascii="楷体" w:hAnsi="楷体" w:eastAsia="楷体" w:cs="仿宋_GB2312"/>
          <w:b/>
          <w:sz w:val="32"/>
          <w:szCs w:val="32"/>
        </w:rPr>
        <w:t>）部门人员构成</w:t>
      </w:r>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lang w:eastAsia="zh-CN"/>
        </w:rPr>
        <w:t>本部门</w:t>
      </w:r>
      <w:r>
        <w:rPr>
          <w:rFonts w:hint="eastAsia" w:ascii="仿宋_GB2312" w:hAnsi="宋体" w:eastAsia="仿宋_GB2312"/>
          <w:sz w:val="32"/>
          <w:szCs w:val="32"/>
        </w:rPr>
        <w:t>共计定编2</w:t>
      </w:r>
      <w:r>
        <w:rPr>
          <w:rFonts w:hint="eastAsia" w:ascii="仿宋_GB2312" w:hAnsi="宋体" w:eastAsia="仿宋_GB2312"/>
          <w:sz w:val="32"/>
          <w:szCs w:val="32"/>
          <w:lang w:val="en-US" w:eastAsia="zh-CN"/>
        </w:rPr>
        <w:t>33</w:t>
      </w:r>
      <w:r>
        <w:rPr>
          <w:rFonts w:hint="eastAsia" w:ascii="仿宋_GB2312" w:hAnsi="宋体" w:eastAsia="仿宋_GB2312"/>
          <w:sz w:val="32"/>
          <w:szCs w:val="32"/>
        </w:rPr>
        <w:t>人，其</w:t>
      </w:r>
      <w:r>
        <w:rPr>
          <w:rFonts w:hint="eastAsia" w:ascii="仿宋_GB2312" w:hAnsi="仿宋_GB2312" w:eastAsia="仿宋_GB2312" w:cs="仿宋_GB2312"/>
          <w:sz w:val="32"/>
          <w:szCs w:val="32"/>
        </w:rPr>
        <w:t>中行政编制45</w:t>
      </w:r>
      <w:r>
        <w:rPr>
          <w:rFonts w:hint="eastAsia" w:ascii="仿宋_GB2312" w:hAnsi="宋体" w:eastAsia="仿宋_GB2312"/>
          <w:sz w:val="32"/>
          <w:szCs w:val="32"/>
        </w:rPr>
        <w:t>人，参公事业编制</w:t>
      </w:r>
      <w:r>
        <w:rPr>
          <w:rFonts w:hint="eastAsia" w:ascii="仿宋_GB2312" w:hAnsi="宋体" w:eastAsia="仿宋_GB2312"/>
          <w:sz w:val="32"/>
          <w:szCs w:val="32"/>
          <w:lang w:val="en-US" w:eastAsia="zh-CN"/>
        </w:rPr>
        <w:t>31</w:t>
      </w:r>
      <w:r>
        <w:rPr>
          <w:rFonts w:hint="eastAsia" w:ascii="仿宋_GB2312" w:hAnsi="宋体" w:eastAsia="仿宋_GB2312"/>
          <w:sz w:val="32"/>
          <w:szCs w:val="32"/>
        </w:rPr>
        <w:t>人，</w:t>
      </w:r>
      <w:r>
        <w:rPr>
          <w:rFonts w:hint="eastAsia" w:ascii="仿宋_GB2312" w:hAnsi="宋体" w:eastAsia="仿宋_GB2312"/>
          <w:sz w:val="32"/>
          <w:szCs w:val="32"/>
          <w:lang w:eastAsia="zh-CN"/>
        </w:rPr>
        <w:t>事业</w:t>
      </w:r>
      <w:r>
        <w:rPr>
          <w:rFonts w:hint="eastAsia" w:ascii="仿宋_GB2312" w:hAnsi="宋体" w:eastAsia="仿宋_GB2312"/>
          <w:sz w:val="32"/>
          <w:szCs w:val="32"/>
        </w:rPr>
        <w:t>编制</w:t>
      </w:r>
      <w:r>
        <w:rPr>
          <w:rFonts w:hint="eastAsia" w:ascii="仿宋_GB2312" w:hAnsi="宋体" w:eastAsia="仿宋_GB2312"/>
          <w:sz w:val="32"/>
          <w:szCs w:val="32"/>
          <w:lang w:val="en-US" w:eastAsia="zh-CN"/>
        </w:rPr>
        <w:t>157</w:t>
      </w:r>
      <w:r>
        <w:rPr>
          <w:rFonts w:hint="eastAsia" w:ascii="仿宋_GB2312" w:hAnsi="宋体" w:eastAsia="仿宋_GB2312"/>
          <w:sz w:val="32"/>
          <w:szCs w:val="32"/>
        </w:rPr>
        <w:t>人。部门实有人数</w:t>
      </w:r>
      <w:r>
        <w:rPr>
          <w:rFonts w:hint="eastAsia" w:ascii="仿宋_GB2312" w:hAnsi="宋体" w:eastAsia="仿宋_GB2312"/>
          <w:sz w:val="32"/>
          <w:szCs w:val="32"/>
          <w:lang w:val="en-US" w:eastAsia="zh-CN"/>
        </w:rPr>
        <w:t>438</w:t>
      </w:r>
      <w:r>
        <w:rPr>
          <w:rFonts w:hint="eastAsia" w:ascii="仿宋_GB2312" w:hAnsi="宋体" w:eastAsia="仿宋_GB2312"/>
          <w:sz w:val="32"/>
          <w:szCs w:val="32"/>
        </w:rPr>
        <w:t>人，其中在职实有2</w:t>
      </w:r>
      <w:r>
        <w:rPr>
          <w:rFonts w:hint="eastAsia" w:ascii="仿宋_GB2312" w:hAnsi="宋体" w:eastAsia="仿宋_GB2312"/>
          <w:sz w:val="32"/>
          <w:szCs w:val="32"/>
          <w:lang w:val="en-US" w:eastAsia="zh-CN"/>
        </w:rPr>
        <w:t>08</w:t>
      </w:r>
      <w:r>
        <w:rPr>
          <w:rFonts w:hint="eastAsia" w:ascii="仿宋_GB2312" w:hAnsi="宋体" w:eastAsia="仿宋_GB2312"/>
          <w:sz w:val="32"/>
          <w:szCs w:val="32"/>
        </w:rPr>
        <w:t>人,退休实有2</w:t>
      </w:r>
      <w:r>
        <w:rPr>
          <w:rFonts w:hint="eastAsia" w:ascii="仿宋_GB2312" w:hAnsi="宋体" w:eastAsia="仿宋_GB2312"/>
          <w:sz w:val="32"/>
          <w:szCs w:val="32"/>
          <w:lang w:val="en-US" w:eastAsia="zh-CN"/>
        </w:rPr>
        <w:t>30</w:t>
      </w:r>
      <w:r>
        <w:rPr>
          <w:rFonts w:hint="eastAsia" w:ascii="仿宋_GB2312" w:hAnsi="宋体" w:eastAsia="仿宋_GB2312"/>
          <w:sz w:val="32"/>
          <w:szCs w:val="32"/>
        </w:rPr>
        <w:t>人。</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预算</w:t>
      </w:r>
      <w:r>
        <w:rPr>
          <w:rFonts w:hint="eastAsia" w:ascii="黑体" w:hAnsi="黑体" w:eastAsia="黑体" w:cs="黑体"/>
          <w:sz w:val="32"/>
          <w:szCs w:val="32"/>
        </w:rPr>
        <w:t>收支</w:t>
      </w:r>
      <w:r>
        <w:rPr>
          <w:rFonts w:hint="eastAsia" w:ascii="黑体" w:hAnsi="黑体" w:eastAsia="黑体" w:cs="黑体"/>
          <w:sz w:val="32"/>
          <w:szCs w:val="32"/>
          <w:lang w:eastAsia="zh-CN"/>
        </w:rPr>
        <w:t>及增减变化</w:t>
      </w:r>
      <w:r>
        <w:rPr>
          <w:rFonts w:hint="eastAsia" w:ascii="黑体" w:hAnsi="黑体" w:eastAsia="黑体" w:cs="黑体"/>
          <w:sz w:val="32"/>
          <w:szCs w:val="32"/>
        </w:rPr>
        <w:t>情况</w:t>
      </w:r>
    </w:p>
    <w:p>
      <w:pPr>
        <w:spacing w:line="62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202</w:t>
      </w:r>
      <w:r>
        <w:rPr>
          <w:rFonts w:hint="eastAsia" w:ascii="楷体" w:hAnsi="楷体" w:eastAsia="楷体" w:cs="楷体"/>
          <w:b/>
          <w:bCs/>
          <w:sz w:val="32"/>
          <w:szCs w:val="32"/>
          <w:lang w:val="en-US" w:eastAsia="zh-CN"/>
        </w:rPr>
        <w:t>3</w:t>
      </w:r>
      <w:r>
        <w:rPr>
          <w:rFonts w:hint="eastAsia" w:ascii="楷体" w:hAnsi="楷体" w:eastAsia="楷体" w:cs="楷体"/>
          <w:b/>
          <w:bCs/>
          <w:sz w:val="32"/>
          <w:szCs w:val="32"/>
          <w:lang w:eastAsia="zh-CN"/>
        </w:rPr>
        <w:t>年</w:t>
      </w:r>
      <w:r>
        <w:rPr>
          <w:rFonts w:hint="eastAsia" w:ascii="楷体" w:hAnsi="楷体" w:eastAsia="楷体" w:cs="楷体"/>
          <w:b/>
          <w:bCs/>
          <w:sz w:val="32"/>
          <w:szCs w:val="32"/>
        </w:rPr>
        <w:t>部门预算总收入</w:t>
      </w:r>
      <w:r>
        <w:rPr>
          <w:rFonts w:hint="eastAsia" w:ascii="楷体" w:hAnsi="楷体" w:eastAsia="楷体" w:cs="楷体"/>
          <w:b/>
          <w:bCs/>
          <w:sz w:val="32"/>
          <w:szCs w:val="32"/>
          <w:lang w:val="en-US" w:eastAsia="zh-CN"/>
        </w:rPr>
        <w:t>10486.77</w:t>
      </w:r>
      <w:r>
        <w:rPr>
          <w:rFonts w:hint="eastAsia" w:ascii="楷体" w:hAnsi="楷体" w:eastAsia="楷体" w:cs="楷体"/>
          <w:b/>
          <w:bCs/>
          <w:sz w:val="32"/>
          <w:szCs w:val="32"/>
        </w:rPr>
        <w:t>万元。</w:t>
      </w:r>
      <w:r>
        <w:rPr>
          <w:rFonts w:hint="eastAsia" w:ascii="仿宋_GB2312" w:hAnsi="仿宋_GB2312" w:eastAsia="仿宋_GB2312" w:cs="仿宋_GB2312"/>
          <w:sz w:val="32"/>
          <w:szCs w:val="32"/>
        </w:rPr>
        <w:t>其中一般公共预算财政拨款收入</w:t>
      </w:r>
      <w:r>
        <w:rPr>
          <w:rFonts w:hint="eastAsia" w:ascii="仿宋_GB2312" w:hAnsi="仿宋_GB2312" w:eastAsia="仿宋_GB2312" w:cs="仿宋_GB2312"/>
          <w:sz w:val="32"/>
          <w:szCs w:val="32"/>
          <w:lang w:val="en-US" w:eastAsia="zh-CN"/>
        </w:rPr>
        <w:t>8583.47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其他收入</w:t>
      </w:r>
      <w:r>
        <w:rPr>
          <w:rFonts w:hint="eastAsia" w:ascii="仿宋_GB2312" w:hAnsi="仿宋_GB2312" w:eastAsia="仿宋_GB2312" w:cs="仿宋_GB2312"/>
          <w:sz w:val="32"/>
          <w:szCs w:val="32"/>
          <w:lang w:val="en-US" w:eastAsia="zh-CN"/>
        </w:rPr>
        <w:t>164.5万，</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结转</w:t>
      </w:r>
      <w:r>
        <w:rPr>
          <w:rFonts w:hint="eastAsia" w:ascii="仿宋_GB2312" w:hAnsi="仿宋_GB2312" w:eastAsia="仿宋_GB2312" w:cs="仿宋_GB2312"/>
          <w:sz w:val="32"/>
          <w:szCs w:val="32"/>
          <w:lang w:val="en-US" w:eastAsia="zh-CN"/>
        </w:rPr>
        <w:t>1738.8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部门预算总收入比上年增加</w:t>
      </w:r>
      <w:r>
        <w:rPr>
          <w:rFonts w:hint="eastAsia" w:ascii="仿宋_GB2312" w:hAnsi="仿宋_GB2312" w:eastAsia="仿宋_GB2312" w:cs="仿宋_GB2312"/>
          <w:sz w:val="32"/>
          <w:szCs w:val="32"/>
          <w:lang w:val="en-US" w:eastAsia="zh-CN"/>
        </w:rPr>
        <w:t>3712.13</w:t>
      </w:r>
      <w:r>
        <w:rPr>
          <w:rFonts w:hint="eastAsia" w:ascii="仿宋_GB2312" w:hAnsi="仿宋_GB2312" w:eastAsia="仿宋_GB2312" w:cs="仿宋_GB2312"/>
          <w:sz w:val="32"/>
          <w:szCs w:val="32"/>
        </w:rPr>
        <w:t>万元，增加了</w:t>
      </w:r>
      <w:r>
        <w:rPr>
          <w:rFonts w:hint="eastAsia" w:ascii="仿宋_GB2312" w:hAnsi="仿宋_GB2312" w:eastAsia="仿宋_GB2312" w:cs="仿宋_GB2312"/>
          <w:sz w:val="32"/>
          <w:szCs w:val="32"/>
          <w:lang w:val="en-US" w:eastAsia="zh-CN"/>
        </w:rPr>
        <w:t>54.79</w:t>
      </w:r>
      <w:r>
        <w:rPr>
          <w:rFonts w:hint="eastAsia" w:ascii="仿宋_GB2312" w:hAnsi="仿宋_GB2312" w:eastAsia="仿宋_GB2312" w:cs="仿宋_GB2312"/>
          <w:sz w:val="32"/>
          <w:szCs w:val="32"/>
        </w:rPr>
        <w:t>%，主要原因是一般公共预算财政拨款收入增加</w:t>
      </w:r>
      <w:r>
        <w:rPr>
          <w:rFonts w:hint="eastAsia" w:ascii="仿宋_GB2312" w:hAnsi="仿宋_GB2312" w:eastAsia="仿宋_GB2312" w:cs="仿宋_GB2312"/>
          <w:sz w:val="32"/>
          <w:szCs w:val="32"/>
          <w:lang w:val="en-US" w:eastAsia="zh-CN"/>
        </w:rPr>
        <w:t>2386.83万元</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结转</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1160.8万元</w:t>
      </w:r>
      <w:r>
        <w:rPr>
          <w:rFonts w:hint="eastAsia" w:ascii="仿宋_GB2312" w:hAnsi="仿宋_GB2312" w:eastAsia="仿宋_GB2312" w:cs="仿宋_GB2312"/>
          <w:sz w:val="32"/>
          <w:szCs w:val="32"/>
        </w:rPr>
        <w:t>。</w:t>
      </w:r>
    </w:p>
    <w:p>
      <w:pPr>
        <w:spacing w:line="620" w:lineRule="exact"/>
        <w:ind w:firstLine="643" w:firstLineChars="200"/>
        <w:rPr>
          <w:rFonts w:ascii="仿宋_GB2312" w:eastAsia="仿宋_GB2312"/>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202</w:t>
      </w:r>
      <w:r>
        <w:rPr>
          <w:rFonts w:hint="eastAsia" w:ascii="楷体" w:hAnsi="楷体" w:eastAsia="楷体" w:cs="楷体"/>
          <w:b/>
          <w:bCs/>
          <w:sz w:val="32"/>
          <w:szCs w:val="32"/>
          <w:lang w:val="en-US" w:eastAsia="zh-CN"/>
        </w:rPr>
        <w:t>3</w:t>
      </w:r>
      <w:r>
        <w:rPr>
          <w:rFonts w:hint="eastAsia" w:ascii="楷体" w:hAnsi="楷体" w:eastAsia="楷体" w:cs="楷体"/>
          <w:b/>
          <w:bCs/>
          <w:sz w:val="32"/>
          <w:szCs w:val="32"/>
          <w:lang w:eastAsia="zh-CN"/>
        </w:rPr>
        <w:t>年</w:t>
      </w:r>
      <w:r>
        <w:rPr>
          <w:rFonts w:hint="eastAsia" w:ascii="楷体" w:hAnsi="楷体" w:eastAsia="楷体" w:cs="楷体"/>
          <w:b/>
          <w:bCs/>
          <w:sz w:val="32"/>
          <w:szCs w:val="32"/>
        </w:rPr>
        <w:t>部门预算总支出</w:t>
      </w:r>
      <w:r>
        <w:rPr>
          <w:rFonts w:hint="eastAsia" w:ascii="楷体" w:hAnsi="楷体" w:eastAsia="楷体" w:cs="楷体"/>
          <w:b/>
          <w:bCs/>
          <w:sz w:val="32"/>
          <w:szCs w:val="32"/>
          <w:lang w:val="en-US" w:eastAsia="zh-CN"/>
        </w:rPr>
        <w:t>10486.77</w:t>
      </w:r>
      <w:r>
        <w:rPr>
          <w:rFonts w:hint="eastAsia" w:ascii="楷体" w:hAnsi="楷体" w:eastAsia="楷体" w:cs="楷体"/>
          <w:b/>
          <w:bCs/>
          <w:sz w:val="32"/>
          <w:szCs w:val="32"/>
        </w:rPr>
        <w:t>万元。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基本支出</w:t>
      </w:r>
      <w:r>
        <w:rPr>
          <w:rFonts w:hint="eastAsia" w:ascii="仿宋_GB2312" w:hAnsi="仿宋_GB2312" w:eastAsia="仿宋_GB2312" w:cs="仿宋_GB2312"/>
          <w:sz w:val="32"/>
          <w:szCs w:val="32"/>
          <w:lang w:val="en-US" w:eastAsia="zh-CN"/>
        </w:rPr>
        <w:t>4785.59万元，项目支出5701.19万元。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部门预算总支出比上年增加</w:t>
      </w:r>
      <w:r>
        <w:rPr>
          <w:rFonts w:hint="eastAsia" w:ascii="仿宋_GB2312" w:hAnsi="仿宋_GB2312" w:eastAsia="仿宋_GB2312" w:cs="仿宋_GB2312"/>
          <w:sz w:val="32"/>
          <w:szCs w:val="32"/>
          <w:lang w:val="en-US" w:eastAsia="zh-CN"/>
        </w:rPr>
        <w:t>3712.13</w:t>
      </w:r>
      <w:r>
        <w:rPr>
          <w:rFonts w:hint="eastAsia" w:ascii="仿宋_GB2312" w:hAnsi="仿宋_GB2312" w:eastAsia="仿宋_GB2312" w:cs="仿宋_GB2312"/>
          <w:sz w:val="32"/>
          <w:szCs w:val="32"/>
        </w:rPr>
        <w:t>万元，增加了</w:t>
      </w:r>
      <w:r>
        <w:rPr>
          <w:rFonts w:hint="eastAsia" w:ascii="仿宋_GB2312" w:hAnsi="仿宋_GB2312" w:eastAsia="仿宋_GB2312" w:cs="仿宋_GB2312"/>
          <w:sz w:val="32"/>
          <w:szCs w:val="32"/>
          <w:lang w:val="en-US" w:eastAsia="zh-CN"/>
        </w:rPr>
        <w:t>54.79</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特定目标类</w:t>
      </w:r>
      <w:r>
        <w:rPr>
          <w:rFonts w:hint="eastAsia" w:ascii="仿宋_GB2312" w:hAnsi="仿宋_GB2312" w:eastAsia="仿宋_GB2312" w:cs="仿宋_GB2312"/>
          <w:sz w:val="32"/>
          <w:szCs w:val="32"/>
        </w:rPr>
        <w:t>项目支出比上年增加</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lang w:val="en-US" w:eastAsia="zh-CN"/>
        </w:rPr>
        <w:t>3130.75万元</w:t>
      </w:r>
      <w:r>
        <w:rPr>
          <w:rFonts w:hint="eastAsia" w:ascii="仿宋_GB2312" w:hAnsi="仿宋_GB2312" w:eastAsia="仿宋_GB2312" w:cs="仿宋_GB2312"/>
          <w:sz w:val="32"/>
          <w:szCs w:val="32"/>
        </w:rPr>
        <w:t>。</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按照支出功能分类科目，主要用于：</w:t>
      </w:r>
      <w:r>
        <w:rPr>
          <w:rFonts w:hint="eastAsia" w:ascii="仿宋_GB2312" w:hAnsi="仿宋_GB2312" w:eastAsia="仿宋_GB2312" w:cs="仿宋_GB2312"/>
          <w:sz w:val="32"/>
          <w:szCs w:val="32"/>
          <w:lang w:eastAsia="zh-CN"/>
        </w:rPr>
        <w:t>科学技术支出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万元、社会保障和就业支出</w:t>
      </w:r>
      <w:r>
        <w:rPr>
          <w:rFonts w:hint="eastAsia" w:ascii="仿宋_GB2312" w:hAnsi="仿宋_GB2312" w:eastAsia="仿宋_GB2312" w:cs="仿宋_GB2312"/>
          <w:sz w:val="32"/>
          <w:szCs w:val="32"/>
          <w:lang w:val="en-US" w:eastAsia="zh-CN"/>
        </w:rPr>
        <w:t>443.38</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275.07</w:t>
      </w:r>
      <w:r>
        <w:rPr>
          <w:rFonts w:hint="eastAsia" w:ascii="仿宋_GB2312" w:hAnsi="仿宋_GB2312" w:eastAsia="仿宋_GB2312" w:cs="仿宋_GB2312"/>
          <w:sz w:val="32"/>
          <w:szCs w:val="32"/>
        </w:rPr>
        <w:t>万元、农林水支出</w:t>
      </w:r>
      <w:r>
        <w:rPr>
          <w:rFonts w:hint="eastAsia" w:ascii="仿宋_GB2312" w:hAnsi="仿宋_GB2312" w:eastAsia="仿宋_GB2312" w:cs="仿宋_GB2312"/>
          <w:sz w:val="32"/>
          <w:szCs w:val="32"/>
          <w:lang w:val="en-US" w:eastAsia="zh-CN"/>
        </w:rPr>
        <w:t>9280.69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商品服务业等支出</w:t>
      </w:r>
      <w:r>
        <w:rPr>
          <w:rFonts w:hint="eastAsia" w:ascii="仿宋_GB2312" w:hAnsi="仿宋_GB2312" w:eastAsia="仿宋_GB2312" w:cs="仿宋_GB2312"/>
          <w:sz w:val="32"/>
          <w:szCs w:val="32"/>
          <w:lang w:val="en-US" w:eastAsia="zh-CN"/>
        </w:rPr>
        <w:t>80万元、</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307.64</w:t>
      </w:r>
      <w:r>
        <w:rPr>
          <w:rFonts w:hint="eastAsia" w:ascii="仿宋_GB2312" w:hAnsi="仿宋_GB2312" w:eastAsia="仿宋_GB2312" w:cs="仿宋_GB2312"/>
          <w:sz w:val="32"/>
          <w:szCs w:val="32"/>
        </w:rPr>
        <w:t>万元。</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按照支出经济分类科目，主要用于：工资福利支出</w:t>
      </w:r>
      <w:r>
        <w:rPr>
          <w:rFonts w:hint="eastAsia" w:ascii="仿宋_GB2312" w:hAnsi="仿宋_GB2312" w:eastAsia="仿宋_GB2312" w:cs="仿宋_GB2312"/>
          <w:sz w:val="32"/>
          <w:szCs w:val="32"/>
          <w:lang w:val="en-US" w:eastAsia="zh-CN"/>
        </w:rPr>
        <w:t>3563.27</w:t>
      </w:r>
      <w:r>
        <w:rPr>
          <w:rFonts w:hint="eastAsia" w:ascii="仿宋_GB2312" w:hAnsi="仿宋_GB2312" w:eastAsia="仿宋_GB2312" w:cs="仿宋_GB2312"/>
          <w:sz w:val="32"/>
          <w:szCs w:val="32"/>
        </w:rPr>
        <w:t>万元、商品和服务支出</w:t>
      </w:r>
      <w:r>
        <w:rPr>
          <w:rFonts w:hint="eastAsia" w:ascii="仿宋_GB2312" w:hAnsi="仿宋_GB2312" w:eastAsia="仿宋_GB2312" w:cs="仿宋_GB2312"/>
          <w:sz w:val="32"/>
          <w:szCs w:val="32"/>
          <w:lang w:val="en-US" w:eastAsia="zh-CN"/>
        </w:rPr>
        <w:t>6154</w:t>
      </w:r>
      <w:r>
        <w:rPr>
          <w:rFonts w:hint="eastAsia" w:ascii="仿宋_GB2312" w:hAnsi="仿宋_GB2312" w:eastAsia="仿宋_GB2312" w:cs="仿宋_GB2312"/>
          <w:sz w:val="32"/>
          <w:szCs w:val="32"/>
        </w:rPr>
        <w:t>万元、对个人和家庭的补助支出</w:t>
      </w:r>
      <w:r>
        <w:rPr>
          <w:rFonts w:hint="eastAsia" w:ascii="仿宋_GB2312" w:hAnsi="仿宋_GB2312" w:eastAsia="仿宋_GB2312" w:cs="仿宋_GB2312"/>
          <w:sz w:val="32"/>
          <w:szCs w:val="32"/>
          <w:lang w:val="en-US" w:eastAsia="zh-CN"/>
        </w:rPr>
        <w:t>635.5</w:t>
      </w:r>
      <w:r>
        <w:rPr>
          <w:rFonts w:hint="eastAsia" w:ascii="仿宋_GB2312" w:hAnsi="仿宋_GB2312" w:eastAsia="仿宋_GB2312" w:cs="仿宋_GB2312"/>
          <w:sz w:val="32"/>
          <w:szCs w:val="32"/>
        </w:rPr>
        <w:t>万元、资本性支出</w:t>
      </w:r>
      <w:r>
        <w:rPr>
          <w:rFonts w:hint="eastAsia" w:ascii="仿宋_GB2312" w:hAnsi="仿宋_GB2312" w:eastAsia="仿宋_GB2312" w:cs="仿宋_GB2312"/>
          <w:sz w:val="32"/>
          <w:szCs w:val="32"/>
          <w:lang w:val="en-US" w:eastAsia="zh-CN"/>
        </w:rPr>
        <w:t>134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、其他支出</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w:t>
      </w:r>
    </w:p>
    <w:p>
      <w:pPr>
        <w:spacing w:line="6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机关运行经费安排情况</w:t>
      </w:r>
    </w:p>
    <w:p>
      <w:pPr>
        <w:spacing w:line="620" w:lineRule="exact"/>
        <w:ind w:firstLine="640" w:firstLineChars="200"/>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部门机关运行经费</w:t>
      </w:r>
      <w:r>
        <w:rPr>
          <w:rFonts w:hint="eastAsia" w:ascii="仿宋_GB2312" w:hAnsi="仿宋_GB2312" w:eastAsia="仿宋_GB2312" w:cs="仿宋_GB2312"/>
          <w:sz w:val="32"/>
          <w:szCs w:val="32"/>
          <w:lang w:val="en-US" w:eastAsia="zh-CN"/>
        </w:rPr>
        <w:t>586.82万元，</w:t>
      </w:r>
      <w:r>
        <w:rPr>
          <w:rFonts w:hint="eastAsia" w:ascii="宋体" w:hAnsi="宋体" w:eastAsia="宋体" w:cs="宋体"/>
          <w:sz w:val="30"/>
          <w:szCs w:val="30"/>
          <w:shd w:val="clear" w:color="auto" w:fill="FFFFFF"/>
          <w:lang w:eastAsia="zh-CN"/>
        </w:rPr>
        <w:t>与</w:t>
      </w:r>
      <w:r>
        <w:rPr>
          <w:rFonts w:hint="eastAsia" w:ascii="仿宋_GB2312" w:hAnsi="仿宋_GB2312" w:eastAsia="仿宋_GB2312" w:cs="仿宋_GB2312"/>
          <w:sz w:val="32"/>
          <w:szCs w:val="32"/>
          <w:lang w:val="en-US" w:eastAsia="zh-CN"/>
        </w:rPr>
        <w:t>上年相比增加15.36万元，增长2.69%，增加的主要原因是单位人员的增加，公用经费也随之增加。其中主要的费用有：</w:t>
      </w: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val="en-US" w:eastAsia="zh-CN"/>
        </w:rPr>
        <w:t>50.34万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电费</w:t>
      </w:r>
      <w:r>
        <w:rPr>
          <w:rFonts w:hint="eastAsia" w:ascii="仿宋_GB2312" w:hAnsi="仿宋_GB2312" w:eastAsia="仿宋_GB2312" w:cs="仿宋_GB2312"/>
          <w:sz w:val="32"/>
          <w:szCs w:val="32"/>
          <w:lang w:val="en-US" w:eastAsia="zh-CN"/>
        </w:rPr>
        <w:t>25.6万</w:t>
      </w:r>
      <w:r>
        <w:rPr>
          <w:rFonts w:hint="eastAsia" w:ascii="仿宋_GB2312" w:hAnsi="仿宋_GB2312" w:eastAsia="仿宋_GB2312" w:cs="仿宋_GB2312"/>
          <w:sz w:val="32"/>
          <w:szCs w:val="32"/>
          <w:lang w:eastAsia="zh-CN"/>
        </w:rPr>
        <w:t>、邮电费</w:t>
      </w:r>
      <w:r>
        <w:rPr>
          <w:rFonts w:hint="eastAsia" w:ascii="仿宋_GB2312" w:hAnsi="仿宋_GB2312" w:eastAsia="仿宋_GB2312" w:cs="仿宋_GB2312"/>
          <w:sz w:val="32"/>
          <w:szCs w:val="32"/>
          <w:lang w:val="en-US" w:eastAsia="zh-CN"/>
        </w:rPr>
        <w:t>16.34万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劳务费</w:t>
      </w:r>
      <w:r>
        <w:rPr>
          <w:rFonts w:hint="eastAsia" w:ascii="仿宋_GB2312" w:hAnsi="仿宋_GB2312" w:eastAsia="仿宋_GB2312" w:cs="仿宋_GB2312"/>
          <w:sz w:val="32"/>
          <w:szCs w:val="32"/>
          <w:lang w:val="en-US" w:eastAsia="zh-CN"/>
        </w:rPr>
        <w:t>14.3万</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val="en-US" w:eastAsia="zh-CN"/>
        </w:rPr>
        <w:t>57.27万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福利费</w:t>
      </w:r>
      <w:r>
        <w:rPr>
          <w:rFonts w:hint="eastAsia" w:ascii="仿宋_GB2312" w:hAnsi="仿宋_GB2312" w:eastAsia="仿宋_GB2312" w:cs="仿宋_GB2312"/>
          <w:sz w:val="32"/>
          <w:szCs w:val="32"/>
          <w:lang w:val="en-US" w:eastAsia="zh-CN"/>
        </w:rPr>
        <w:t>186.3万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其他交通费用</w:t>
      </w:r>
      <w:r>
        <w:rPr>
          <w:rFonts w:hint="eastAsia" w:ascii="仿宋_GB2312" w:hAnsi="仿宋_GB2312" w:eastAsia="仿宋_GB2312" w:cs="仿宋_GB2312"/>
          <w:sz w:val="32"/>
          <w:szCs w:val="32"/>
          <w:lang w:val="en-US" w:eastAsia="zh-CN"/>
        </w:rPr>
        <w:t>74.72万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其他商品和服务支出</w:t>
      </w:r>
      <w:r>
        <w:rPr>
          <w:rFonts w:hint="eastAsia" w:ascii="仿宋_GB2312" w:hAnsi="仿宋_GB2312" w:eastAsia="仿宋_GB2312" w:cs="仿宋_GB2312"/>
          <w:sz w:val="32"/>
          <w:szCs w:val="32"/>
        </w:rPr>
        <w:t>等费用支出</w:t>
      </w:r>
      <w:r>
        <w:rPr>
          <w:rFonts w:hint="eastAsia" w:ascii="仿宋_GB2312" w:hAnsi="仿宋_GB2312" w:eastAsia="仿宋_GB2312" w:cs="仿宋_GB2312"/>
          <w:sz w:val="32"/>
          <w:szCs w:val="32"/>
          <w:lang w:val="en-US" w:eastAsia="zh-CN"/>
        </w:rPr>
        <w:t>108.33万等</w:t>
      </w:r>
      <w:r>
        <w:rPr>
          <w:rFonts w:hint="eastAsia" w:ascii="仿宋_GB2312" w:hAnsi="仿宋_GB2312" w:eastAsia="仿宋_GB2312" w:cs="仿宋_GB2312"/>
          <w:sz w:val="32"/>
          <w:szCs w:val="32"/>
        </w:rPr>
        <w:t>，主要用于机关单位日常运转。</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五、一般公共预算“三公”经费</w:t>
      </w:r>
      <w:r>
        <w:rPr>
          <w:rFonts w:hint="eastAsia" w:ascii="黑体" w:hAnsi="黑体" w:eastAsia="黑体" w:cs="黑体"/>
          <w:sz w:val="32"/>
          <w:szCs w:val="32"/>
          <w:lang w:eastAsia="zh-CN"/>
        </w:rPr>
        <w:t>及增减变化</w:t>
      </w:r>
      <w:r>
        <w:rPr>
          <w:rFonts w:hint="eastAsia" w:ascii="黑体" w:hAnsi="黑体" w:eastAsia="黑体" w:cs="黑体"/>
          <w:sz w:val="32"/>
          <w:szCs w:val="32"/>
        </w:rPr>
        <w:t>情况</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一般公共预算财政拨款资金安排“三公”经费预算</w:t>
      </w:r>
      <w:r>
        <w:rPr>
          <w:rFonts w:hint="eastAsia" w:ascii="仿宋_GB2312" w:hAnsi="仿宋_GB2312" w:eastAsia="仿宋_GB2312" w:cs="仿宋_GB2312"/>
          <w:sz w:val="32"/>
          <w:szCs w:val="32"/>
          <w:lang w:val="en-US" w:eastAsia="zh-CN"/>
        </w:rPr>
        <w:t>9.01万元，比2022年预算减少3.74万元，减少29.33%。</w:t>
      </w:r>
      <w:r>
        <w:rPr>
          <w:rFonts w:hint="eastAsia" w:ascii="仿宋_GB2312" w:hAnsi="仿宋_GB2312" w:eastAsia="仿宋_GB2312" w:cs="仿宋_GB2312"/>
          <w:sz w:val="32"/>
          <w:szCs w:val="32"/>
        </w:rPr>
        <w:t>其中：</w:t>
      </w:r>
    </w:p>
    <w:p>
      <w:pPr>
        <w:numPr>
          <w:ilvl w:val="0"/>
          <w:numId w:val="2"/>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2022年预算持平。主要原因是本年度没有因公出国计划</w:t>
      </w:r>
      <w:r>
        <w:rPr>
          <w:rFonts w:hint="eastAsia" w:ascii="仿宋_GB2312" w:hAnsi="仿宋_GB2312" w:eastAsia="仿宋_GB2312" w:cs="仿宋_GB2312"/>
          <w:sz w:val="32"/>
          <w:szCs w:val="32"/>
          <w:lang w:eastAsia="zh-CN"/>
        </w:rPr>
        <w:t>。</w:t>
      </w:r>
    </w:p>
    <w:p>
      <w:pPr>
        <w:numPr>
          <w:ilvl w:val="0"/>
          <w:numId w:val="2"/>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公务接待费预算</w:t>
      </w:r>
      <w:r>
        <w:rPr>
          <w:rFonts w:hint="eastAsia" w:ascii="仿宋_GB2312" w:hAnsi="仿宋_GB2312" w:eastAsia="仿宋_GB2312" w:cs="仿宋_GB2312"/>
          <w:sz w:val="32"/>
          <w:szCs w:val="32"/>
          <w:lang w:val="en-US" w:eastAsia="zh-CN"/>
        </w:rPr>
        <w:t>6.51元，</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lang w:val="en-US" w:eastAsia="zh-CN"/>
        </w:rPr>
        <w:t>2022年预算增加1.76万元，增加37.05%。主要原因：本部门本年度特定类项目较上年度增加，省级各项迎检工作以及农业农村招商引资工作增加，相应公务接待费有所增加。</w:t>
      </w:r>
    </w:p>
    <w:p>
      <w:pPr>
        <w:numPr>
          <w:ilvl w:val="0"/>
          <w:numId w:val="2"/>
        </w:numPr>
        <w:spacing w:line="62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公务用车购置及运行维护费</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lang w:val="en-US" w:eastAsia="zh-CN"/>
        </w:rPr>
        <w:t>2022年预算减少5.5万元，减少31.25%。主要原因：因按照市要求，各单位公车辆集中在公用车平台进行统一管理，导致车辆运行维护费用减少。</w:t>
      </w:r>
    </w:p>
    <w:p>
      <w:pPr>
        <w:numPr>
          <w:ilvl w:val="0"/>
          <w:numId w:val="0"/>
        </w:numPr>
        <w:spacing w:line="6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1.公务用车购置费为0</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2022年预算持平。</w:t>
      </w:r>
    </w:p>
    <w:p>
      <w:pPr>
        <w:numPr>
          <w:ilvl w:val="0"/>
          <w:numId w:val="0"/>
        </w:num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2.公务用车运行维护费</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lang w:val="en-US" w:eastAsia="zh-CN"/>
        </w:rPr>
        <w:t>2022年预算减少5.5万元，减少31.25%。主要原因：因按照市要求，各单位公车辆集中在公用车平台进行统一管理，导致车辆运行维护费用减少。</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六、政府</w:t>
      </w:r>
      <w:r>
        <w:rPr>
          <w:rFonts w:hint="eastAsia" w:ascii="黑体" w:hAnsi="黑体" w:eastAsia="黑体" w:cs="黑体"/>
          <w:sz w:val="32"/>
          <w:szCs w:val="32"/>
          <w:lang w:eastAsia="zh-CN"/>
        </w:rPr>
        <w:t>采购</w:t>
      </w:r>
      <w:r>
        <w:rPr>
          <w:rFonts w:hint="eastAsia" w:ascii="黑体" w:hAnsi="黑体" w:eastAsia="黑体" w:cs="黑体"/>
          <w:sz w:val="32"/>
          <w:szCs w:val="32"/>
        </w:rPr>
        <w:t>预算</w:t>
      </w:r>
      <w:r>
        <w:rPr>
          <w:rFonts w:hint="eastAsia" w:ascii="黑体" w:hAnsi="黑体" w:eastAsia="黑体" w:cs="黑体"/>
          <w:sz w:val="32"/>
          <w:szCs w:val="32"/>
          <w:lang w:eastAsia="zh-CN"/>
        </w:rPr>
        <w:t>安排</w:t>
      </w:r>
      <w:r>
        <w:rPr>
          <w:rFonts w:hint="eastAsia" w:ascii="黑体" w:hAnsi="黑体" w:eastAsia="黑体" w:cs="黑体"/>
          <w:sz w:val="32"/>
          <w:szCs w:val="32"/>
        </w:rPr>
        <w:t>情况</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按照现行政府采购管理规定，</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部门预算中纳入政府采购预算支出合计</w:t>
      </w:r>
      <w:r>
        <w:rPr>
          <w:rFonts w:hint="eastAsia" w:ascii="仿宋_GB2312" w:hAnsi="仿宋_GB2312" w:eastAsia="仿宋_GB2312" w:cs="仿宋_GB2312"/>
          <w:sz w:val="32"/>
          <w:szCs w:val="32"/>
          <w:lang w:val="en-US" w:eastAsia="zh-CN"/>
        </w:rPr>
        <w:t>158.52</w:t>
      </w:r>
      <w:r>
        <w:rPr>
          <w:rFonts w:hint="eastAsia" w:ascii="仿宋_GB2312" w:hAnsi="仿宋_GB2312" w:eastAsia="仿宋_GB2312" w:cs="仿宋_GB2312"/>
          <w:sz w:val="32"/>
          <w:szCs w:val="32"/>
        </w:rPr>
        <w:t>万元。包括：</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1.货物类</w:t>
      </w:r>
      <w:r>
        <w:rPr>
          <w:rFonts w:hint="eastAsia" w:ascii="仿宋_GB2312" w:hAnsi="仿宋_GB2312" w:eastAsia="仿宋_GB2312" w:cs="仿宋_GB2312"/>
          <w:sz w:val="32"/>
          <w:szCs w:val="32"/>
          <w:lang w:val="en-US" w:eastAsia="zh-CN"/>
        </w:rPr>
        <w:t>158.52</w:t>
      </w:r>
      <w:r>
        <w:rPr>
          <w:rFonts w:hint="eastAsia" w:ascii="仿宋_GB2312" w:hAnsi="仿宋_GB2312" w:eastAsia="仿宋_GB2312" w:cs="仿宋_GB2312"/>
          <w:sz w:val="32"/>
          <w:szCs w:val="32"/>
        </w:rPr>
        <w:t>万元。主要包括印刷费、</w:t>
      </w:r>
      <w:r>
        <w:rPr>
          <w:rFonts w:hint="eastAsia" w:ascii="仿宋_GB2312" w:hAnsi="仿宋_GB2312" w:eastAsia="仿宋_GB2312" w:cs="仿宋_GB2312"/>
          <w:sz w:val="32"/>
          <w:szCs w:val="32"/>
          <w:lang w:eastAsia="zh-CN"/>
        </w:rPr>
        <w:t>汽油、电动自行车、农林牧渔专用仪器、碎纸机等</w:t>
      </w:r>
      <w:r>
        <w:rPr>
          <w:rFonts w:hint="eastAsia" w:ascii="仿宋_GB2312" w:hAnsi="仿宋_GB2312" w:eastAsia="仿宋_GB2312" w:cs="仿宋_GB2312"/>
          <w:sz w:val="32"/>
          <w:szCs w:val="32"/>
        </w:rPr>
        <w:t>。</w:t>
      </w:r>
    </w:p>
    <w:p>
      <w:pPr>
        <w:spacing w:line="6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2.服务类</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spacing w:line="6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七、</w:t>
      </w:r>
      <w:r>
        <w:rPr>
          <w:rFonts w:hint="eastAsia" w:ascii="黑体" w:hAnsi="黑体" w:eastAsia="黑体" w:cs="黑体"/>
          <w:sz w:val="32"/>
          <w:szCs w:val="32"/>
          <w:lang w:eastAsia="zh-CN"/>
        </w:rPr>
        <w:t>国有资产占有使用情况</w:t>
      </w:r>
    </w:p>
    <w:p>
      <w:pPr>
        <w:pStyle w:val="15"/>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_GB2312" w:eastAsia="仿宋_GB2312"/>
          <w:szCs w:val="32"/>
        </w:rPr>
      </w:pPr>
      <w:r>
        <w:rPr>
          <w:rFonts w:hint="eastAsia" w:ascii="仿宋_GB2312" w:eastAsia="仿宋_GB2312"/>
          <w:szCs w:val="32"/>
        </w:rPr>
        <w:t>部门共有车辆</w:t>
      </w:r>
      <w:r>
        <w:rPr>
          <w:rFonts w:hint="eastAsia" w:ascii="仿宋_GB2312" w:eastAsia="仿宋_GB2312"/>
          <w:szCs w:val="32"/>
          <w:lang w:val="en-US" w:eastAsia="zh-CN"/>
        </w:rPr>
        <w:t>10</w:t>
      </w:r>
      <w:r>
        <w:rPr>
          <w:rFonts w:hint="eastAsia" w:ascii="仿宋_GB2312" w:eastAsia="仿宋_GB2312"/>
          <w:szCs w:val="32"/>
        </w:rPr>
        <w:t xml:space="preserve">辆，其中，副省级及以上领导干部用车 </w:t>
      </w:r>
      <w:r>
        <w:rPr>
          <w:rFonts w:hint="eastAsia" w:ascii="仿宋_GB2312" w:eastAsia="仿宋_GB2312"/>
          <w:szCs w:val="32"/>
          <w:lang w:val="en-US" w:eastAsia="zh-CN"/>
        </w:rPr>
        <w:t>0</w:t>
      </w:r>
      <w:r>
        <w:rPr>
          <w:rFonts w:hint="eastAsia" w:ascii="仿宋_GB2312" w:eastAsia="仿宋_GB2312"/>
          <w:szCs w:val="32"/>
        </w:rPr>
        <w:t xml:space="preserve"> 辆、主要领导干部用车</w:t>
      </w:r>
      <w:r>
        <w:rPr>
          <w:rFonts w:hint="eastAsia" w:ascii="仿宋_GB2312" w:eastAsia="仿宋_GB2312"/>
          <w:szCs w:val="32"/>
          <w:lang w:val="en-US" w:eastAsia="zh-CN"/>
        </w:rPr>
        <w:t>0</w:t>
      </w:r>
      <w:r>
        <w:rPr>
          <w:rFonts w:hint="eastAsia" w:ascii="仿宋_GB2312" w:eastAsia="仿宋_GB2312"/>
          <w:szCs w:val="32"/>
        </w:rPr>
        <w:t xml:space="preserve"> 辆、机要通信用车</w:t>
      </w:r>
      <w:r>
        <w:rPr>
          <w:rFonts w:hint="eastAsia" w:ascii="仿宋_GB2312" w:eastAsia="仿宋_GB2312"/>
          <w:szCs w:val="32"/>
          <w:lang w:val="en-US" w:eastAsia="zh-CN"/>
        </w:rPr>
        <w:t>2</w:t>
      </w:r>
      <w:r>
        <w:rPr>
          <w:rFonts w:hint="eastAsia" w:ascii="仿宋_GB2312" w:eastAsia="仿宋_GB2312"/>
          <w:szCs w:val="32"/>
        </w:rPr>
        <w:t xml:space="preserve"> 辆、应急保障用车</w:t>
      </w:r>
      <w:r>
        <w:rPr>
          <w:rFonts w:hint="eastAsia" w:ascii="仿宋_GB2312" w:eastAsia="仿宋_GB2312"/>
          <w:szCs w:val="32"/>
          <w:lang w:val="en-US" w:eastAsia="zh-CN"/>
        </w:rPr>
        <w:t>3</w:t>
      </w:r>
      <w:r>
        <w:rPr>
          <w:rFonts w:hint="eastAsia" w:ascii="仿宋_GB2312" w:eastAsia="仿宋_GB2312"/>
          <w:szCs w:val="32"/>
        </w:rPr>
        <w:t xml:space="preserve">辆、执法执勤用车 </w:t>
      </w:r>
      <w:r>
        <w:rPr>
          <w:rFonts w:hint="eastAsia" w:ascii="仿宋_GB2312" w:eastAsia="仿宋_GB2312"/>
          <w:szCs w:val="32"/>
          <w:lang w:val="en-US" w:eastAsia="zh-CN"/>
        </w:rPr>
        <w:t>3</w:t>
      </w:r>
      <w:r>
        <w:rPr>
          <w:rFonts w:hint="eastAsia" w:ascii="仿宋_GB2312" w:eastAsia="仿宋_GB2312"/>
          <w:szCs w:val="32"/>
        </w:rPr>
        <w:t>辆、特种专业技术用车</w:t>
      </w:r>
      <w:r>
        <w:rPr>
          <w:rFonts w:hint="eastAsia" w:ascii="仿宋_GB2312" w:eastAsia="仿宋_GB2312"/>
          <w:szCs w:val="32"/>
          <w:lang w:val="en-US" w:eastAsia="zh-CN"/>
        </w:rPr>
        <w:t>2</w:t>
      </w:r>
      <w:r>
        <w:rPr>
          <w:rFonts w:hint="eastAsia" w:ascii="仿宋_GB2312" w:eastAsia="仿宋_GB2312"/>
          <w:szCs w:val="32"/>
        </w:rPr>
        <w:t>辆、其他用车</w:t>
      </w:r>
      <w:r>
        <w:rPr>
          <w:rFonts w:hint="eastAsia" w:ascii="仿宋_GB2312" w:eastAsia="仿宋_GB2312"/>
          <w:szCs w:val="32"/>
          <w:lang w:val="en-US" w:eastAsia="zh-CN"/>
        </w:rPr>
        <w:t>0</w:t>
      </w:r>
      <w:r>
        <w:rPr>
          <w:rFonts w:hint="eastAsia" w:ascii="仿宋_GB2312" w:eastAsia="仿宋_GB2312"/>
          <w:szCs w:val="32"/>
        </w:rPr>
        <w:t xml:space="preserve">辆；单位价值50 万元以上通用设备 </w:t>
      </w:r>
      <w:r>
        <w:rPr>
          <w:rFonts w:hint="eastAsia" w:ascii="仿宋_GB2312" w:eastAsia="仿宋_GB2312"/>
          <w:szCs w:val="32"/>
          <w:lang w:val="en-US" w:eastAsia="zh-CN"/>
        </w:rPr>
        <w:t>0</w:t>
      </w:r>
      <w:r>
        <w:rPr>
          <w:rFonts w:hint="eastAsia" w:ascii="仿宋_GB2312" w:eastAsia="仿宋_GB2312"/>
          <w:szCs w:val="32"/>
        </w:rPr>
        <w:t xml:space="preserve"> 台（套）；单位价值 100 万元以上专用设备 </w:t>
      </w:r>
      <w:r>
        <w:rPr>
          <w:rFonts w:hint="eastAsia" w:ascii="仿宋_GB2312" w:eastAsia="仿宋_GB2312"/>
          <w:szCs w:val="32"/>
          <w:lang w:val="en-US" w:eastAsia="zh-CN"/>
        </w:rPr>
        <w:t>1</w:t>
      </w:r>
      <w:r>
        <w:rPr>
          <w:rFonts w:hint="eastAsia" w:ascii="仿宋_GB2312" w:eastAsia="仿宋_GB2312"/>
          <w:szCs w:val="32"/>
        </w:rPr>
        <w:t>台（套）。</w:t>
      </w:r>
    </w:p>
    <w:p>
      <w:pPr>
        <w:pStyle w:val="15"/>
        <w:keepNext w:val="0"/>
        <w:keepLines w:val="0"/>
        <w:pageBreakBefore w:val="0"/>
        <w:kinsoku/>
        <w:wordWrap/>
        <w:overflowPunct/>
        <w:topLinePunct w:val="0"/>
        <w:autoSpaceDE/>
        <w:autoSpaceDN/>
        <w:bidi w:val="0"/>
        <w:adjustRightInd/>
        <w:spacing w:line="600" w:lineRule="exact"/>
        <w:ind w:firstLine="640" w:firstLineChars="200"/>
        <w:jc w:val="both"/>
        <w:textAlignment w:val="auto"/>
      </w:pPr>
      <w:r>
        <w:rPr>
          <w:rFonts w:hint="eastAsia" w:ascii="仿宋_GB2312" w:eastAsia="仿宋_GB2312"/>
          <w:szCs w:val="32"/>
          <w:lang w:eastAsia="zh-CN"/>
        </w:rPr>
        <w:t>部门共有房屋</w:t>
      </w:r>
      <w:r>
        <w:rPr>
          <w:rFonts w:hint="eastAsia" w:ascii="仿宋_GB2312" w:eastAsia="仿宋_GB2312"/>
          <w:szCs w:val="32"/>
          <w:lang w:val="en-US" w:eastAsia="zh-CN"/>
        </w:rPr>
        <w:t>11795.8平方米，其中办公用房1783平方米，业务用房10012.8平方米。</w:t>
      </w:r>
    </w:p>
    <w:p>
      <w:pPr>
        <w:numPr>
          <w:ilvl w:val="0"/>
          <w:numId w:val="0"/>
        </w:numPr>
        <w:spacing w:line="6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八、重点项目预算绩效情况</w:t>
      </w:r>
    </w:p>
    <w:p>
      <w:pPr>
        <w:numPr>
          <w:ilvl w:val="0"/>
          <w:numId w:val="0"/>
        </w:numPr>
        <w:spacing w:line="6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部门项目均实行绩效目标管理，涉及一般公共预算当年财政拨款</w:t>
      </w:r>
      <w:r>
        <w:rPr>
          <w:rFonts w:hint="eastAsia" w:ascii="仿宋_GB2312" w:hAnsi="仿宋_GB2312" w:eastAsia="仿宋_GB2312" w:cs="仿宋_GB2312"/>
          <w:sz w:val="32"/>
          <w:szCs w:val="32"/>
          <w:lang w:val="en-US" w:eastAsia="zh-CN"/>
        </w:rPr>
        <w:t>3797.89</w:t>
      </w:r>
      <w:r>
        <w:rPr>
          <w:rFonts w:hint="eastAsia" w:ascii="仿宋_GB2312" w:hAnsi="仿宋_GB2312" w:eastAsia="仿宋_GB2312" w:cs="仿宋_GB2312"/>
          <w:sz w:val="32"/>
          <w:szCs w:val="32"/>
        </w:rPr>
        <w:t>万元，上年专项结转</w:t>
      </w:r>
      <w:r>
        <w:rPr>
          <w:rFonts w:hint="eastAsia" w:ascii="仿宋_GB2312" w:hAnsi="仿宋_GB2312" w:eastAsia="仿宋_GB2312" w:cs="仿宋_GB2312"/>
          <w:sz w:val="32"/>
          <w:szCs w:val="32"/>
          <w:lang w:val="en-US" w:eastAsia="zh-CN"/>
        </w:rPr>
        <w:t>1738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，单位往来资金</w:t>
      </w:r>
      <w:r>
        <w:rPr>
          <w:rFonts w:hint="eastAsia" w:ascii="仿宋_GB2312" w:hAnsi="仿宋_GB2312" w:eastAsia="仿宋_GB2312" w:cs="仿宋_GB2312"/>
          <w:sz w:val="32"/>
          <w:szCs w:val="32"/>
          <w:lang w:val="en-US" w:eastAsia="zh-CN"/>
        </w:rPr>
        <w:t>164.5万元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重点项目如下：</w:t>
      </w:r>
    </w:p>
    <w:p>
      <w:pPr>
        <w:pStyle w:val="6"/>
        <w:numPr>
          <w:ilvl w:val="0"/>
          <w:numId w:val="0"/>
        </w:numPr>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1.</w:t>
      </w:r>
      <w:r>
        <w:rPr>
          <w:rFonts w:hint="eastAsia" w:ascii="仿宋_GB2312" w:hAnsi="仿宋_GB2312" w:eastAsia="仿宋_GB2312" w:cs="仿宋_GB2312"/>
          <w:sz w:val="32"/>
          <w:szCs w:val="32"/>
        </w:rPr>
        <w:t>全省第三次土壤普查鄂州市工作经费</w:t>
      </w:r>
      <w:r>
        <w:rPr>
          <w:rFonts w:hint="eastAsia" w:hAnsi="仿宋_GB2312" w:cs="仿宋_GB2312"/>
          <w:sz w:val="32"/>
          <w:szCs w:val="32"/>
          <w:lang w:val="en-US" w:eastAsia="zh-CN"/>
        </w:rPr>
        <w:t>534万，主要用于样点校核、表层样点调查采样、剖面样点调查采样、样品制备和化验、数据汇总建库、土壤样品库建设、土壤信息平台建设、土壤制图等费用的支出。</w:t>
      </w:r>
    </w:p>
    <w:p>
      <w:pPr>
        <w:pStyle w:val="6"/>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项目绩效目标是：鄂州市第三次土壤普查工作顺利实施，稳步推进，全市范围内土壤普查工作有序开展，进度符合省级要求。</w:t>
      </w:r>
    </w:p>
    <w:p>
      <w:pPr>
        <w:pStyle w:val="6"/>
        <w:numPr>
          <w:ilvl w:val="0"/>
          <w:numId w:val="0"/>
        </w:numPr>
        <w:ind w:firstLine="640" w:firstLineChars="200"/>
        <w:rPr>
          <w:rFonts w:hint="eastAsia"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项目绩效指标：包括</w:t>
      </w:r>
      <w:r>
        <w:rPr>
          <w:rFonts w:hint="eastAsia" w:hAnsi="仿宋_GB2312" w:cs="仿宋_GB2312"/>
          <w:color w:val="auto"/>
          <w:sz w:val="32"/>
          <w:szCs w:val="32"/>
          <w:lang w:val="en-US" w:eastAsia="zh-CN"/>
        </w:rPr>
        <w:t>数量</w:t>
      </w:r>
      <w:r>
        <w:rPr>
          <w:rFonts w:hint="eastAsia" w:ascii="仿宋_GB2312" w:hAnsi="仿宋_GB2312" w:eastAsia="仿宋_GB2312" w:cs="仿宋_GB2312"/>
          <w:color w:val="auto"/>
          <w:sz w:val="32"/>
          <w:szCs w:val="32"/>
          <w:lang w:val="en-US" w:eastAsia="zh-CN"/>
        </w:rPr>
        <w:t>指标</w:t>
      </w:r>
      <w:r>
        <w:rPr>
          <w:rFonts w:hint="eastAsia" w:hAnsi="仿宋_GB2312" w:cs="仿宋_GB2312"/>
          <w:color w:val="auto"/>
          <w:sz w:val="32"/>
          <w:szCs w:val="32"/>
          <w:lang w:val="en-US" w:eastAsia="zh-CN"/>
        </w:rPr>
        <w:t>、质量指标、</w:t>
      </w:r>
      <w:r>
        <w:rPr>
          <w:rFonts w:hint="eastAsia" w:ascii="仿宋_GB2312" w:hAnsi="仿宋_GB2312" w:eastAsia="仿宋_GB2312" w:cs="仿宋_GB2312"/>
          <w:color w:val="auto"/>
          <w:sz w:val="32"/>
          <w:szCs w:val="32"/>
          <w:lang w:val="en-US" w:eastAsia="zh-CN"/>
        </w:rPr>
        <w:t>效益指标</w:t>
      </w:r>
      <w:r>
        <w:rPr>
          <w:rFonts w:hint="eastAsia" w:hAnsi="仿宋_GB2312" w:cs="仿宋_GB2312"/>
          <w:color w:val="auto"/>
          <w:sz w:val="32"/>
          <w:szCs w:val="32"/>
          <w:lang w:val="en-US" w:eastAsia="zh-CN"/>
        </w:rPr>
        <w:t>和群众满意度指标等</w:t>
      </w:r>
      <w:r>
        <w:rPr>
          <w:rFonts w:hint="eastAsia" w:ascii="仿宋_GB2312" w:hAnsi="仿宋_GB2312" w:eastAsia="仿宋_GB2312" w:cs="仿宋_GB2312"/>
          <w:color w:val="auto"/>
          <w:sz w:val="32"/>
          <w:szCs w:val="32"/>
          <w:lang w:val="en-US" w:eastAsia="zh-CN"/>
        </w:rPr>
        <w:t>。</w:t>
      </w:r>
      <w:r>
        <w:rPr>
          <w:rFonts w:hint="eastAsia" w:hAnsi="仿宋_GB2312" w:cs="仿宋_GB2312"/>
          <w:color w:val="auto"/>
          <w:sz w:val="32"/>
          <w:szCs w:val="32"/>
          <w:lang w:val="en-US" w:eastAsia="zh-CN"/>
        </w:rPr>
        <w:t>其中：数量</w:t>
      </w:r>
      <w:r>
        <w:rPr>
          <w:rFonts w:hint="eastAsia" w:ascii="仿宋_GB2312" w:hAnsi="仿宋_GB2312" w:eastAsia="仿宋_GB2312" w:cs="仿宋_GB2312"/>
          <w:color w:val="auto"/>
          <w:sz w:val="32"/>
          <w:szCs w:val="32"/>
          <w:lang w:val="en-US" w:eastAsia="zh-CN"/>
        </w:rPr>
        <w:t>指标</w:t>
      </w:r>
      <w:r>
        <w:rPr>
          <w:rFonts w:hint="eastAsia" w:hAnsi="仿宋_GB2312" w:cs="仿宋_GB2312"/>
          <w:color w:val="auto"/>
          <w:sz w:val="32"/>
          <w:szCs w:val="32"/>
          <w:lang w:val="en-US" w:eastAsia="zh-CN"/>
        </w:rPr>
        <w:t>是</w:t>
      </w:r>
      <w:r>
        <w:rPr>
          <w:rFonts w:hint="eastAsia" w:ascii="仿宋_GB2312" w:hAnsi="仿宋_GB2312" w:eastAsia="仿宋_GB2312" w:cs="仿宋_GB2312"/>
          <w:color w:val="auto"/>
          <w:sz w:val="32"/>
          <w:szCs w:val="32"/>
          <w:lang w:val="en-US" w:eastAsia="zh-CN"/>
        </w:rPr>
        <w:t>搜集和整理普查基础数据资料</w:t>
      </w:r>
      <w:r>
        <w:rPr>
          <w:rFonts w:hint="eastAsia" w:hAnsi="仿宋_GB2312" w:cs="仿宋_GB2312"/>
          <w:color w:val="auto"/>
          <w:sz w:val="32"/>
          <w:szCs w:val="32"/>
          <w:lang w:val="en-US" w:eastAsia="zh-CN"/>
        </w:rPr>
        <w:t>大于市定任务项数，配合省级开展外 业现场监督检查2次，进各县内外业分析 检测任务整体进度2次等。质量指标是达到行业标准。经济</w:t>
      </w:r>
      <w:r>
        <w:rPr>
          <w:rFonts w:hint="eastAsia" w:ascii="仿宋_GB2312" w:hAnsi="仿宋_GB2312" w:eastAsia="仿宋_GB2312" w:cs="仿宋_GB2312"/>
          <w:color w:val="auto"/>
          <w:sz w:val="32"/>
          <w:szCs w:val="32"/>
          <w:lang w:val="en-US" w:eastAsia="zh-CN"/>
        </w:rPr>
        <w:t>效益指标</w:t>
      </w:r>
      <w:r>
        <w:rPr>
          <w:rFonts w:hint="eastAsia" w:hAnsi="仿宋_GB2312" w:cs="仿宋_GB2312"/>
          <w:color w:val="auto"/>
          <w:sz w:val="32"/>
          <w:szCs w:val="32"/>
          <w:lang w:val="en-US" w:eastAsia="zh-CN"/>
        </w:rPr>
        <w:t>是保障广大农民增收。群众满意度指标达到是95%以上群众满意。</w:t>
      </w:r>
    </w:p>
    <w:p>
      <w:pPr>
        <w:pStyle w:val="6"/>
        <w:numPr>
          <w:ilvl w:val="0"/>
          <w:numId w:val="0"/>
        </w:numPr>
        <w:ind w:firstLine="640" w:firstLineChars="200"/>
        <w:rPr>
          <w:rFonts w:hint="eastAsia" w:hAnsi="仿宋_GB2312" w:cs="仿宋_GB2312"/>
          <w:sz w:val="32"/>
          <w:szCs w:val="32"/>
          <w:lang w:val="en-US" w:eastAsia="zh-CN"/>
        </w:rPr>
      </w:pPr>
      <w:r>
        <w:rPr>
          <w:rFonts w:hint="eastAsia" w:hAnsi="仿宋_GB2312" w:cs="仿宋_GB2312"/>
          <w:color w:val="auto"/>
          <w:sz w:val="32"/>
          <w:szCs w:val="32"/>
          <w:lang w:val="en-US" w:eastAsia="zh-CN"/>
        </w:rPr>
        <w:t>2.武昌鱼产业链建设与品牌振兴项目预算金额为300万，</w:t>
      </w:r>
      <w:r>
        <w:rPr>
          <w:rFonts w:hint="eastAsia" w:hAnsi="仿宋_GB2312" w:cs="仿宋_GB2312"/>
          <w:sz w:val="32"/>
          <w:szCs w:val="32"/>
          <w:lang w:val="en-US" w:eastAsia="zh-CN"/>
        </w:rPr>
        <w:t>主要用于鄂州武昌鱼原种场提档升级，鄂州武昌鱼原种场专项设备更换，武昌鱼品牌宣传，在鄂城区、华容区、梁子湖区三区选址建设含武昌鱼示范基地等支出。</w:t>
      </w:r>
    </w:p>
    <w:p>
      <w:pPr>
        <w:pStyle w:val="6"/>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绩效目标是完成鄂州武昌鱼原种场功能的提升改造工程，顺利开展原产地种质资源保护及研究工作，大大增强原种厂的环境形象升级。顺利通过法律途径保护武昌鱼品牌，厘清武昌鱼品牌关系；武昌鱼品牌宣传工作进入正轨，各类宣传渠道有效畅通；武昌鱼示范养殖基地完成施工建设。</w:t>
      </w:r>
    </w:p>
    <w:p>
      <w:pPr>
        <w:pStyle w:val="6"/>
        <w:numPr>
          <w:ilvl w:val="0"/>
          <w:numId w:val="0"/>
        </w:numPr>
        <w:ind w:firstLine="640" w:firstLineChars="200"/>
        <w:rPr>
          <w:rFonts w:hint="eastAsia"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项目绩效指标：包括</w:t>
      </w:r>
      <w:r>
        <w:rPr>
          <w:rFonts w:hint="eastAsia" w:hAnsi="仿宋_GB2312" w:cs="仿宋_GB2312"/>
          <w:color w:val="auto"/>
          <w:sz w:val="32"/>
          <w:szCs w:val="32"/>
          <w:lang w:val="en-US" w:eastAsia="zh-CN"/>
        </w:rPr>
        <w:t>数量</w:t>
      </w:r>
      <w:r>
        <w:rPr>
          <w:rFonts w:hint="eastAsia" w:ascii="仿宋_GB2312" w:hAnsi="仿宋_GB2312" w:eastAsia="仿宋_GB2312" w:cs="仿宋_GB2312"/>
          <w:color w:val="auto"/>
          <w:sz w:val="32"/>
          <w:szCs w:val="32"/>
          <w:lang w:val="en-US" w:eastAsia="zh-CN"/>
        </w:rPr>
        <w:t>指标</w:t>
      </w:r>
      <w:r>
        <w:rPr>
          <w:rFonts w:hint="eastAsia" w:hAnsi="仿宋_GB2312" w:cs="仿宋_GB2312"/>
          <w:color w:val="auto"/>
          <w:sz w:val="32"/>
          <w:szCs w:val="32"/>
          <w:lang w:val="en-US" w:eastAsia="zh-CN"/>
        </w:rPr>
        <w:t>、质量指标、</w:t>
      </w:r>
      <w:r>
        <w:rPr>
          <w:rFonts w:hint="eastAsia" w:ascii="仿宋_GB2312" w:hAnsi="仿宋_GB2312" w:eastAsia="仿宋_GB2312" w:cs="仿宋_GB2312"/>
          <w:color w:val="auto"/>
          <w:sz w:val="32"/>
          <w:szCs w:val="32"/>
          <w:lang w:val="en-US" w:eastAsia="zh-CN"/>
        </w:rPr>
        <w:t>效益指标</w:t>
      </w:r>
      <w:r>
        <w:rPr>
          <w:rFonts w:hint="eastAsia" w:hAnsi="仿宋_GB2312" w:cs="仿宋_GB2312"/>
          <w:color w:val="auto"/>
          <w:sz w:val="32"/>
          <w:szCs w:val="32"/>
          <w:lang w:val="en-US" w:eastAsia="zh-CN"/>
        </w:rPr>
        <w:t>和群众满意度指标等</w:t>
      </w:r>
      <w:r>
        <w:rPr>
          <w:rFonts w:hint="eastAsia" w:ascii="仿宋_GB2312" w:hAnsi="仿宋_GB2312" w:eastAsia="仿宋_GB2312" w:cs="仿宋_GB2312"/>
          <w:color w:val="auto"/>
          <w:sz w:val="32"/>
          <w:szCs w:val="32"/>
          <w:lang w:val="en-US" w:eastAsia="zh-CN"/>
        </w:rPr>
        <w:t>。</w:t>
      </w:r>
      <w:r>
        <w:rPr>
          <w:rFonts w:hint="eastAsia" w:hAnsi="仿宋_GB2312" w:cs="仿宋_GB2312"/>
          <w:color w:val="auto"/>
          <w:sz w:val="32"/>
          <w:szCs w:val="32"/>
          <w:lang w:val="en-US" w:eastAsia="zh-CN"/>
        </w:rPr>
        <w:t>其中：数量</w:t>
      </w:r>
      <w:r>
        <w:rPr>
          <w:rFonts w:hint="eastAsia" w:ascii="仿宋_GB2312" w:hAnsi="仿宋_GB2312" w:eastAsia="仿宋_GB2312" w:cs="仿宋_GB2312"/>
          <w:color w:val="auto"/>
          <w:sz w:val="32"/>
          <w:szCs w:val="32"/>
          <w:lang w:val="en-US" w:eastAsia="zh-CN"/>
        </w:rPr>
        <w:t>指标</w:t>
      </w:r>
      <w:r>
        <w:rPr>
          <w:rFonts w:hint="eastAsia" w:hAnsi="仿宋_GB2312" w:cs="仿宋_GB2312"/>
          <w:color w:val="auto"/>
          <w:sz w:val="32"/>
          <w:szCs w:val="32"/>
          <w:lang w:val="en-US" w:eastAsia="zh-CN"/>
        </w:rPr>
        <w:t>提档升级原种场，更换原种场专项设备40台套等。质量指标是工程合格率达到95%，设备合格率达到100%，示范基地质量达标率达到95%等。经济</w:t>
      </w:r>
      <w:r>
        <w:rPr>
          <w:rFonts w:hint="eastAsia" w:ascii="仿宋_GB2312" w:hAnsi="仿宋_GB2312" w:eastAsia="仿宋_GB2312" w:cs="仿宋_GB2312"/>
          <w:color w:val="auto"/>
          <w:sz w:val="32"/>
          <w:szCs w:val="32"/>
          <w:lang w:val="en-US" w:eastAsia="zh-CN"/>
        </w:rPr>
        <w:t>效益指标</w:t>
      </w:r>
      <w:r>
        <w:rPr>
          <w:rFonts w:hint="eastAsia" w:hAnsi="仿宋_GB2312" w:cs="仿宋_GB2312"/>
          <w:color w:val="auto"/>
          <w:sz w:val="32"/>
          <w:szCs w:val="32"/>
          <w:lang w:val="en-US" w:eastAsia="zh-CN"/>
        </w:rPr>
        <w:t>是武昌鱼品牌保护进度及推广达到100%，保障广大农民增收。群众满意度达到是95%。</w:t>
      </w:r>
    </w:p>
    <w:p>
      <w:pPr>
        <w:pStyle w:val="6"/>
        <w:numPr>
          <w:ilvl w:val="0"/>
          <w:numId w:val="0"/>
        </w:numPr>
        <w:ind w:firstLine="640" w:firstLineChars="200"/>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3.鄂州港城区港区渔政执法码头项目预算金额496万，主要用于趸船、浮趸、钢跳板的建设，工可、航道、海事、环评等专题咨询费用，配套工程（水电等）建设，勘察设计、施工监理费、前期工作费等费用支出。</w:t>
      </w:r>
    </w:p>
    <w:p>
      <w:pPr>
        <w:pStyle w:val="6"/>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绩效目标是有效防范和严厉打击非法捕捞行为，提高鄂州港渔政执法管理水平，总体提升鄂州市渔政指挥、调度、服务及救助能力，充分发挥保护长江生态环境、维护生态平衡的作用，切实巩固和维护鄂州市长江干流禁捕管理秩序，确保长江“十年禁渔”落实落地。</w:t>
      </w:r>
    </w:p>
    <w:p>
      <w:pPr>
        <w:pStyle w:val="6"/>
        <w:numPr>
          <w:ilvl w:val="0"/>
          <w:numId w:val="0"/>
        </w:numPr>
        <w:ind w:firstLine="640" w:firstLineChars="200"/>
        <w:rPr>
          <w:rFonts w:hint="eastAsia"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项目绩效指标：包括</w:t>
      </w:r>
      <w:r>
        <w:rPr>
          <w:rFonts w:hint="eastAsia" w:hAnsi="仿宋_GB2312" w:cs="仿宋_GB2312"/>
          <w:color w:val="auto"/>
          <w:sz w:val="32"/>
          <w:szCs w:val="32"/>
          <w:lang w:val="en-US" w:eastAsia="zh-CN"/>
        </w:rPr>
        <w:t>数量</w:t>
      </w:r>
      <w:r>
        <w:rPr>
          <w:rFonts w:hint="eastAsia" w:ascii="仿宋_GB2312" w:hAnsi="仿宋_GB2312" w:eastAsia="仿宋_GB2312" w:cs="仿宋_GB2312"/>
          <w:color w:val="auto"/>
          <w:sz w:val="32"/>
          <w:szCs w:val="32"/>
          <w:lang w:val="en-US" w:eastAsia="zh-CN"/>
        </w:rPr>
        <w:t>指标</w:t>
      </w:r>
      <w:r>
        <w:rPr>
          <w:rFonts w:hint="eastAsia" w:hAnsi="仿宋_GB2312" w:cs="仿宋_GB2312"/>
          <w:color w:val="auto"/>
          <w:sz w:val="32"/>
          <w:szCs w:val="32"/>
          <w:lang w:val="en-US" w:eastAsia="zh-CN"/>
        </w:rPr>
        <w:t>、质量指标、生态效益指标、和服务对象满意度指标等。其中：数量</w:t>
      </w:r>
      <w:r>
        <w:rPr>
          <w:rFonts w:hint="eastAsia" w:ascii="仿宋_GB2312" w:hAnsi="仿宋_GB2312" w:eastAsia="仿宋_GB2312" w:cs="仿宋_GB2312"/>
          <w:color w:val="auto"/>
          <w:sz w:val="32"/>
          <w:szCs w:val="32"/>
          <w:lang w:val="en-US" w:eastAsia="zh-CN"/>
        </w:rPr>
        <w:t>指标</w:t>
      </w:r>
      <w:r>
        <w:rPr>
          <w:rFonts w:hint="eastAsia" w:hAnsi="仿宋_GB2312" w:cs="仿宋_GB2312"/>
          <w:color w:val="auto"/>
          <w:sz w:val="32"/>
          <w:szCs w:val="32"/>
          <w:lang w:val="en-US" w:eastAsia="zh-CN"/>
        </w:rPr>
        <w:t>是建设渔政趸船1座。质量指标是趸船建设实施过程中，按要求保证质量，验收合格率100%。生态效益指标是长江流域渔业资源得到有效保护。服务对象满意度指标是渔政执法船艇有固定停靠点，为长江禁捕执法提供水上基地，满意度为100%。</w:t>
      </w:r>
    </w:p>
    <w:p>
      <w:pPr>
        <w:pStyle w:val="6"/>
        <w:numPr>
          <w:ilvl w:val="0"/>
          <w:numId w:val="0"/>
        </w:numPr>
        <w:ind w:firstLine="640" w:firstLineChars="200"/>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4.鄂州市陆生动物疫病病原学监测区域中心建设项目预算金额为313万，主要用于实验室升级改造及仪器设备的购置。</w:t>
      </w:r>
    </w:p>
    <w:p>
      <w:pPr>
        <w:pStyle w:val="6"/>
        <w:numPr>
          <w:ilvl w:val="0"/>
          <w:numId w:val="0"/>
        </w:numPr>
        <w:ind w:firstLine="640" w:firstLineChars="200"/>
        <w:rPr>
          <w:rFonts w:hint="eastAsia"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项目绩效目标是</w:t>
      </w:r>
      <w:r>
        <w:rPr>
          <w:rFonts w:hint="eastAsia" w:hAnsi="仿宋_GB2312" w:cs="仿宋_GB2312"/>
          <w:color w:val="auto"/>
          <w:sz w:val="32"/>
          <w:szCs w:val="32"/>
          <w:lang w:val="en-US" w:eastAsia="zh-CN"/>
        </w:rPr>
        <w:t>达到市级实验室的建设要求，使其具备病原学检测等辅助功能，负责重大动物疫病防控、检测、流行病学调查、动物疫病预警、血吸虫查治等工作。</w:t>
      </w:r>
    </w:p>
    <w:p>
      <w:pPr>
        <w:pStyle w:val="6"/>
        <w:numPr>
          <w:ilvl w:val="0"/>
          <w:numId w:val="0"/>
        </w:numPr>
        <w:ind w:firstLine="640" w:firstLineChars="200"/>
        <w:rPr>
          <w:rFonts w:hint="eastAsia"/>
          <w:lang w:val="en-US" w:eastAsia="zh-CN"/>
        </w:rPr>
      </w:pPr>
      <w:r>
        <w:rPr>
          <w:rFonts w:hint="eastAsia" w:ascii="仿宋_GB2312" w:hAnsi="仿宋_GB2312" w:eastAsia="仿宋_GB2312" w:cs="仿宋_GB2312"/>
          <w:color w:val="auto"/>
          <w:sz w:val="32"/>
          <w:szCs w:val="32"/>
          <w:lang w:val="en-US" w:eastAsia="zh-CN"/>
        </w:rPr>
        <w:t>项目绩效指标：包括</w:t>
      </w:r>
      <w:r>
        <w:rPr>
          <w:rFonts w:hint="eastAsia" w:hAnsi="仿宋_GB2312" w:cs="仿宋_GB2312"/>
          <w:color w:val="auto"/>
          <w:sz w:val="32"/>
          <w:szCs w:val="32"/>
          <w:lang w:val="en-US" w:eastAsia="zh-CN"/>
        </w:rPr>
        <w:t>数量</w:t>
      </w:r>
      <w:r>
        <w:rPr>
          <w:rFonts w:hint="eastAsia" w:ascii="仿宋_GB2312" w:hAnsi="仿宋_GB2312" w:eastAsia="仿宋_GB2312" w:cs="仿宋_GB2312"/>
          <w:color w:val="auto"/>
          <w:sz w:val="32"/>
          <w:szCs w:val="32"/>
          <w:lang w:val="en-US" w:eastAsia="zh-CN"/>
        </w:rPr>
        <w:t>指标</w:t>
      </w:r>
      <w:r>
        <w:rPr>
          <w:rFonts w:hint="eastAsia" w:hAnsi="仿宋_GB2312" w:cs="仿宋_GB2312"/>
          <w:color w:val="auto"/>
          <w:sz w:val="32"/>
          <w:szCs w:val="32"/>
          <w:lang w:val="en-US" w:eastAsia="zh-CN"/>
        </w:rPr>
        <w:t>、质量指标、时效指标、和服务对象满意度指标等。其中：数量</w:t>
      </w:r>
      <w:r>
        <w:rPr>
          <w:rFonts w:hint="eastAsia" w:ascii="仿宋_GB2312" w:hAnsi="仿宋_GB2312" w:eastAsia="仿宋_GB2312" w:cs="仿宋_GB2312"/>
          <w:color w:val="auto"/>
          <w:sz w:val="32"/>
          <w:szCs w:val="32"/>
          <w:lang w:val="en-US" w:eastAsia="zh-CN"/>
        </w:rPr>
        <w:t>指标</w:t>
      </w:r>
      <w:r>
        <w:rPr>
          <w:rFonts w:hint="eastAsia" w:hAnsi="仿宋_GB2312" w:cs="仿宋_GB2312"/>
          <w:color w:val="auto"/>
          <w:sz w:val="32"/>
          <w:szCs w:val="32"/>
          <w:lang w:val="en-US" w:eastAsia="zh-CN"/>
        </w:rPr>
        <w:t>是100%完成实验室升级改造及仪器设备的购置。质量指标是按实验室改造保证质量，100%达标，仪器设备验收合格率100%。时效指标是按照计划完成。服务对象满意度达到95%。</w:t>
      </w:r>
    </w:p>
    <w:p>
      <w:pPr>
        <w:numPr>
          <w:ilvl w:val="0"/>
          <w:numId w:val="3"/>
        </w:numPr>
        <w:spacing w:line="6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其他需要说明的情况</w:t>
      </w:r>
    </w:p>
    <w:p>
      <w:pPr>
        <w:pStyle w:val="6"/>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2023年无政府性基金预算财政拨款支出。</w:t>
      </w:r>
    </w:p>
    <w:p>
      <w:pPr>
        <w:numPr>
          <w:ilvl w:val="0"/>
          <w:numId w:val="3"/>
        </w:numPr>
        <w:spacing w:line="6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专业名词解释</w:t>
      </w:r>
    </w:p>
    <w:p>
      <w:pPr>
        <w:spacing w:line="6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1.财政拨款（补助）收入：指市级财政预算安排且当年拨付的资金。</w:t>
      </w:r>
    </w:p>
    <w:p>
      <w:pPr>
        <w:spacing w:line="6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2.社会保障和就业：包括社会保障和就业管理事务、行政事业单位离退休、企业改革补助、就业补助、抚恤、退役安置、社会福利、残疾人事务、城市居民最低生活保障、其他城镇社会救济、农村社会救济等。</w:t>
      </w:r>
    </w:p>
    <w:p>
      <w:pPr>
        <w:spacing w:line="6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3.行政事业单位离退休：反映用于行政事业单位离退休方面的支出。</w:t>
      </w:r>
    </w:p>
    <w:p>
      <w:pPr>
        <w:spacing w:line="6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4.医疗卫生：反映医疗卫生方面的支出。具体包括医疗卫生管理事务支出、公立医院、基层医疗卫生机构支出、公共卫生、医疗保障、中医药、食品和药品监督管理事务等。</w:t>
      </w:r>
    </w:p>
    <w:p>
      <w:pPr>
        <w:spacing w:line="6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5.基本支出：指为保障机构正常运转、完成日常工作任务而发生的人员支出（包括基本工资、津贴补贴等）和公用支出（包括办公费、水电费、邮电费、交通费、会议费、培训费、差旅费等）。</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6.项目支出：指在基本支出之外为完成特定行政任务和事业发展目标所发生的支出。</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2FA75"/>
    <w:multiLevelType w:val="singleLevel"/>
    <w:tmpl w:val="C8C2FA75"/>
    <w:lvl w:ilvl="0" w:tentative="0">
      <w:start w:val="1"/>
      <w:numFmt w:val="chineseCounting"/>
      <w:suff w:val="nothing"/>
      <w:lvlText w:val="（%1）"/>
      <w:lvlJc w:val="left"/>
      <w:rPr>
        <w:rFonts w:hint="eastAsia"/>
      </w:rPr>
    </w:lvl>
  </w:abstractNum>
  <w:abstractNum w:abstractNumId="1">
    <w:nsid w:val="F8A8CAB9"/>
    <w:multiLevelType w:val="singleLevel"/>
    <w:tmpl w:val="F8A8CAB9"/>
    <w:lvl w:ilvl="0" w:tentative="0">
      <w:start w:val="9"/>
      <w:numFmt w:val="chineseCounting"/>
      <w:suff w:val="nothing"/>
      <w:lvlText w:val="%1、"/>
      <w:lvlJc w:val="left"/>
      <w:rPr>
        <w:rFonts w:hint="eastAsia"/>
      </w:rPr>
    </w:lvl>
  </w:abstractNum>
  <w:abstractNum w:abstractNumId="2">
    <w:nsid w:val="45041FB4"/>
    <w:multiLevelType w:val="singleLevel"/>
    <w:tmpl w:val="45041FB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ZDRhZTU5NmRkNWM0OGVhOTFjNTk1YmNmOGNkZTQifQ=="/>
  </w:docVars>
  <w:rsids>
    <w:rsidRoot w:val="000959A3"/>
    <w:rsid w:val="000054F5"/>
    <w:rsid w:val="00005E3B"/>
    <w:rsid w:val="0000744D"/>
    <w:rsid w:val="0002248B"/>
    <w:rsid w:val="00033519"/>
    <w:rsid w:val="0003389B"/>
    <w:rsid w:val="00064D9A"/>
    <w:rsid w:val="000768F5"/>
    <w:rsid w:val="00083585"/>
    <w:rsid w:val="00083A07"/>
    <w:rsid w:val="00090AA7"/>
    <w:rsid w:val="00094476"/>
    <w:rsid w:val="000959A3"/>
    <w:rsid w:val="000B0357"/>
    <w:rsid w:val="000D2068"/>
    <w:rsid w:val="000D7428"/>
    <w:rsid w:val="000D79EE"/>
    <w:rsid w:val="000E4D1A"/>
    <w:rsid w:val="000E7F66"/>
    <w:rsid w:val="001060B8"/>
    <w:rsid w:val="00111699"/>
    <w:rsid w:val="001159AC"/>
    <w:rsid w:val="0012338B"/>
    <w:rsid w:val="00134DF8"/>
    <w:rsid w:val="00160139"/>
    <w:rsid w:val="0016440C"/>
    <w:rsid w:val="001712DA"/>
    <w:rsid w:val="00182DD7"/>
    <w:rsid w:val="001A763F"/>
    <w:rsid w:val="001B557E"/>
    <w:rsid w:val="001E32FA"/>
    <w:rsid w:val="001E5720"/>
    <w:rsid w:val="001F501F"/>
    <w:rsid w:val="00242BC1"/>
    <w:rsid w:val="002456FF"/>
    <w:rsid w:val="002626C6"/>
    <w:rsid w:val="002A4046"/>
    <w:rsid w:val="002B24A5"/>
    <w:rsid w:val="002C4C3B"/>
    <w:rsid w:val="002E1296"/>
    <w:rsid w:val="00304315"/>
    <w:rsid w:val="003138D4"/>
    <w:rsid w:val="00331839"/>
    <w:rsid w:val="00336E00"/>
    <w:rsid w:val="00344F86"/>
    <w:rsid w:val="00372EA6"/>
    <w:rsid w:val="003A1DDC"/>
    <w:rsid w:val="003B40C6"/>
    <w:rsid w:val="003B750C"/>
    <w:rsid w:val="003C4CB0"/>
    <w:rsid w:val="003D1557"/>
    <w:rsid w:val="003F714F"/>
    <w:rsid w:val="00406659"/>
    <w:rsid w:val="004335FD"/>
    <w:rsid w:val="00461C2D"/>
    <w:rsid w:val="0046340C"/>
    <w:rsid w:val="004655CE"/>
    <w:rsid w:val="004957E8"/>
    <w:rsid w:val="004A60EC"/>
    <w:rsid w:val="004C4392"/>
    <w:rsid w:val="00505406"/>
    <w:rsid w:val="005111C1"/>
    <w:rsid w:val="005117F9"/>
    <w:rsid w:val="00517333"/>
    <w:rsid w:val="005275EC"/>
    <w:rsid w:val="00537B1C"/>
    <w:rsid w:val="0054139A"/>
    <w:rsid w:val="00555670"/>
    <w:rsid w:val="00566C57"/>
    <w:rsid w:val="00571E8C"/>
    <w:rsid w:val="005A3B3F"/>
    <w:rsid w:val="005C477B"/>
    <w:rsid w:val="005C5B5E"/>
    <w:rsid w:val="005D20B9"/>
    <w:rsid w:val="005D55C0"/>
    <w:rsid w:val="005E0866"/>
    <w:rsid w:val="005E68A2"/>
    <w:rsid w:val="005F4201"/>
    <w:rsid w:val="005F43EF"/>
    <w:rsid w:val="005F7474"/>
    <w:rsid w:val="005F787B"/>
    <w:rsid w:val="00683A3F"/>
    <w:rsid w:val="00685CE2"/>
    <w:rsid w:val="006A21F7"/>
    <w:rsid w:val="006B75C8"/>
    <w:rsid w:val="006B77F9"/>
    <w:rsid w:val="006D3C62"/>
    <w:rsid w:val="006E00A9"/>
    <w:rsid w:val="006E1E61"/>
    <w:rsid w:val="006E5FD9"/>
    <w:rsid w:val="006F223A"/>
    <w:rsid w:val="006F68CD"/>
    <w:rsid w:val="00711297"/>
    <w:rsid w:val="00732E56"/>
    <w:rsid w:val="00732F99"/>
    <w:rsid w:val="0075189D"/>
    <w:rsid w:val="00757F25"/>
    <w:rsid w:val="00764616"/>
    <w:rsid w:val="00781C98"/>
    <w:rsid w:val="007B1C08"/>
    <w:rsid w:val="007F02C9"/>
    <w:rsid w:val="007F3E8C"/>
    <w:rsid w:val="00821E43"/>
    <w:rsid w:val="008322A5"/>
    <w:rsid w:val="00841BE5"/>
    <w:rsid w:val="00853E23"/>
    <w:rsid w:val="0085518B"/>
    <w:rsid w:val="00862F48"/>
    <w:rsid w:val="00876A1E"/>
    <w:rsid w:val="00876A3F"/>
    <w:rsid w:val="008934E9"/>
    <w:rsid w:val="00896795"/>
    <w:rsid w:val="008A0FEB"/>
    <w:rsid w:val="008B368A"/>
    <w:rsid w:val="008B44F5"/>
    <w:rsid w:val="008C4E97"/>
    <w:rsid w:val="008C75F7"/>
    <w:rsid w:val="008E7B79"/>
    <w:rsid w:val="009005EB"/>
    <w:rsid w:val="00911378"/>
    <w:rsid w:val="009225A4"/>
    <w:rsid w:val="0094082B"/>
    <w:rsid w:val="00960ABC"/>
    <w:rsid w:val="00966516"/>
    <w:rsid w:val="00981B6B"/>
    <w:rsid w:val="009A3D60"/>
    <w:rsid w:val="009A7C34"/>
    <w:rsid w:val="009F1A52"/>
    <w:rsid w:val="00A55A13"/>
    <w:rsid w:val="00A579AB"/>
    <w:rsid w:val="00A67181"/>
    <w:rsid w:val="00A67882"/>
    <w:rsid w:val="00A76C3E"/>
    <w:rsid w:val="00A7734A"/>
    <w:rsid w:val="00A9024D"/>
    <w:rsid w:val="00AB18FA"/>
    <w:rsid w:val="00AC18D4"/>
    <w:rsid w:val="00AD2477"/>
    <w:rsid w:val="00B00500"/>
    <w:rsid w:val="00B0069A"/>
    <w:rsid w:val="00B03C73"/>
    <w:rsid w:val="00B152C3"/>
    <w:rsid w:val="00B76488"/>
    <w:rsid w:val="00BB47F5"/>
    <w:rsid w:val="00BC378B"/>
    <w:rsid w:val="00BC498E"/>
    <w:rsid w:val="00BD6E98"/>
    <w:rsid w:val="00C26C77"/>
    <w:rsid w:val="00C3211B"/>
    <w:rsid w:val="00C4044E"/>
    <w:rsid w:val="00C465E8"/>
    <w:rsid w:val="00C53226"/>
    <w:rsid w:val="00C54C09"/>
    <w:rsid w:val="00C61311"/>
    <w:rsid w:val="00C8468D"/>
    <w:rsid w:val="00CC0AB3"/>
    <w:rsid w:val="00CC0B42"/>
    <w:rsid w:val="00CD6BFA"/>
    <w:rsid w:val="00D14384"/>
    <w:rsid w:val="00D435E7"/>
    <w:rsid w:val="00D6754D"/>
    <w:rsid w:val="00D8258A"/>
    <w:rsid w:val="00D8439C"/>
    <w:rsid w:val="00D84511"/>
    <w:rsid w:val="00DB17AE"/>
    <w:rsid w:val="00DC2B3A"/>
    <w:rsid w:val="00DC2CC1"/>
    <w:rsid w:val="00DD4B31"/>
    <w:rsid w:val="00E25D98"/>
    <w:rsid w:val="00E35957"/>
    <w:rsid w:val="00E5742D"/>
    <w:rsid w:val="00E7225C"/>
    <w:rsid w:val="00E8474E"/>
    <w:rsid w:val="00E87FF2"/>
    <w:rsid w:val="00E93D03"/>
    <w:rsid w:val="00E94166"/>
    <w:rsid w:val="00E9641A"/>
    <w:rsid w:val="00EA3BF7"/>
    <w:rsid w:val="00EA3CCE"/>
    <w:rsid w:val="00EA67F5"/>
    <w:rsid w:val="00EA7D79"/>
    <w:rsid w:val="00EC67DD"/>
    <w:rsid w:val="00ED32C8"/>
    <w:rsid w:val="00EF0ACD"/>
    <w:rsid w:val="00F13025"/>
    <w:rsid w:val="00F1621E"/>
    <w:rsid w:val="00F34C05"/>
    <w:rsid w:val="00F47B8B"/>
    <w:rsid w:val="00F542D2"/>
    <w:rsid w:val="00F701A0"/>
    <w:rsid w:val="00F86E76"/>
    <w:rsid w:val="00F86FE0"/>
    <w:rsid w:val="00FA56E6"/>
    <w:rsid w:val="00FB1555"/>
    <w:rsid w:val="00FC31D0"/>
    <w:rsid w:val="00FC7C41"/>
    <w:rsid w:val="0183453D"/>
    <w:rsid w:val="032E1CFE"/>
    <w:rsid w:val="044F07A2"/>
    <w:rsid w:val="04F263EF"/>
    <w:rsid w:val="060C68AF"/>
    <w:rsid w:val="06986467"/>
    <w:rsid w:val="0744651C"/>
    <w:rsid w:val="08A13C26"/>
    <w:rsid w:val="0B7F172C"/>
    <w:rsid w:val="0BED7182"/>
    <w:rsid w:val="0BFF2122"/>
    <w:rsid w:val="0C7B5D5B"/>
    <w:rsid w:val="0CF85DDF"/>
    <w:rsid w:val="0D411534"/>
    <w:rsid w:val="0DBD6FED"/>
    <w:rsid w:val="0EA969AA"/>
    <w:rsid w:val="0EAA135B"/>
    <w:rsid w:val="0EC47AA1"/>
    <w:rsid w:val="0F806F1E"/>
    <w:rsid w:val="10563548"/>
    <w:rsid w:val="105E064F"/>
    <w:rsid w:val="10B349F2"/>
    <w:rsid w:val="112161AB"/>
    <w:rsid w:val="11AE1162"/>
    <w:rsid w:val="121F5BBC"/>
    <w:rsid w:val="12FD54AC"/>
    <w:rsid w:val="132972C1"/>
    <w:rsid w:val="13A10F7E"/>
    <w:rsid w:val="15B605E5"/>
    <w:rsid w:val="161A2696"/>
    <w:rsid w:val="166B4E7F"/>
    <w:rsid w:val="18C349C9"/>
    <w:rsid w:val="196F3232"/>
    <w:rsid w:val="1A340CE8"/>
    <w:rsid w:val="1AD3390C"/>
    <w:rsid w:val="1B9D57F3"/>
    <w:rsid w:val="1BE64343"/>
    <w:rsid w:val="1BF65BDF"/>
    <w:rsid w:val="1D4F51C2"/>
    <w:rsid w:val="1D884390"/>
    <w:rsid w:val="1E607FF1"/>
    <w:rsid w:val="1E911BEF"/>
    <w:rsid w:val="1FE01FA9"/>
    <w:rsid w:val="1FF84259"/>
    <w:rsid w:val="20532C27"/>
    <w:rsid w:val="205C590A"/>
    <w:rsid w:val="21211203"/>
    <w:rsid w:val="212E5E1B"/>
    <w:rsid w:val="21A72080"/>
    <w:rsid w:val="22421B7E"/>
    <w:rsid w:val="24246AB2"/>
    <w:rsid w:val="244035FB"/>
    <w:rsid w:val="25583467"/>
    <w:rsid w:val="257D6329"/>
    <w:rsid w:val="26812549"/>
    <w:rsid w:val="26E22414"/>
    <w:rsid w:val="293F112D"/>
    <w:rsid w:val="2AAF4E97"/>
    <w:rsid w:val="2BA375A0"/>
    <w:rsid w:val="2C293493"/>
    <w:rsid w:val="2F591D02"/>
    <w:rsid w:val="2FC75471"/>
    <w:rsid w:val="318C4BC4"/>
    <w:rsid w:val="32E91BA2"/>
    <w:rsid w:val="335F0A9D"/>
    <w:rsid w:val="33A930DF"/>
    <w:rsid w:val="348C5F98"/>
    <w:rsid w:val="34E10AF0"/>
    <w:rsid w:val="366A2FFA"/>
    <w:rsid w:val="38046953"/>
    <w:rsid w:val="391B3FFF"/>
    <w:rsid w:val="3A112B82"/>
    <w:rsid w:val="3A3C4CAD"/>
    <w:rsid w:val="3AF235BE"/>
    <w:rsid w:val="3B854432"/>
    <w:rsid w:val="3EC11C25"/>
    <w:rsid w:val="3F8F762D"/>
    <w:rsid w:val="3F984734"/>
    <w:rsid w:val="408B4299"/>
    <w:rsid w:val="40A2464F"/>
    <w:rsid w:val="40F97454"/>
    <w:rsid w:val="412563D7"/>
    <w:rsid w:val="427F1BDB"/>
    <w:rsid w:val="4355293C"/>
    <w:rsid w:val="453C3DB3"/>
    <w:rsid w:val="48545A7F"/>
    <w:rsid w:val="48B16866"/>
    <w:rsid w:val="490C3DEC"/>
    <w:rsid w:val="4AD52CE0"/>
    <w:rsid w:val="4C4719BC"/>
    <w:rsid w:val="4CAD6CDC"/>
    <w:rsid w:val="4ED60DD5"/>
    <w:rsid w:val="4F6939F7"/>
    <w:rsid w:val="4FBF3D7B"/>
    <w:rsid w:val="50487AB0"/>
    <w:rsid w:val="51E31F50"/>
    <w:rsid w:val="52D41ACF"/>
    <w:rsid w:val="53C7095B"/>
    <w:rsid w:val="53DD49B3"/>
    <w:rsid w:val="546155E5"/>
    <w:rsid w:val="548013FE"/>
    <w:rsid w:val="556504F8"/>
    <w:rsid w:val="56510B27"/>
    <w:rsid w:val="56F361A8"/>
    <w:rsid w:val="57827D4C"/>
    <w:rsid w:val="58ED52CF"/>
    <w:rsid w:val="58F20F01"/>
    <w:rsid w:val="594362B3"/>
    <w:rsid w:val="5CAA596C"/>
    <w:rsid w:val="5CE172C2"/>
    <w:rsid w:val="5E512226"/>
    <w:rsid w:val="5E824AD5"/>
    <w:rsid w:val="5E9E2432"/>
    <w:rsid w:val="5EDD4A44"/>
    <w:rsid w:val="5EE16246"/>
    <w:rsid w:val="5F186FC4"/>
    <w:rsid w:val="5F5A335C"/>
    <w:rsid w:val="5FA171DD"/>
    <w:rsid w:val="608D09A3"/>
    <w:rsid w:val="638E56DB"/>
    <w:rsid w:val="63B03E93"/>
    <w:rsid w:val="64D67929"/>
    <w:rsid w:val="651D7306"/>
    <w:rsid w:val="65556AA0"/>
    <w:rsid w:val="656F04CC"/>
    <w:rsid w:val="657A4758"/>
    <w:rsid w:val="66967370"/>
    <w:rsid w:val="669B4986"/>
    <w:rsid w:val="673D5AD3"/>
    <w:rsid w:val="67982893"/>
    <w:rsid w:val="680E1188"/>
    <w:rsid w:val="68D93CAA"/>
    <w:rsid w:val="694F3806"/>
    <w:rsid w:val="69847953"/>
    <w:rsid w:val="69DB32EB"/>
    <w:rsid w:val="69F60125"/>
    <w:rsid w:val="6A001685"/>
    <w:rsid w:val="6BDD77EF"/>
    <w:rsid w:val="6C823C2F"/>
    <w:rsid w:val="6E99785F"/>
    <w:rsid w:val="6EBA5BC5"/>
    <w:rsid w:val="6ECC3E3C"/>
    <w:rsid w:val="6EFB3933"/>
    <w:rsid w:val="6FAC7C04"/>
    <w:rsid w:val="716E7327"/>
    <w:rsid w:val="720023AB"/>
    <w:rsid w:val="729D3834"/>
    <w:rsid w:val="74746816"/>
    <w:rsid w:val="74877A15"/>
    <w:rsid w:val="7504223A"/>
    <w:rsid w:val="750B34FC"/>
    <w:rsid w:val="78EE6B97"/>
    <w:rsid w:val="798C2D01"/>
    <w:rsid w:val="79F521A7"/>
    <w:rsid w:val="79F75F20"/>
    <w:rsid w:val="7A106FE1"/>
    <w:rsid w:val="7A527CB8"/>
    <w:rsid w:val="7AAB2866"/>
    <w:rsid w:val="7C10151B"/>
    <w:rsid w:val="7C5331B5"/>
    <w:rsid w:val="7C7E0FE3"/>
    <w:rsid w:val="7D845D1C"/>
    <w:rsid w:val="7E0B01EB"/>
    <w:rsid w:val="7E19586A"/>
    <w:rsid w:val="7F144E7E"/>
    <w:rsid w:val="7F2D4191"/>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Times New Roman" w:hAnsi="Times New Roman"/>
    </w:rPr>
  </w:style>
  <w:style w:type="paragraph" w:styleId="3">
    <w:name w:val="Body Text Indent"/>
    <w:basedOn w:val="1"/>
    <w:next w:val="2"/>
    <w:qFormat/>
    <w:uiPriority w:val="0"/>
    <w:pPr>
      <w:spacing w:after="120"/>
      <w:ind w:left="420" w:leftChars="200"/>
    </w:pPr>
  </w:style>
  <w:style w:type="paragraph" w:styleId="4">
    <w:name w:val="Body Text"/>
    <w:basedOn w:val="1"/>
    <w:next w:val="5"/>
    <w:qFormat/>
    <w:uiPriority w:val="0"/>
    <w:pPr>
      <w:spacing w:after="120" w:afterLines="0" w:afterAutospacing="0"/>
    </w:pPr>
  </w:style>
  <w:style w:type="paragraph" w:styleId="5">
    <w:name w:val="Body Text 2"/>
    <w:basedOn w:val="1"/>
    <w:qFormat/>
    <w:uiPriority w:val="0"/>
    <w:pPr>
      <w:spacing w:after="120" w:line="480" w:lineRule="auto"/>
    </w:pPr>
  </w:style>
  <w:style w:type="paragraph" w:styleId="6">
    <w:name w:val="Body Text Indent 2"/>
    <w:basedOn w:val="1"/>
    <w:next w:val="7"/>
    <w:qFormat/>
    <w:uiPriority w:val="0"/>
    <w:pPr>
      <w:ind w:firstLine="630"/>
    </w:pPr>
    <w:rPr>
      <w:rFonts w:ascii="仿宋_GB2312" w:hAnsi="Times New Roman" w:eastAsia="仿宋_GB2312" w:cs="Times New Roman"/>
      <w:sz w:val="32"/>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index 1"/>
    <w:basedOn w:val="1"/>
    <w:next w:val="1"/>
    <w:qFormat/>
    <w:uiPriority w:val="0"/>
    <w:rPr>
      <w:rFonts w:ascii="Times New Roman" w:hAnsi="Times New Roman" w:eastAsia="宋体" w:cs="Times New Roman"/>
    </w:rPr>
  </w:style>
  <w:style w:type="paragraph" w:customStyle="1" w:styleId="13">
    <w:name w:val="Body text (4)"/>
    <w:basedOn w:val="1"/>
    <w:qFormat/>
    <w:uiPriority w:val="0"/>
    <w:pPr>
      <w:shd w:val="clear" w:color="auto" w:fill="FFFFFF"/>
      <w:spacing w:line="576" w:lineRule="exact"/>
      <w:ind w:firstLine="620"/>
      <w:jc w:val="distribute"/>
    </w:pPr>
    <w:rPr>
      <w:rFonts w:ascii="MingLiU" w:eastAsia="MingLiU"/>
      <w:b/>
      <w:bCs/>
      <w:kern w:val="0"/>
      <w:sz w:val="30"/>
      <w:szCs w:val="30"/>
    </w:rPr>
  </w:style>
  <w:style w:type="paragraph" w:customStyle="1" w:styleId="14">
    <w:name w:val="Normal (Web)"/>
    <w:basedOn w:val="1"/>
    <w:qFormat/>
    <w:uiPriority w:val="0"/>
    <w:pPr>
      <w:jc w:val="left"/>
    </w:pPr>
    <w:rPr>
      <w:kern w:val="0"/>
      <w:sz w:val="24"/>
    </w:rPr>
  </w:style>
  <w:style w:type="paragraph" w:customStyle="1" w:styleId="15">
    <w:name w:val="正文缩进 + 首行缩进:  2 字符"/>
    <w:basedOn w:val="1"/>
    <w:qFormat/>
    <w:uiPriority w:val="99"/>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4567</Words>
  <Characters>4947</Characters>
  <Lines>50</Lines>
  <Paragraphs>14</Paragraphs>
  <TotalTime>2</TotalTime>
  <ScaleCrop>false</ScaleCrop>
  <LinksUpToDate>false</LinksUpToDate>
  <CharactersWithSpaces>4966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2021-02-01T02:33:00Z</dcterms:created>
  <dc:creator>Administrator</dc:creator>
  <cp:lastModifiedBy>Administrator</cp:lastModifiedBy>
  <cp:lastPrinted>2023-02-10T09:12:00Z</cp:lastPrinted>
  <dcterms:modified xsi:type="dcterms:W3CDTF">2023-02-10T12:04:49Z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2F0FAE6EB1FD45149DFD2753B2F2A7D6</vt:lpwstr>
  </property>
</Properties>
</file>