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鄂州市融媒体中心综合运营经费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加大经营创收收力度，确保融媒体开展日常工作，确保人员基本工资福利的发放。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加大经营创收收力度，确保融媒体开展日常工作，确保人员基本工资福利的发放。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播出天数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365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历史标准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出版期数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历史标准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行业标准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播出天数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365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365　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365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历史标准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出版期数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≥300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历史标准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行业标准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生态效益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可持续影响指标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/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鄂州市融媒体中心扩版及宣传运行维护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为了保证《鄂州日报》扩版工作的正常运转，确保及时有效地宣传市委市政府的中心工作和有关政策，年扩版报纸200张。无偿宣传12个版，保证财政预决算正常公开。通过电视、网络等对电视问政、作风建设等进行宣传；每日进行亲民热线接线活动，并进行必要的宣传；进行村村响维护运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为了保证《鄂州日报》扩版工作的正常运转，确保及时有效地宣传市委市政府的中心工作和有关政策，年扩版报纸200张。无偿宣传12个版，保证财政预决算正常公开。通过电视、网络等对电视问政、作风建设等进行宣传；每日进行亲民热线接线活动，并进行必要的宣传；进行村村响维护运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报纸扩版数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≥150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预决公开批数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宣传版面数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亲民热线上线次数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≥115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作风建设宣传条数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电视问政活动次数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村村响宣传天数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≤0.03%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行业标准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eastAsia="zh-CN"/>
              </w:rPr>
              <w:t>计划标准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报纸扩版数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≥150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≥150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≥150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预决公开批数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宣传版面数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亲民热线上线次数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≥115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≥115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≥115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作风建设宣传条数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≥15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电视问政活动次数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村村响宣传天数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≥300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宣传差错率率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≤0.03%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≤0.03%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≤0.03%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鄂州市融媒体中心网站及客户端运行维护费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进一步丰富内容和功能，将“云上鄂州”打造成为鄂州“政务 新闻 服务”新媒体大数据中心及覆盖全市、功能完备、互联互通、运行顺畅的移动网络公共信息服务体系，形成良性发展的鄂州政务新媒体生态圈，不断满足广大群众获取信息的需要、网上办事的需要、方便生活的需要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保证政府网站的正常运行，不断地改版和完善网站建设，更好地宣传市委市政府的中心工作，解决最后一公里问题，更好地服务民生、服务三农，同时防止网站被黑客攻击。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网络信息发布条数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网站主页点击量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客户端阅读量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≥35000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系统正常使用年限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硬件维护数量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≥16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客户端发稿数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系统故障修复处理时间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网络信息发布条数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网站主页点击量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客户端阅读量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≥35000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≥35000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≥35000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系统正常使用年限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硬件维护数量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≥16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≥16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≥16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客户端发稿数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≥10000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系统故障修复处理时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鄂州市融媒体中心专用设备购置及维护费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更好的围绕市委市政府中心工作，宣传好鄂州、不断提升新闻宣传水平，不断提升事业建设水平、提供设备保障。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为保证新闻等节目的时效，拟采购4G/5G传输设备，可实时将采编素材传回中心编辑。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购置专业设备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日常专用设备维修及配件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验收合格率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100%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购置时间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购置专业设备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≥11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日常专用设备维修及配件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验收合格率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100%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100%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100%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购置时间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生态效益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可持续影响指标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hint="eastAsia" w:ascii="方正小标宋简体" w:hAnsi="Times New Roman" w:eastAsia="方正小标宋简体" w:cs="方正小标宋简体"/>
          <w:sz w:val="36"/>
          <w:szCs w:val="36"/>
        </w:rPr>
      </w:pPr>
    </w:p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公共文化服务体系建设转移支付项目 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856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大力推进基本公共文化服务标准化建设。在我市全面建成中央广播电视节目无线数字化覆盖工程，实现数字信号全覆盖。更好地围绕市委市政府中心工作，宣传好鄂州，不断提高新闻宣传水平，不断提高事业建设水平，满足中心记者采访实时编辑提供设备保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保障强电部分主、备电路全天候正常供电；保障机房主、备设备及天馈线正常工作；加强设施设备的维护保养，保证发射机设备正常运行。建设媒资库系统，客户端升级改造，视频直播系统建设。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提供电视节目套数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提供广播节目套数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播出节目及时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重大事项首报率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提供电视节目套数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提供广播节目套数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播出节目及时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重大事项首报率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宣传文化事业专项（新媒体矩阵建设）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建强地方主流媒体新媒体矩阵，培养一支本土新媒体骨干团队，探索出适合我市新媒体可持续发展的良性经营模式，达到社会效益与经济效益双提升。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 xml:space="preserve"> 坚持移动优先，强化移动优先和“新媒体”意识，探索“项目工作室”“项目团队”等融媒特色运行机制，推动媒体整合在移动互联网领域取得突破。开展新媒体业务轮训，培养新媒体骨干，培养新媒体经营人才，打造网红，推动队伍向新媒体转型，提高新媒体的市场竞争意识和跨界融合能力，拓展创收领域，增强造血功能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建设平台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粉丝量增长率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学习强国采稿量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≥80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外宣条数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短视频阅读量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≥20万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轮训人数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培养网红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服务年限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建设平台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粉丝量增长率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学习强国采稿量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≥80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≥80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外宣条数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短视频阅读量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≥20万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≥20万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轮训人数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培养网红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服务年限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宣传文化事业专项（英文版建设）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鄂州政府门户网作为市政府门户网站，在鄂州日益走向全球化的大背景下，通过英文版的建设，世界将从这里了解鄂州官方信息。 鄂州将从这里走向世界。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完成英文版的建设。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英文版建设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建设时间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≤365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生态效益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可持续影响指标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英文版建设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建设时间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≤365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≤365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生态效益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可持续影响指标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>
      <w:pPr>
        <w:widowControl/>
        <w:jc w:val="center"/>
        <w:rPr>
          <w:rFonts w:hint="eastAsia" w:ascii="方正小标宋简体" w:hAnsi="Times New Roman" w:eastAsia="方正小标宋简体" w:cs="方正小标宋简体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方正小标宋简体"/>
          <w:sz w:val="36"/>
          <w:szCs w:val="36"/>
        </w:rPr>
      </w:pPr>
    </w:p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市级信息化专项-市政府门户网站运行维护服务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 xml:space="preserve"> 进一步丰富内容和功能，将政府门户网站打造成为鄂州“政务 新闻 服务”新媒体大数据中心及覆盖全市、功能完备、互联互通、运行顺畅的移动网络公共信息服务体系，形成良性发展的鄂州政务新媒体生态圈，不断满足广大群众获取信息的需要、网上办事的需要、方便生活的需要。在全国政府网站绩效评估、湖北省政府网站绩效评估中能取得较好位次；能顺利通过国务院和湖北省政府对政府网站的季度抽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保证政府网站的正常运行，不断地改版和完善网站建设，更好地宣传市委市政府的中心工作，解决最后一公里问题，更好地服务民生、服务三农。在全国政府网站绩效评估、湖北省政府网站绩效评估中能取得较好位次；能顺利通过国务院和湖北省政府对政府网站的季度抽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网络信息发布条数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网站主页点击量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系统故障修复处理时间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网络信息发布条数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bookmarkStart w:id="0" w:name="_GoBack"/>
            <w:bookmarkEnd w:id="0"/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Times New Roman"/>
                <w:kern w:val="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网站主页点击量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both"/>
              <w:rPr>
                <w:rFonts w:hint="eastAsia" w:ascii="仿宋_GB2312" w:hAnsi="宋体" w:eastAsia="仿宋_GB2312" w:cs="仿宋_GB2312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≥200000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hint="eastAsia" w:ascii="仿宋_GB2312" w:hAnsi="宋体" w:eastAsia="仿宋_GB2312" w:cs="仿宋_GB2312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系统故障率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5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Times New Roman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系统故障修复处理时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≤2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/>
    <w:p/>
    <w:p/>
    <w:p/>
    <w:p/>
    <w:p/>
    <w:p/>
    <w:p/>
    <w:p/>
    <w:p>
      <w:pPr>
        <w:widowControl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项目</w:t>
      </w:r>
      <w:r>
        <w:rPr>
          <w:rFonts w:hint="eastAsia" w:ascii="方正小标宋简体" w:hAnsi="Times New Roman" w:eastAsia="方正小标宋简体" w:cs="方正小标宋简体"/>
          <w:sz w:val="36"/>
          <w:szCs w:val="36"/>
          <w:lang w:eastAsia="zh-CN"/>
        </w:rPr>
        <w:t>绩效目标</w:t>
      </w:r>
      <w:r>
        <w:rPr>
          <w:rFonts w:hint="eastAsia" w:ascii="方正小标宋简体" w:hAnsi="Times New Roman" w:eastAsia="方正小标宋简体" w:cs="方正小标宋简体"/>
          <w:sz w:val="36"/>
          <w:szCs w:val="36"/>
        </w:rPr>
        <w:t>申报表</w:t>
      </w:r>
    </w:p>
    <w:tbl>
      <w:tblPr>
        <w:tblStyle w:val="4"/>
        <w:tblW w:w="8948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407"/>
        <w:gridCol w:w="923"/>
        <w:gridCol w:w="170"/>
        <w:gridCol w:w="30"/>
        <w:gridCol w:w="315"/>
        <w:gridCol w:w="539"/>
        <w:gridCol w:w="252"/>
        <w:gridCol w:w="6"/>
        <w:gridCol w:w="258"/>
        <w:gridCol w:w="266"/>
        <w:gridCol w:w="271"/>
        <w:gridCol w:w="411"/>
        <w:gridCol w:w="659"/>
        <w:gridCol w:w="245"/>
        <w:gridCol w:w="1020"/>
        <w:gridCol w:w="245"/>
        <w:gridCol w:w="747"/>
        <w:gridCol w:w="9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255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申报单位：</w:t>
            </w: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  <w:lang w:eastAsia="zh-CN"/>
              </w:rPr>
              <w:t>鄂州市融媒体中心</w:t>
            </w:r>
            <w:r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51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 xml:space="preserve">   </w:t>
            </w:r>
          </w:p>
        </w:tc>
        <w:tc>
          <w:tcPr>
            <w:tcW w:w="3214" w:type="dxa"/>
            <w:gridSpan w:val="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right"/>
              <w:rPr>
                <w:rFonts w:ascii="宋体" w:hAnsi="宋体" w:eastAsia="宋体" w:cs="宋体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1"/>
                <w:szCs w:val="21"/>
              </w:rPr>
              <w:t>金额单位：万元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2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项目名称</w:t>
            </w:r>
          </w:p>
        </w:tc>
        <w:tc>
          <w:tcPr>
            <w:tcW w:w="153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微波播出经费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1112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项目类别</w:t>
            </w:r>
          </w:p>
        </w:tc>
        <w:tc>
          <w:tcPr>
            <w:tcW w:w="1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常年性项目</w:t>
            </w:r>
          </w:p>
        </w:tc>
        <w:tc>
          <w:tcPr>
            <w:tcW w:w="151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项目性质</w:t>
            </w:r>
          </w:p>
        </w:tc>
        <w:tc>
          <w:tcPr>
            <w:tcW w:w="170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持续性项目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立项依据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1、中共鄂州市委办公室关于印发《鄂州市融媒体中心职能配置、内设机构和人员编制规定》的通知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2、可行性和必要性；负责贯彻落实中央关于加强和改进党的新闻舆论工作的决策部署，落实市委工作要求，在履行职责过程中坚持和加强党对新闻舆论工作的集中统一领导。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3、对经济社会发展的影响；提高国内国际传播能力，且在提升质量上深入挖潜，优化内容，改进文风，使新闻宣传工作迈上一个新的发展平台，舆论引导能力和国际传播能力得到进一步提升。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4、是本级事权；5、单位决策记录；6、其他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22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eastAsia="zh-CN"/>
              </w:rPr>
              <w:t>项目预算</w:t>
            </w:r>
          </w:p>
        </w:tc>
        <w:tc>
          <w:tcPr>
            <w:tcW w:w="7721" w:type="dxa"/>
            <w:gridSpan w:val="1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项目绩效总目标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名称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大力推进基本公共文化服务标准化建设。在我市全面建成中央广播电视节目无线数字化覆盖工程，实现数字信号全覆盖。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2727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6221" w:type="dxa"/>
            <w:gridSpan w:val="1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保障强电部分主、备电路全天候正常供电；保障机房主、备设备及天馈线正常工作；加强设施设备的维护保养，保证发射机设备正常运行。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长期绩效目标表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三级指标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提供电视节目套数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提供广播节目套数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播出节目及时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重大事项首报率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116" w:type="dxa"/>
            <w:gridSpan w:val="7"/>
            <w:vAlign w:val="bottom"/>
          </w:tcPr>
          <w:p>
            <w:pPr>
              <w:widowControl/>
              <w:jc w:val="center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群从满意度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长期绩效目标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2116" w:type="dxa"/>
            <w:gridSpan w:val="7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949" w:type="dxa"/>
            <w:gridSpan w:val="3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948" w:type="dxa"/>
            <w:gridSpan w:val="19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b/>
                <w:bCs/>
                <w:kern w:val="0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kern w:val="0"/>
              </w:rPr>
              <w:t>年度绩效目标表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目标名称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一级指标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二级指标</w:t>
            </w:r>
          </w:p>
        </w:tc>
        <w:tc>
          <w:tcPr>
            <w:tcW w:w="1212" w:type="dxa"/>
            <w:gridSpan w:val="5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三级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2916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</w:t>
            </w:r>
          </w:p>
        </w:tc>
        <w:tc>
          <w:tcPr>
            <w:tcW w:w="957" w:type="dxa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指标值确定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前年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上年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预计当年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实现</w:t>
            </w:r>
          </w:p>
        </w:tc>
        <w:tc>
          <w:tcPr>
            <w:tcW w:w="957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1</w:t>
            </w: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产出指标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数量指标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提供电视节目套数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≥12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提供广播节目套数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≥3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质量指标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重大差错率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≤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0</w:t>
            </w:r>
            <w:r>
              <w:rPr>
                <w:rFonts w:hint="eastAsia" w:ascii="仿宋_GB2312" w:hAnsi="宋体" w:eastAsia="仿宋_GB2312" w:cs="仿宋_GB2312"/>
                <w:kern w:val="0"/>
              </w:rPr>
              <w:t>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时效指标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播出节目及时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=100%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重大事项首报率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≥90%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成本指标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成本控制率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≤100%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效益指标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经济效益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社会效益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宣传知晓率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</w:t>
            </w:r>
            <w:r>
              <w:rPr>
                <w:rFonts w:hint="eastAsia" w:ascii="仿宋_GB2312" w:hAnsi="宋体" w:eastAsia="仿宋_GB2312" w:cs="仿宋_GB2312"/>
                <w:kern w:val="0"/>
                <w:lang w:val="en-US" w:eastAsia="zh-CN"/>
              </w:rPr>
              <w:t>3</w:t>
            </w:r>
            <w:r>
              <w:rPr>
                <w:rFonts w:hint="eastAsia" w:ascii="仿宋_GB2312" w:hAnsi="宋体" w:eastAsia="仿宋_GB2312" w:cs="仿宋_GB2312"/>
                <w:kern w:val="0"/>
              </w:rPr>
              <w:t>0%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满意度</w:t>
            </w:r>
          </w:p>
          <w:p>
            <w:pPr>
              <w:widowControl/>
              <w:ind w:firstLine="210" w:firstLineChars="100"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136" w:type="dxa"/>
            <w:gridSpan w:val="4"/>
            <w:vMerge w:val="restart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服务对象满意度</w:t>
            </w:r>
          </w:p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指标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群从满意度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≥95%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≥95%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093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136" w:type="dxa"/>
            <w:gridSpan w:val="4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仿宋_GB2312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年度绩效目标</w:t>
            </w:r>
            <w:r>
              <w:rPr>
                <w:rFonts w:ascii="仿宋_GB2312" w:hAnsi="宋体" w:eastAsia="仿宋_GB2312" w:cs="仿宋_GB2312"/>
                <w:kern w:val="0"/>
              </w:rPr>
              <w:t>2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bottom"/>
          </w:tcPr>
          <w:p>
            <w:pPr>
              <w:widowControl/>
              <w:jc w:val="left"/>
              <w:rPr>
                <w:rFonts w:ascii="仿宋_GB2312" w:hAnsi="Arial" w:eastAsia="仿宋_GB2312" w:cs="Times New Roman"/>
                <w:kern w:val="0"/>
              </w:rPr>
            </w:pPr>
            <w:r>
              <w:rPr>
                <w:rFonts w:hint="eastAsia" w:ascii="仿宋_GB2312" w:hAnsi="Arial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bottom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634" w:type="dxa"/>
            <w:gridSpan w:val="2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……</w:t>
            </w:r>
          </w:p>
        </w:tc>
        <w:tc>
          <w:tcPr>
            <w:tcW w:w="1093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136" w:type="dxa"/>
            <w:gridSpan w:val="4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212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04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1020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  <w:tc>
          <w:tcPr>
            <w:tcW w:w="957" w:type="dxa"/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Times New Roman"/>
                <w:kern w:val="0"/>
              </w:rPr>
            </w:pPr>
            <w:r>
              <w:rPr>
                <w:rFonts w:hint="eastAsia" w:ascii="仿宋_GB2312" w:hAnsi="宋体" w:eastAsia="仿宋_GB2312" w:cs="仿宋_GB2312"/>
                <w:kern w:val="0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634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主管部门审核意见</w:t>
            </w:r>
          </w:p>
        </w:tc>
        <w:tc>
          <w:tcPr>
            <w:tcW w:w="7314" w:type="dxa"/>
            <w:gridSpan w:val="17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审核意见：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                                                                             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634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</w:p>
        </w:tc>
        <w:tc>
          <w:tcPr>
            <w:tcW w:w="7314" w:type="dxa"/>
            <w:gridSpan w:val="17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                              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单位公章：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年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1"/>
                <w:szCs w:val="21"/>
              </w:rPr>
              <w:t xml:space="preserve">日    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仿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hmMTU4MWZhZTVlNzFkZTBlZjFkMGVhYjM4MjMzYWQifQ=="/>
  </w:docVars>
  <w:rsids>
    <w:rsidRoot w:val="62E502C3"/>
    <w:rsid w:val="1AB03212"/>
    <w:rsid w:val="1B9B3D16"/>
    <w:rsid w:val="3F6F60AF"/>
    <w:rsid w:val="43E7793F"/>
    <w:rsid w:val="4EAFB547"/>
    <w:rsid w:val="5FF63AFB"/>
    <w:rsid w:val="62E502C3"/>
    <w:rsid w:val="7BFE6259"/>
    <w:rsid w:val="7EAF1483"/>
    <w:rsid w:val="7FFF36D9"/>
    <w:rsid w:val="CA57F615"/>
    <w:rsid w:val="EF7702CF"/>
    <w:rsid w:val="FEFF56AD"/>
    <w:rsid w:val="FF503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等线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2023-11-07T18:12:00Z</dcterms:created>
  <dc:creator>叶贝</dc:creator>
  <cp:lastModifiedBy>inspur</cp:lastModifiedBy>
  <dcterms:modified xsi:type="dcterms:W3CDTF">2023-11-07T17:05:16Z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58246E038A894A6580A1DBF854195D43_11</vt:lpwstr>
  </property>
</Properties>
</file>