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hint="eastAsia" w:ascii="方正小标宋_GBK" w:hAnsi="方正小标宋简体" w:eastAsia="方正小标宋_GBK" w:cs="方正小标宋简体"/>
          <w:sz w:val="40"/>
          <w:szCs w:val="40"/>
        </w:rPr>
      </w:pPr>
      <w:r>
        <w:rPr>
          <w:rFonts w:hint="eastAsia" w:ascii="方正小标宋_GBK" w:hAnsi="方正小标宋简体" w:eastAsia="方正小标宋_GBK" w:cs="方正小标宋简体"/>
          <w:sz w:val="40"/>
          <w:szCs w:val="40"/>
          <w:lang w:val="en-US" w:eastAsia="zh-CN"/>
        </w:rPr>
        <w:t>鄂州市司法行政部门2023</w:t>
      </w:r>
      <w:r>
        <w:rPr>
          <w:rFonts w:hint="eastAsia" w:ascii="方正小标宋_GBK" w:hAnsi="方正小标宋简体" w:eastAsia="方正小标宋_GBK" w:cs="方正小标宋简体"/>
          <w:sz w:val="40"/>
          <w:szCs w:val="40"/>
        </w:rPr>
        <w:t>年部门预算公开说明</w:t>
      </w:r>
    </w:p>
    <w:p>
      <w:pPr>
        <w:spacing w:afterLines="100" w:line="600" w:lineRule="exact"/>
        <w:jc w:val="center"/>
        <w:rPr>
          <w:rFonts w:hint="eastAsia" w:ascii="方正小标宋_GBK" w:hAnsi="方正小标宋简体" w:eastAsia="方正小标宋_GBK" w:cs="方正小标宋简体"/>
          <w:sz w:val="40"/>
          <w:szCs w:val="40"/>
          <w:lang w:val="en-US" w:eastAsia="zh-CN"/>
        </w:rPr>
      </w:pPr>
    </w:p>
    <w:p>
      <w:pPr>
        <w:spacing w:afterLines="100" w:line="600" w:lineRule="exact"/>
        <w:jc w:val="center"/>
        <w:rPr>
          <w:rFonts w:hint="eastAsia" w:ascii="方正小标宋_GBK" w:hAnsi="方正小标宋简体" w:eastAsia="方正小标宋_GBK" w:cs="方正小标宋简体"/>
          <w:sz w:val="40"/>
          <w:szCs w:val="40"/>
          <w:lang w:val="en-US" w:eastAsia="zh-CN"/>
        </w:rPr>
      </w:pPr>
      <w:r>
        <w:rPr>
          <w:rFonts w:hint="eastAsia" w:ascii="方正小标宋_GBK" w:hAnsi="方正小标宋简体" w:eastAsia="方正小标宋_GBK" w:cs="方正小标宋简体"/>
          <w:sz w:val="40"/>
          <w:szCs w:val="40"/>
          <w:lang w:val="en-US" w:eastAsia="zh-CN"/>
        </w:rPr>
        <w:t>目录</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一、部门主要职责</w:t>
      </w:r>
      <w:bookmarkStart w:id="0" w:name="_GoBack"/>
      <w:bookmarkEnd w:id="0"/>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二、机构设置情况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三、预算收支安排及增减变化情况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四、机关运行经费安排情况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五、一般公共预算“三公”经费及增减变化情况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六、政府采购预算安排情况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七、国有资产占用情况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八、重点项目预算绩效情况</w:t>
      </w:r>
    </w:p>
    <w:p>
      <w:pPr>
        <w:keepNext w:val="0"/>
        <w:keepLines w:val="0"/>
        <w:widowControl/>
        <w:suppressLineNumbers w:val="0"/>
        <w:ind w:leftChars="200"/>
        <w:jc w:val="left"/>
        <w:rPr>
          <w:rFonts w:hint="eastAsia" w:ascii="仿宋_GB2312" w:hAnsi="仿宋_GB2312" w:eastAsia="仿宋_GB2312" w:cs="仿宋_GB2312"/>
        </w:rPr>
      </w:pPr>
      <w:r>
        <w:rPr>
          <w:rFonts w:hint="eastAsia" w:ascii="仿宋_GB2312" w:hAnsi="仿宋_GB2312" w:eastAsia="仿宋_GB2312" w:cs="仿宋_GB2312"/>
          <w:color w:val="333333"/>
          <w:kern w:val="0"/>
          <w:sz w:val="32"/>
          <w:szCs w:val="32"/>
          <w:lang w:val="en-US" w:eastAsia="zh-CN" w:bidi="ar"/>
        </w:rPr>
        <w:t>九、其他需要说明的情况</w:t>
      </w: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十、专业名词解释</w:t>
      </w: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仿宋_GB2312" w:hAnsi="仿宋_GB2312" w:eastAsia="仿宋_GB2312" w:cs="仿宋_GB2312"/>
          <w:color w:val="333333"/>
          <w:kern w:val="0"/>
          <w:sz w:val="32"/>
          <w:szCs w:val="32"/>
          <w:lang w:val="en-US" w:eastAsia="zh-CN" w:bidi="ar"/>
        </w:rPr>
      </w:pPr>
    </w:p>
    <w:p>
      <w:pPr>
        <w:keepNext w:val="0"/>
        <w:keepLines w:val="0"/>
        <w:widowControl/>
        <w:suppressLineNumbers w:val="0"/>
        <w:ind w:left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一、部门主要职责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承担全面依法治市重大问题的政策研究，协调有关方面提出全面依法治市中长期规划建议，负责有关重大部署督察工作。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担统筹规划立法工作的责任。协调有关方面提出立法规划和年度立法工作计划建议，负责跟踪了解各部门对立法工作计划的落实情况，加强组织协调和督促指导，研究提出立法与改革决策相衔接的意见、措施。负责面向社会征集地方性法规、市政府规章制定项目建议。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负责起草或者组织起草有关地方性法规、市政府规章草案，承办各部门报送市政府的地方性法规、政府规章草案审查工作。负责立法协调工作。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承办市政府规章的解释,立法后评估工作。负责协调各地各部门实施法律、法规、规章中的有关争议和问题。承办市区政府和相关市级政府部门规范性文件的备案审查工作。负责有关市政府规范性文件或者拟由市政府批准的市级部门规范性文件的合法性审查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承担统筹推进全市法治政府建设的责任。指导、监督市政府各部门、各区政府依法行政工作。负责综合协调行政执法，承担推进行政执法体制改革有关工作，推进严格规范公正文明执法。指导、监督全市行政复议和行政应诉工作，负责市政府行政复议和应诉案件办理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承担统筹规划全市法治社会建设的责任。负责拟订全市法治宣传教育规划，组织实施普法宣传和对外法治宣传工作。指导依法治理和法治创建工作。推动人民参与和促进法治建设。指导调解工作和人民陪审员选任工作。组织指导全市人民监督员选任管理工作，推进司法所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指导、管理全市社区矫正工作。指导刑满释放人员帮教安置工作。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负责拟订全市公共法律服务体系建设规划并指导实施，统筹和布局城乡、区域法律服务资源。指导、监督全市律师、法律援助、司法鉴定、公证、仲裁和基层法律服务管理工作。指导协调全市12348法律服务工作。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负责全市国家统一法律职业资格考试的组织实施工作。负责法律职业资格和证书管理工作。负责组织全市法律职业人员入职前培训工作。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负责拟订全市司法行政系统科技和信息化工作发展规划并组织实施，指导、协调、监督全市司法行政系统科技和信息化体系建设管理工作。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指导、监督全市司法行政系统财务、装备、设施、场所等保障工作。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负责规划、协调、指导全市法治人才队伍建设相关工作，指导、监督全市司法行政系统队伍建设。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按规定承担全面从严治党、机关党建、统一战线、国家安全、意识形态、综治维稳、精神文明建设、安全生产、档案管理、保密等主体责任。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完成上级交办的其他任务。 </w:t>
      </w:r>
    </w:p>
    <w:p>
      <w:pPr>
        <w:keepNext w:val="0"/>
        <w:keepLines w:val="0"/>
        <w:widowControl/>
        <w:suppressLineNumbers w:val="0"/>
        <w:ind w:firstLine="640" w:firstLineChars="200"/>
        <w:jc w:val="left"/>
        <w:rPr>
          <w:rFonts w:hint="eastAsia" w:ascii="仿宋_GB2312" w:hAnsi="仿宋" w:eastAsia="仿宋_GB2312"/>
          <w:sz w:val="30"/>
          <w:szCs w:val="30"/>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职能转变。按照党中央、国务院关于转变政府职能、深化“放管服”改革，深入推进审批服务便民化的决策部署，认真落实市委、市政府深化“放管服”改革工作要求，组织推进本系统转变政府职能，深化简政放权，创新法律服务行业监管方式，落实监管责任，推动全市公共法律服务实体、热线、网络三大平台融合发展，推进基本公共法律服务均等化、便民化，提高政务服务效率和质量。</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二、机构设置情况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由市</w:t>
      </w:r>
      <w:r>
        <w:rPr>
          <w:rFonts w:hint="eastAsia" w:ascii="仿宋_GB2312" w:hAnsi="仿宋_GB2312" w:eastAsia="仿宋_GB2312" w:cs="仿宋_GB2312"/>
          <w:sz w:val="32"/>
          <w:szCs w:val="32"/>
        </w:rPr>
        <w:t>司法局本级、市公证处、市法律援助中心组成，其中：市法律援助中心为未独立核算的参公事业单位</w:t>
      </w:r>
      <w:r>
        <w:rPr>
          <w:rFonts w:hint="eastAsia" w:ascii="仿宋_GB2312" w:hAnsi="仿宋_GB2312" w:eastAsia="仿宋_GB2312" w:cs="仿宋_GB2312"/>
          <w:sz w:val="32"/>
          <w:szCs w:val="32"/>
          <w:lang w:eastAsia="zh-CN"/>
        </w:rPr>
        <w:t>，市公证处为自收自支的公益二类事业单位。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局机关</w:t>
      </w:r>
      <w:r>
        <w:rPr>
          <w:rFonts w:hint="eastAsia" w:ascii="仿宋_GB2312" w:hAnsi="仿宋_GB2312" w:eastAsia="仿宋_GB2312" w:cs="仿宋_GB2312"/>
          <w:sz w:val="32"/>
          <w:szCs w:val="32"/>
        </w:rPr>
        <w:t>内设科室有14个，分别是：办公室、装备财务保障科、秘书科、普法与依法治理科、行政复议与应诉科、立法科、律师工作科、行政执法协调监督科、人民参与和促进法治科、公共法律服务管理科、社区矫正管理科、科技信息科、政治部、离退休干部科。</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本部门有司法行政编、参公事业编和</w:t>
      </w:r>
      <w:r>
        <w:rPr>
          <w:rFonts w:hint="eastAsia" w:ascii="仿宋_GB2312" w:hAnsi="仿宋_GB2312" w:eastAsia="仿宋_GB2312" w:cs="仿宋_GB2312"/>
          <w:sz w:val="32"/>
          <w:szCs w:val="32"/>
          <w:lang w:eastAsia="zh-CN"/>
        </w:rPr>
        <w:t>公益二类事业</w:t>
      </w:r>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lang w:eastAsia="zh-CN"/>
        </w:rPr>
        <w:t>，编</w:t>
      </w:r>
      <w:r>
        <w:rPr>
          <w:rFonts w:hint="eastAsia" w:ascii="仿宋_GB2312" w:hAnsi="仿宋_GB2312" w:eastAsia="仿宋_GB2312" w:cs="仿宋_GB2312"/>
          <w:sz w:val="32"/>
          <w:szCs w:val="32"/>
        </w:rPr>
        <w:t>制人数</w:t>
      </w:r>
      <w:r>
        <w:rPr>
          <w:rFonts w:hint="eastAsia" w:ascii="仿宋_GB2312" w:hAnsi="仿宋_GB2312" w:eastAsia="仿宋_GB2312" w:cs="仿宋_GB2312"/>
          <w:sz w:val="32"/>
          <w:szCs w:val="32"/>
          <w:lang w:val="en-US" w:eastAsia="zh-CN"/>
        </w:rPr>
        <w:t>51名</w:t>
      </w:r>
      <w:r>
        <w:rPr>
          <w:rFonts w:hint="eastAsia" w:ascii="仿宋_GB2312" w:hAnsi="仿宋_GB2312" w:eastAsia="仿宋_GB2312" w:cs="仿宋_GB2312"/>
          <w:sz w:val="32"/>
          <w:szCs w:val="32"/>
        </w:rPr>
        <w:t>；财政供养人数</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，在职人数</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行政人员38人（含市领导1名），参照公务员法管理事业人员5人；</w:t>
      </w:r>
      <w:r>
        <w:rPr>
          <w:rFonts w:hint="eastAsia" w:ascii="仿宋_GB2312" w:hAnsi="仿宋_GB2312" w:eastAsia="仿宋_GB2312" w:cs="仿宋_GB2312"/>
          <w:sz w:val="32"/>
          <w:szCs w:val="32"/>
        </w:rPr>
        <w:t>退休人数3</w:t>
      </w:r>
      <w:r>
        <w:rPr>
          <w:rFonts w:hint="eastAsia" w:ascii="仿宋_GB2312" w:hAnsi="仿宋_GB2312" w:eastAsia="仿宋_GB2312" w:cs="仿宋_GB2312"/>
          <w:sz w:val="32"/>
          <w:szCs w:val="32"/>
          <w:lang w:val="en-US" w:eastAsia="zh-CN"/>
        </w:rPr>
        <w:t>8人</w:t>
      </w:r>
      <w:r>
        <w:rPr>
          <w:rFonts w:hint="eastAsia" w:ascii="仿宋_GB2312" w:hAnsi="仿宋_GB2312" w:eastAsia="仿宋_GB2312" w:cs="仿宋_GB2312"/>
          <w:sz w:val="32"/>
          <w:szCs w:val="32"/>
        </w:rPr>
        <w:t>。</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三、预算收支安排及增减变化情况</w:t>
      </w:r>
    </w:p>
    <w:p>
      <w:pPr>
        <w:keepNext w:val="0"/>
        <w:keepLines w:val="0"/>
        <w:widowControl/>
        <w:suppressLineNumbers w:val="0"/>
        <w:ind w:firstLine="643"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1.预算收入情况：</w:t>
      </w:r>
      <w:r>
        <w:rPr>
          <w:rFonts w:hint="eastAsia" w:ascii="仿宋_GB2312" w:hAnsi="仿宋_GB2312" w:eastAsia="仿宋_GB2312" w:cs="仿宋_GB2312"/>
          <w:color w:val="333333"/>
          <w:kern w:val="0"/>
          <w:sz w:val="32"/>
          <w:szCs w:val="32"/>
          <w:lang w:val="en-US" w:eastAsia="zh-CN" w:bidi="ar"/>
        </w:rPr>
        <w:t>202</w:t>
      </w:r>
      <w:r>
        <w:rPr>
          <w:rFonts w:hint="eastAsia" w:ascii="仿宋_GB2312" w:hAnsi="仿宋_GB2312" w:cs="仿宋_GB2312"/>
          <w:color w:val="333333"/>
          <w:kern w:val="0"/>
          <w:sz w:val="32"/>
          <w:szCs w:val="32"/>
          <w:lang w:val="en-US" w:eastAsia="zh-CN" w:bidi="ar"/>
        </w:rPr>
        <w:t>3</w:t>
      </w:r>
      <w:r>
        <w:rPr>
          <w:rFonts w:hint="eastAsia" w:ascii="仿宋_GB2312" w:hAnsi="仿宋_GB2312" w:eastAsia="仿宋_GB2312" w:cs="仿宋_GB2312"/>
          <w:color w:val="333333"/>
          <w:kern w:val="0"/>
          <w:sz w:val="32"/>
          <w:szCs w:val="32"/>
          <w:lang w:val="en-US" w:eastAsia="zh-CN" w:bidi="ar"/>
        </w:rPr>
        <w:t>年本年收入预计为1937.34</w:t>
      </w:r>
      <w:r>
        <w:rPr>
          <w:rFonts w:hint="eastAsia" w:ascii="仿宋_GB2312" w:hAnsi="仿宋_GB2312" w:eastAsia="仿宋_GB2312" w:cs="仿宋_GB2312"/>
          <w:color w:val="333333"/>
          <w:kern w:val="0"/>
          <w:sz w:val="32"/>
          <w:szCs w:val="32"/>
          <w:lang w:val="en-US" w:eastAsia="zh-CN" w:bidi="ar"/>
        </w:rPr>
        <w:t>万元，一般公共预算财政拨款收入</w:t>
      </w:r>
      <w:r>
        <w:rPr>
          <w:rFonts w:hint="eastAsia" w:ascii="仿宋_GB2312" w:hAnsi="仿宋_GB2312" w:eastAsia="仿宋_GB2312" w:cs="仿宋_GB2312"/>
          <w:color w:val="333333"/>
          <w:kern w:val="0"/>
          <w:sz w:val="32"/>
          <w:szCs w:val="32"/>
          <w:lang w:val="en-US" w:eastAsia="zh-CN" w:bidi="ar"/>
        </w:rPr>
        <w:t>比上年增加373.24</w:t>
      </w:r>
      <w:r>
        <w:rPr>
          <w:rFonts w:hint="eastAsia" w:ascii="仿宋_GB2312" w:hAnsi="仿宋_GB2312" w:eastAsia="仿宋_GB2312" w:cs="仿宋_GB2312"/>
          <w:color w:val="333333"/>
          <w:kern w:val="0"/>
          <w:sz w:val="32"/>
          <w:szCs w:val="32"/>
          <w:lang w:val="en-US" w:eastAsia="zh-CN" w:bidi="ar"/>
        </w:rPr>
        <w:t>万元,</w:t>
      </w:r>
      <w:r>
        <w:rPr>
          <w:rFonts w:hint="eastAsia" w:ascii="仿宋_GB2312" w:hAnsi="仿宋_GB2312" w:eastAsia="仿宋_GB2312" w:cs="仿宋_GB2312"/>
          <w:color w:val="333333"/>
          <w:kern w:val="0"/>
          <w:sz w:val="32"/>
          <w:szCs w:val="32"/>
          <w:lang w:val="en-US" w:eastAsia="zh-CN" w:bidi="ar"/>
        </w:rPr>
        <w:t>增长23.86</w:t>
      </w:r>
      <w:r>
        <w:rPr>
          <w:rFonts w:hint="eastAsia" w:ascii="仿宋_GB2312" w:hAnsi="仿宋_GB2312" w:eastAsia="仿宋_GB2312" w:cs="仿宋_GB2312"/>
          <w:color w:val="333333"/>
          <w:kern w:val="0"/>
          <w:sz w:val="32"/>
          <w:szCs w:val="32"/>
          <w:lang w:val="en-US" w:eastAsia="zh-CN" w:bidi="ar"/>
        </w:rPr>
        <w:t>%。其中，一般公共预算财政拨款收入1765.67</w:t>
      </w:r>
      <w:r>
        <w:rPr>
          <w:rFonts w:hint="eastAsia" w:ascii="仿宋_GB2312" w:hAnsi="仿宋_GB2312" w:eastAsia="仿宋_GB2312" w:cs="仿宋_GB2312"/>
          <w:color w:val="333333"/>
          <w:kern w:val="0"/>
          <w:sz w:val="32"/>
          <w:szCs w:val="32"/>
          <w:lang w:val="en-US" w:eastAsia="zh-CN" w:bidi="ar"/>
        </w:rPr>
        <w:t>万元，上年结余结转收入171.67</w:t>
      </w:r>
      <w:r>
        <w:rPr>
          <w:rFonts w:hint="eastAsia" w:ascii="仿宋_GB2312" w:hAnsi="仿宋_GB2312" w:eastAsia="仿宋_GB2312" w:cs="仿宋_GB2312"/>
          <w:color w:val="333333"/>
          <w:kern w:val="0"/>
          <w:sz w:val="32"/>
          <w:szCs w:val="32"/>
          <w:lang w:val="en-US" w:eastAsia="zh-CN" w:bidi="ar"/>
        </w:rPr>
        <w:t>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收入增加原因：本年新增“鄂州仲裁委开办及业务经费”项目和“鄂州市司法局密码应用安全性评估服务项目”，另外，本年将上年结转项目重新纳入预算，上年预算中不含结转预算，所以本年预算收入比上年增加。</w:t>
      </w:r>
    </w:p>
    <w:p>
      <w:pPr>
        <w:keepNext w:val="0"/>
        <w:keepLines w:val="0"/>
        <w:widowControl/>
        <w:suppressLineNumbers w:val="0"/>
        <w:ind w:firstLine="643"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2.预算支出情况：</w:t>
      </w:r>
      <w:r>
        <w:rPr>
          <w:rFonts w:hint="eastAsia" w:ascii="仿宋_GB2312" w:hAnsi="仿宋_GB2312" w:eastAsia="仿宋_GB2312" w:cs="仿宋_GB2312"/>
          <w:color w:val="333333"/>
          <w:kern w:val="0"/>
          <w:sz w:val="32"/>
          <w:szCs w:val="32"/>
          <w:lang w:val="en-US" w:eastAsia="zh-CN" w:bidi="ar"/>
        </w:rPr>
        <w:t>2023</w:t>
      </w:r>
      <w:r>
        <w:rPr>
          <w:rFonts w:hint="eastAsia" w:ascii="仿宋_GB2312" w:hAnsi="仿宋_GB2312" w:eastAsia="仿宋_GB2312" w:cs="仿宋_GB2312"/>
          <w:color w:val="333333"/>
          <w:kern w:val="0"/>
          <w:sz w:val="32"/>
          <w:szCs w:val="32"/>
          <w:lang w:val="en-US" w:eastAsia="zh-CN" w:bidi="ar"/>
        </w:rPr>
        <w:t>年本年支出1937.34</w:t>
      </w:r>
      <w:r>
        <w:rPr>
          <w:rFonts w:hint="eastAsia" w:ascii="仿宋_GB2312" w:hAnsi="仿宋_GB2312" w:eastAsia="仿宋_GB2312" w:cs="仿宋_GB2312"/>
          <w:color w:val="333333"/>
          <w:kern w:val="0"/>
          <w:sz w:val="32"/>
          <w:szCs w:val="32"/>
          <w:lang w:val="en-US" w:eastAsia="zh-CN" w:bidi="ar"/>
        </w:rPr>
        <w:t>万元，比上年增加373.24</w:t>
      </w:r>
      <w:r>
        <w:rPr>
          <w:rFonts w:hint="eastAsia" w:ascii="仿宋_GB2312" w:hAnsi="仿宋_GB2312" w:eastAsia="仿宋_GB2312" w:cs="仿宋_GB2312"/>
          <w:color w:val="333333"/>
          <w:kern w:val="0"/>
          <w:sz w:val="32"/>
          <w:szCs w:val="32"/>
          <w:lang w:val="en-US" w:eastAsia="zh-CN" w:bidi="ar"/>
        </w:rPr>
        <w:t>万元，增长23.86</w:t>
      </w:r>
      <w:r>
        <w:rPr>
          <w:rFonts w:hint="eastAsia" w:ascii="仿宋_GB2312" w:hAnsi="仿宋_GB2312" w:eastAsia="仿宋_GB2312" w:cs="仿宋_GB2312"/>
          <w:color w:val="333333"/>
          <w:kern w:val="0"/>
          <w:sz w:val="32"/>
          <w:szCs w:val="32"/>
          <w:lang w:val="en-US" w:eastAsia="zh-CN" w:bidi="ar"/>
        </w:rPr>
        <w:t>% 。其中：基本支出1210.67</w:t>
      </w:r>
      <w:r>
        <w:rPr>
          <w:rFonts w:hint="eastAsia" w:ascii="仿宋_GB2312" w:hAnsi="仿宋_GB2312" w:eastAsia="仿宋_GB2312" w:cs="仿宋_GB2312"/>
          <w:color w:val="333333"/>
          <w:kern w:val="0"/>
          <w:sz w:val="32"/>
          <w:szCs w:val="32"/>
          <w:lang w:val="en-US" w:eastAsia="zh-CN" w:bidi="ar"/>
        </w:rPr>
        <w:t>万元，占总支出的62.5</w:t>
      </w:r>
      <w:r>
        <w:rPr>
          <w:rFonts w:hint="eastAsia" w:ascii="仿宋_GB2312" w:hAnsi="仿宋_GB2312" w:eastAsia="仿宋_GB2312" w:cs="仿宋_GB2312"/>
          <w:color w:val="333333"/>
          <w:kern w:val="0"/>
          <w:sz w:val="32"/>
          <w:szCs w:val="32"/>
          <w:lang w:val="en-US" w:eastAsia="zh-CN" w:bidi="ar"/>
        </w:rPr>
        <w:t>%；项目支出726.67</w:t>
      </w:r>
      <w:r>
        <w:rPr>
          <w:rFonts w:hint="eastAsia" w:ascii="仿宋_GB2312" w:hAnsi="仿宋_GB2312" w:eastAsia="仿宋_GB2312" w:cs="仿宋_GB2312"/>
          <w:color w:val="333333"/>
          <w:kern w:val="0"/>
          <w:sz w:val="32"/>
          <w:szCs w:val="32"/>
          <w:lang w:val="en-US" w:eastAsia="zh-CN" w:bidi="ar"/>
        </w:rPr>
        <w:t>万元，占总支出的37.5%。本年支出构成为：一般公共服务支出1</w:t>
      </w:r>
      <w:r>
        <w:rPr>
          <w:rFonts w:hint="eastAsia" w:ascii="仿宋_GB2312" w:hAnsi="仿宋_GB2312" w:eastAsia="仿宋_GB2312" w:cs="仿宋_GB2312"/>
          <w:color w:val="333333"/>
          <w:kern w:val="0"/>
          <w:sz w:val="32"/>
          <w:szCs w:val="32"/>
          <w:lang w:val="en-US" w:eastAsia="zh-CN" w:bidi="ar"/>
        </w:rPr>
        <w:t>万元，占本年支出0.05</w:t>
      </w:r>
      <w:r>
        <w:rPr>
          <w:rFonts w:hint="eastAsia" w:ascii="仿宋_GB2312" w:hAnsi="仿宋_GB2312" w:eastAsia="仿宋_GB2312" w:cs="仿宋_GB2312"/>
          <w:color w:val="333333"/>
          <w:kern w:val="0"/>
          <w:sz w:val="32"/>
          <w:szCs w:val="32"/>
          <w:lang w:val="en-US" w:eastAsia="zh-CN" w:bidi="ar"/>
        </w:rPr>
        <w:t>%；公共安全支出1548.34万元，占总支出的79.92</w:t>
      </w:r>
      <w:r>
        <w:rPr>
          <w:rFonts w:hint="eastAsia" w:ascii="仿宋_GB2312" w:hAnsi="仿宋_GB2312" w:eastAsia="仿宋_GB2312" w:cs="仿宋_GB2312"/>
          <w:color w:val="333333"/>
          <w:kern w:val="0"/>
          <w:sz w:val="32"/>
          <w:szCs w:val="32"/>
          <w:lang w:val="en-US" w:eastAsia="zh-CN" w:bidi="ar"/>
        </w:rPr>
        <w:t>%；社会保障和就业支出213.14</w:t>
      </w:r>
      <w:r>
        <w:rPr>
          <w:rFonts w:hint="eastAsia" w:ascii="仿宋_GB2312" w:hAnsi="仿宋_GB2312" w:eastAsia="仿宋_GB2312" w:cs="仿宋_GB2312"/>
          <w:color w:val="333333"/>
          <w:kern w:val="0"/>
          <w:sz w:val="32"/>
          <w:szCs w:val="32"/>
          <w:lang w:val="en-US" w:eastAsia="zh-CN" w:bidi="ar"/>
        </w:rPr>
        <w:t>万元，占本年支出11</w:t>
      </w:r>
      <w:r>
        <w:rPr>
          <w:rFonts w:hint="eastAsia" w:ascii="仿宋_GB2312" w:hAnsi="仿宋_GB2312" w:eastAsia="仿宋_GB2312" w:cs="仿宋_GB2312"/>
          <w:color w:val="333333"/>
          <w:kern w:val="0"/>
          <w:sz w:val="32"/>
          <w:szCs w:val="32"/>
          <w:lang w:val="en-US" w:eastAsia="zh-CN" w:bidi="ar"/>
        </w:rPr>
        <w:t>%；</w:t>
      </w:r>
      <w:r>
        <w:rPr>
          <w:rFonts w:hint="eastAsia" w:ascii="仿宋_GB2312" w:hAnsi="仿宋_GB2312" w:eastAsia="仿宋_GB2312" w:cs="仿宋_GB2312"/>
          <w:color w:val="333333"/>
          <w:kern w:val="0"/>
          <w:sz w:val="32"/>
          <w:szCs w:val="32"/>
          <w:lang w:val="en-US" w:eastAsia="zh-CN" w:bidi="ar"/>
        </w:rPr>
        <w:t>卫生健康支出95.08</w:t>
      </w:r>
      <w:r>
        <w:rPr>
          <w:rFonts w:hint="eastAsia" w:ascii="仿宋_GB2312" w:hAnsi="仿宋_GB2312" w:eastAsia="仿宋_GB2312" w:cs="仿宋_GB2312"/>
          <w:color w:val="333333"/>
          <w:kern w:val="0"/>
          <w:sz w:val="32"/>
          <w:szCs w:val="32"/>
          <w:lang w:val="en-US" w:eastAsia="zh-CN" w:bidi="ar"/>
        </w:rPr>
        <w:t>万元，占本年支出4.91</w:t>
      </w:r>
      <w:r>
        <w:rPr>
          <w:rFonts w:hint="eastAsia" w:ascii="仿宋_GB2312" w:hAnsi="仿宋_GB2312" w:eastAsia="仿宋_GB2312" w:cs="仿宋_GB2312"/>
          <w:color w:val="333333"/>
          <w:kern w:val="0"/>
          <w:sz w:val="32"/>
          <w:szCs w:val="32"/>
          <w:lang w:val="en-US" w:eastAsia="zh-CN" w:bidi="ar"/>
        </w:rPr>
        <w:t>%；住房保障支出79.79</w:t>
      </w:r>
      <w:r>
        <w:rPr>
          <w:rFonts w:hint="eastAsia" w:ascii="仿宋_GB2312" w:hAnsi="仿宋_GB2312" w:eastAsia="仿宋_GB2312" w:cs="仿宋_GB2312"/>
          <w:color w:val="333333"/>
          <w:kern w:val="0"/>
          <w:sz w:val="32"/>
          <w:szCs w:val="32"/>
          <w:lang w:val="en-US" w:eastAsia="zh-CN" w:bidi="ar"/>
        </w:rPr>
        <w:t>万元，占本年支出4.12</w:t>
      </w:r>
      <w:r>
        <w:rPr>
          <w:rFonts w:hint="eastAsia" w:ascii="仿宋_GB2312" w:hAnsi="仿宋_GB2312" w:eastAsia="仿宋_GB2312" w:cs="仿宋_GB2312"/>
          <w:color w:val="333333"/>
          <w:kern w:val="0"/>
          <w:sz w:val="32"/>
          <w:szCs w:val="32"/>
          <w:lang w:val="en-US" w:eastAsia="zh-CN" w:bidi="ar"/>
        </w:rPr>
        <w:t>%。</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支出增加原因：本年新增“鄂州仲裁委开办及业务经费”项目和“鄂州市司法局密码应用安全性评估服务项目”，又将上年结转项目重新纳入支出预算，因此项目支出增加。</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四、机关运行经费安排情况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2023年机关运行经费预算总额为156.82万元，与上年相比增加5.75万元，增长3.8%。增加原因主要是：因工资福利等人员经费的变化导致其他交通费等机关运行类项目的相应增加。其中，办公费10万元，印刷费3.6万元，咨询费1万元，手续费0.1万元，水费0.8万元，电费12万元，邮电费3.2万元，物业管理费5万元，差旅费3万元，维修(护)费1.2万元，会议费0.2万元，公务接待费3万元，租赁费2万元，劳务费4万元，工会经费17.8万元，福利费26.68万元，公务用车运行维护费2万元，其他交通费35.46万元，其他商品和服务支出25.78万元。</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五、一般公共预算“三公”经费及增减变化情况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2023年“三公”经费一般公共预算总额11万元，比上年预算减少20万元，下降64.5%，主要原因是今年无公车购置计划，因此公务用车购置预算比上年减少20万元。增加变化分别如下： </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1.公务接待费3万元，与上年预算相比无变化；</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公务用车购置及运行费8万元，比上年减少20万元，下降71.4%，其中，一般公共预算公务用车购置费为0万元,比上年减少20万元，下降100%；公务用车运行费8万元，与上年预算相比无变化。公务用车购置及运行费减少主要原因：本年无公车购置计划，没有列公务用车购置预算，因此公务用车购置费用预算比上年减少。</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3.因公出国出（境）费 0万元，与上年预算相比无变化。 </w:t>
      </w:r>
      <w:r>
        <w:rPr>
          <w:rFonts w:hint="eastAsia" w:ascii="仿宋_GB2312" w:hAnsi="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六、政府采购预算安排情况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根据政府采购相关法律法规要求，2023年我部门编制政府采购预算112.08万元，比上年度增长37%，预算增加主要原因：因仲裁委的成立，需购置办公设备、家具和业务服务平台等信息系统，因此政府采购预算增加。其中：货物类政府采购预算44.21万元，主要是办公设备购置等支出；服务类政府采购预算67.87万元，主要印刷费、业务服务平台信息系统等支出。</w:t>
      </w:r>
    </w:p>
    <w:p>
      <w:pPr>
        <w:keepNext w:val="0"/>
        <w:keepLines w:val="0"/>
        <w:widowControl/>
        <w:numPr>
          <w:numId w:val="0"/>
        </w:numPr>
        <w:suppressLineNumbers w:val="0"/>
        <w:ind w:firstLine="640" w:firstLineChars="200"/>
        <w:jc w:val="left"/>
        <w:rPr>
          <w:rFonts w:hint="eastAsia" w:ascii="仿宋_GB2312" w:hAnsi="仿宋_GB2312" w:eastAsia="仿宋_GB2312" w:cs="仿宋_GB2312"/>
          <w:color w:val="333333"/>
          <w:kern w:val="0"/>
          <w:sz w:val="32"/>
          <w:szCs w:val="32"/>
          <w:highlight w:val="yellow"/>
          <w:lang w:val="en-US" w:eastAsia="zh-CN" w:bidi="ar"/>
        </w:rPr>
      </w:pPr>
      <w:r>
        <w:rPr>
          <w:rFonts w:hint="eastAsia" w:ascii="黑体" w:hAnsi="黑体" w:eastAsia="黑体" w:cs="黑体"/>
          <w:color w:val="333333"/>
          <w:kern w:val="0"/>
          <w:sz w:val="32"/>
          <w:szCs w:val="32"/>
          <w:lang w:val="en-US" w:eastAsia="zh-CN" w:bidi="ar"/>
        </w:rPr>
        <w:t>七、国有资产占用情况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部门国有资产占用情况：鄂州市司法行政部门办公大楼坐落于鄂州市滨湖南路25号，占地面积约400余平方米，共12层，总建筑面积4437.09平方米，总使用面积2058平方米，其中：1楼为鄂州市公共法律服务大厅，为市民提供法律援助、行政复议与应诉和公证等法律服务办理业务。5楼为市公证处所有，建筑面积378.83平方米。目前，市法律援助中心与市司法局本级合处办公。截止2022年底，本部门现有公车2辆，其中执法车辆2辆，特种专业技术用车0辆，其他用车0辆，单位价值50万以上通用设备0台，单位价值100万以上专用设备0台。                    </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预计2023年本部门新增资产情况：2023年我单位列入预算的办公设备购置费用为44.21万元，本年预计新增资产44.21万元。           </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2023年本部门计划处置资产情况：2023年本单位计划处置一批不能正常使用且达到报废标准的资产，以及按办公电脑国产化要求处置单位非国产电脑一批，预计账面价值合计34.9万元。</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八、重点项目预算绩效情况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2023年部门项目均实行绩效目标管理，涉及一般公共预算当年财政拨款1937.34万元。所有项目均编制了项目支出绩效目标申报表，顺利完成2023年度绩效目标编制工作。</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fldChar w:fldCharType="begin">
          <w:fldData xml:space="preserve">RABEAEIAMwBGADEAOAAwADkAOAAzADEANAA2ADQARQBBADUAMwBGAEYAMgA0ADEANAAzADUAQgAx
ADMAMgA4AA==
</w:fldData>
        </w:fldChar>
      </w:r>
      <w:r>
        <w:rPr>
          <w:rFonts w:hint="eastAsia" w:ascii="仿宋_GB2312" w:hAnsi="仿宋_GB2312" w:eastAsia="仿宋_GB2312" w:cs="仿宋_GB2312"/>
          <w:color w:val="333333"/>
          <w:kern w:val="0"/>
          <w:sz w:val="32"/>
          <w:szCs w:val="32"/>
          <w:lang w:val="en-US" w:eastAsia="zh-CN" w:bidi="ar"/>
        </w:rPr>
        <w:instrText xml:space="preserve">Addin 项目名称</w:instrText>
      </w:r>
      <w:r>
        <w:rPr>
          <w:rFonts w:hint="eastAsia" w:ascii="仿宋_GB2312" w:hAnsi="仿宋_GB2312" w:eastAsia="仿宋_GB2312" w:cs="仿宋_GB2312"/>
          <w:color w:val="333333"/>
          <w:kern w:val="0"/>
          <w:sz w:val="32"/>
          <w:szCs w:val="32"/>
          <w:lang w:val="en-US" w:eastAsia="zh-CN" w:bidi="ar"/>
        </w:rPr>
        <w:fldChar w:fldCharType="separate"/>
      </w:r>
      <w:r>
        <w:rPr>
          <w:rFonts w:hint="eastAsia" w:ascii="仿宋_GB2312" w:hAnsi="仿宋_GB2312" w:eastAsia="仿宋_GB2312" w:cs="仿宋_GB2312"/>
          <w:color w:val="333333"/>
          <w:kern w:val="0"/>
          <w:sz w:val="32"/>
          <w:szCs w:val="32"/>
          <w:lang w:val="en-US" w:eastAsia="zh-CN" w:bidi="ar"/>
        </w:rPr>
        <w:t>法律顾问管理工作</w:t>
      </w:r>
      <w:r>
        <w:rPr>
          <w:rFonts w:hint="eastAsia" w:ascii="仿宋_GB2312" w:hAnsi="仿宋_GB2312" w:eastAsia="仿宋_GB2312" w:cs="仿宋_GB2312"/>
          <w:color w:val="333333"/>
          <w:kern w:val="0"/>
          <w:sz w:val="32"/>
          <w:szCs w:val="32"/>
          <w:lang w:val="en-US" w:eastAsia="zh-CN" w:bidi="ar"/>
        </w:rPr>
        <w:fldChar w:fldCharType="end"/>
      </w:r>
      <w:r>
        <w:rPr>
          <w:rFonts w:hint="eastAsia" w:ascii="仿宋_GB2312" w:hAnsi="仿宋_GB2312" w:eastAsia="仿宋_GB2312" w:cs="仿宋_GB2312"/>
          <w:color w:val="333333"/>
          <w:kern w:val="0"/>
          <w:sz w:val="32"/>
          <w:szCs w:val="32"/>
          <w:lang w:val="en-US" w:eastAsia="zh-CN" w:bidi="ar"/>
        </w:rPr>
        <w:t>项目作为重点项目，2023年该项目预算金额90万元，资金来源为一般公共预算拨款，绩效目标设置为：通过推行（社区）法律顾问工作，从而有效预防和化解社会矛盾纠纷，提升群众法治意识，维护群众合法权益，充分发挥律师在促进法治鄂州建设中的重要作用；通过推行法律顾问制度和公职律师公司律师制度，提高领导干部科学决策、民主决策、依法决策的水平以及运用法治思维和法治方式深化改革、推动发展、化解矛盾、维护稳定的能力；通过律师参与涉法信访案件的化解，解决改革发展中产生的社会矛盾和法律问题，解决好涉法信访问题，维护群众合法权益，推动司法公正，促进社会和谐与稳定；通过承担市政府法律顾问工作，预防化解政府依法行政风险；通过开展律师调解试点工作，有效化解各类矛盾纠纷；通过组织法律职业资格考试，为国家输送法律职业人才。</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（一）产出指标：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数量指标：村（社区）法律顾问覆盖率达到100%，全市366个村（社区）均聘用法律顾问；村（社区）法律顾问全年开展法律服务场次≥3000场次，由各乡镇街按照市级及其区级文件精神执行，开展法律咨询、法治讲座、矛盾纠纷调解等，定期服务与及时服务相结合；法律顾问制度覆盖率达到100%，实现全市党政机关、国有企业、学校、医疗机构执行法律顾问制度全覆盖；监督检查次数≥2次，对全市法律顾问、公职律师、公司律师制度落实情况进行1次监督检查，对村（社区）法律顾问工作进行督查不少于1次；开展市政府合同、文件等合法性审查件次≥30件次，按照市政府的要求，开展法律审查工作，并出具法律意见；开展律师调解工作案件数≥30件，律师调解员在市公共法律服务中心律师调解工作室（律协调解中心）值班，组织开展案件调解；律师参与信访工作次数≥25人次，律师按要求，开展信访维稳工作；党建指导员选派人数≥6人次，市直所合计选派3名，各区各派1名，合计6名；组织实施法律职业资格考试1次，每年在司法部部署安排和省司法厅工作要求下，组织实施法律职业资格考试；</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2、质量指标：法律顾问工作零投诉、零上访、零应诉达到100%，无因工作原因导致的投诉、上访、应诉等问题；</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3、时效指标：合法性审查及时高效度达100%，接到市政府合法性审查工作后，承诺在7个工作日内完成回复；</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4、成本指标：全年预算执行率≤100%，在实际工作中严格执行预算，不超标；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（二）效益指标：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1、社会效益指标：群众满意度≥80%，增强村（社区）群众法治获得感，全面提升群众满意率；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2、可持续影响指标：主流媒体报道次数≥5次，在鄂州日报、湖北日报、鄂州广播电视等媒体上宣传报道法律顾问工作不少于5篇次；</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（三）满意度指标：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服务对象满意度指标：服务对象满意度≥90%，律师、律师事务所对我市律师工作满意度达90%以上；</w:t>
      </w:r>
    </w:p>
    <w:p>
      <w:pPr>
        <w:keepNext w:val="0"/>
        <w:keepLines w:val="0"/>
        <w:widowControl/>
        <w:suppressLineNumbers w:val="0"/>
        <w:ind w:firstLine="640" w:firstLineChars="200"/>
        <w:jc w:val="left"/>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九、其他需要说明的情况</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无</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highlight w:val="yellow"/>
          <w:lang w:val="en-US" w:eastAsia="zh-CN" w:bidi="ar"/>
        </w:rPr>
      </w:pPr>
      <w:r>
        <w:rPr>
          <w:rFonts w:hint="eastAsia" w:ascii="黑体" w:hAnsi="黑体" w:eastAsia="黑体" w:cs="黑体"/>
          <w:color w:val="333333"/>
          <w:kern w:val="0"/>
          <w:sz w:val="32"/>
          <w:szCs w:val="32"/>
          <w:lang w:val="en-US" w:eastAsia="zh-CN" w:bidi="ar"/>
        </w:rPr>
        <w:t>十、专业名词解释</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1.财政拨款收入：指财政当年拨付的一般公共预算资金，包括基本拨款收入和项目拨款收入。</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2.基本支出：指为保障机构正常运转、完成日常工作任务而发生的人员支出和公用支出。 </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3.项目支出：指在基本支出之外为完成特定行政任务和事业发展目标所发生的支出。 </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4.法律援助：指由</w:t>
      </w:r>
      <w:r>
        <w:rPr>
          <w:rFonts w:hint="eastAsia" w:ascii="仿宋_GB2312" w:hAnsi="仿宋_GB2312" w:eastAsia="仿宋_GB2312" w:cs="仿宋_GB2312"/>
          <w:color w:val="333333"/>
          <w:kern w:val="0"/>
          <w:sz w:val="32"/>
          <w:szCs w:val="32"/>
          <w:lang w:val="en-US" w:eastAsia="zh-CN" w:bidi="ar"/>
        </w:rPr>
        <w:fldChar w:fldCharType="begin"/>
      </w:r>
      <w:r>
        <w:rPr>
          <w:rFonts w:hint="eastAsia" w:ascii="仿宋_GB2312" w:hAnsi="仿宋_GB2312" w:eastAsia="仿宋_GB2312" w:cs="仿宋_GB2312"/>
          <w:color w:val="333333"/>
          <w:kern w:val="0"/>
          <w:sz w:val="32"/>
          <w:szCs w:val="32"/>
          <w:lang w:val="en-US" w:eastAsia="zh-CN" w:bidi="ar"/>
        </w:rPr>
        <w:instrText xml:space="preserve"> HYPERLINK "https://baike.so.com/doc/3102520-3270204.html" \t "https://baike.so.com/doc/_blank" </w:instrText>
      </w:r>
      <w:r>
        <w:rPr>
          <w:rFonts w:hint="eastAsia" w:ascii="仿宋_GB2312" w:hAnsi="仿宋_GB2312" w:eastAsia="仿宋_GB2312" w:cs="仿宋_GB2312"/>
          <w:color w:val="333333"/>
          <w:kern w:val="0"/>
          <w:sz w:val="32"/>
          <w:szCs w:val="32"/>
          <w:lang w:val="en-US" w:eastAsia="zh-CN" w:bidi="ar"/>
        </w:rPr>
        <w:fldChar w:fldCharType="separate"/>
      </w:r>
      <w:r>
        <w:rPr>
          <w:rFonts w:hint="eastAsia" w:ascii="仿宋_GB2312" w:hAnsi="仿宋_GB2312" w:eastAsia="仿宋_GB2312" w:cs="仿宋_GB2312"/>
          <w:color w:val="333333"/>
          <w:kern w:val="0"/>
          <w:sz w:val="32"/>
          <w:szCs w:val="32"/>
          <w:lang w:val="en-US" w:eastAsia="zh-CN" w:bidi="ar"/>
        </w:rPr>
        <w:t>政府</w:t>
      </w:r>
      <w:r>
        <w:rPr>
          <w:rFonts w:hint="eastAsia" w:ascii="仿宋_GB2312" w:hAnsi="仿宋_GB2312" w:eastAsia="仿宋_GB2312" w:cs="仿宋_GB2312"/>
          <w:color w:val="333333"/>
          <w:kern w:val="0"/>
          <w:sz w:val="32"/>
          <w:szCs w:val="32"/>
          <w:lang w:val="en-US" w:eastAsia="zh-CN" w:bidi="ar"/>
        </w:rPr>
        <w:fldChar w:fldCharType="end"/>
      </w:r>
      <w:r>
        <w:rPr>
          <w:rFonts w:hint="eastAsia" w:ascii="仿宋_GB2312" w:hAnsi="仿宋_GB2312" w:eastAsia="仿宋_GB2312" w:cs="仿宋_GB2312"/>
          <w:color w:val="333333"/>
          <w:kern w:val="0"/>
          <w:sz w:val="32"/>
          <w:szCs w:val="32"/>
          <w:lang w:val="en-US" w:eastAsia="zh-CN" w:bidi="ar"/>
        </w:rPr>
        <w:t>设立的法律援助机构组织法律援助</w:t>
      </w:r>
      <w:r>
        <w:rPr>
          <w:rFonts w:hint="eastAsia" w:ascii="仿宋_GB2312" w:hAnsi="仿宋_GB2312" w:eastAsia="仿宋_GB2312" w:cs="仿宋_GB2312"/>
          <w:color w:val="333333"/>
          <w:kern w:val="0"/>
          <w:sz w:val="32"/>
          <w:szCs w:val="32"/>
          <w:lang w:val="en-US" w:eastAsia="zh-CN" w:bidi="ar"/>
        </w:rPr>
        <w:fldChar w:fldCharType="begin"/>
      </w:r>
      <w:r>
        <w:rPr>
          <w:rFonts w:hint="eastAsia" w:ascii="仿宋_GB2312" w:hAnsi="仿宋_GB2312" w:eastAsia="仿宋_GB2312" w:cs="仿宋_GB2312"/>
          <w:color w:val="333333"/>
          <w:kern w:val="0"/>
          <w:sz w:val="32"/>
          <w:szCs w:val="32"/>
          <w:lang w:val="en-US" w:eastAsia="zh-CN" w:bidi="ar"/>
        </w:rPr>
        <w:instrText xml:space="preserve"> HYPERLINK "https://baike.so.com/doc/665150-704110.html" \t "https://baike.so.com/doc/_blank" </w:instrText>
      </w:r>
      <w:r>
        <w:rPr>
          <w:rFonts w:hint="eastAsia" w:ascii="仿宋_GB2312" w:hAnsi="仿宋_GB2312" w:eastAsia="仿宋_GB2312" w:cs="仿宋_GB2312"/>
          <w:color w:val="333333"/>
          <w:kern w:val="0"/>
          <w:sz w:val="32"/>
          <w:szCs w:val="32"/>
          <w:lang w:val="en-US" w:eastAsia="zh-CN" w:bidi="ar"/>
        </w:rPr>
        <w:fldChar w:fldCharType="separate"/>
      </w:r>
      <w:r>
        <w:rPr>
          <w:rFonts w:hint="eastAsia" w:ascii="仿宋_GB2312" w:hAnsi="仿宋_GB2312" w:eastAsia="仿宋_GB2312" w:cs="仿宋_GB2312"/>
          <w:color w:val="333333"/>
          <w:kern w:val="0"/>
          <w:sz w:val="32"/>
          <w:szCs w:val="32"/>
          <w:lang w:val="en-US" w:eastAsia="zh-CN" w:bidi="ar"/>
        </w:rPr>
        <w:t>律师</w:t>
      </w:r>
      <w:r>
        <w:rPr>
          <w:rFonts w:hint="eastAsia" w:ascii="仿宋_GB2312" w:hAnsi="仿宋_GB2312" w:eastAsia="仿宋_GB2312" w:cs="仿宋_GB2312"/>
          <w:color w:val="333333"/>
          <w:kern w:val="0"/>
          <w:sz w:val="32"/>
          <w:szCs w:val="32"/>
          <w:lang w:val="en-US" w:eastAsia="zh-CN" w:bidi="ar"/>
        </w:rPr>
        <w:fldChar w:fldCharType="end"/>
      </w:r>
      <w:r>
        <w:rPr>
          <w:rFonts w:hint="eastAsia" w:ascii="仿宋_GB2312" w:hAnsi="仿宋_GB2312" w:eastAsia="仿宋_GB2312" w:cs="仿宋_GB2312"/>
          <w:color w:val="333333"/>
          <w:kern w:val="0"/>
          <w:sz w:val="32"/>
          <w:szCs w:val="32"/>
          <w:lang w:val="en-US" w:eastAsia="zh-CN" w:bidi="ar"/>
        </w:rPr>
        <w:t>，为经济困难或特殊案件的当事人给予无偿提供法律服务的一项法律保障制度。</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5.社区矫正：是与监禁矫正相对的刑罚方式，是指将符合社区矫正条件的罪犯置于社区内，由专门的国家机关在相关社会团体和民间组织以及社会</w:t>
      </w:r>
      <w:r>
        <w:rPr>
          <w:rFonts w:hint="eastAsia" w:ascii="仿宋_GB2312" w:hAnsi="仿宋_GB2312" w:eastAsia="仿宋_GB2312" w:cs="仿宋_GB2312"/>
          <w:color w:val="333333"/>
          <w:kern w:val="0"/>
          <w:sz w:val="32"/>
          <w:szCs w:val="32"/>
          <w:lang w:val="en-US" w:eastAsia="zh-CN" w:bidi="ar"/>
        </w:rPr>
        <w:fldChar w:fldCharType="begin"/>
      </w:r>
      <w:r>
        <w:rPr>
          <w:rFonts w:hint="eastAsia" w:ascii="仿宋_GB2312" w:hAnsi="仿宋_GB2312" w:eastAsia="仿宋_GB2312" w:cs="仿宋_GB2312"/>
          <w:color w:val="333333"/>
          <w:kern w:val="0"/>
          <w:sz w:val="32"/>
          <w:szCs w:val="32"/>
          <w:lang w:val="en-US" w:eastAsia="zh-CN" w:bidi="ar"/>
        </w:rPr>
        <w:instrText xml:space="preserve"> HYPERLINK "https://baike.so.com/doc/5378270.html" \t "https://baike.so.com/doc/_blank" </w:instrText>
      </w:r>
      <w:r>
        <w:rPr>
          <w:rFonts w:hint="eastAsia" w:ascii="仿宋_GB2312" w:hAnsi="仿宋_GB2312" w:eastAsia="仿宋_GB2312" w:cs="仿宋_GB2312"/>
          <w:color w:val="333333"/>
          <w:kern w:val="0"/>
          <w:sz w:val="32"/>
          <w:szCs w:val="32"/>
          <w:lang w:val="en-US" w:eastAsia="zh-CN" w:bidi="ar"/>
        </w:rPr>
        <w:fldChar w:fldCharType="separate"/>
      </w:r>
      <w:r>
        <w:rPr>
          <w:rFonts w:hint="eastAsia" w:ascii="仿宋_GB2312" w:hAnsi="仿宋_GB2312" w:eastAsia="仿宋_GB2312" w:cs="仿宋_GB2312"/>
          <w:color w:val="333333"/>
          <w:kern w:val="0"/>
          <w:sz w:val="32"/>
          <w:szCs w:val="32"/>
          <w:lang w:val="en-US" w:eastAsia="zh-CN" w:bidi="ar"/>
        </w:rPr>
        <w:t>志愿者</w:t>
      </w:r>
      <w:r>
        <w:rPr>
          <w:rFonts w:hint="eastAsia" w:ascii="仿宋_GB2312" w:hAnsi="仿宋_GB2312" w:eastAsia="仿宋_GB2312" w:cs="仿宋_GB2312"/>
          <w:color w:val="333333"/>
          <w:kern w:val="0"/>
          <w:sz w:val="32"/>
          <w:szCs w:val="32"/>
          <w:lang w:val="en-US" w:eastAsia="zh-CN" w:bidi="ar"/>
        </w:rPr>
        <w:fldChar w:fldCharType="end"/>
      </w:r>
      <w:r>
        <w:rPr>
          <w:rFonts w:hint="eastAsia" w:ascii="仿宋_GB2312" w:hAnsi="仿宋_GB2312" w:eastAsia="仿宋_GB2312" w:cs="仿宋_GB2312"/>
          <w:color w:val="333333"/>
          <w:kern w:val="0"/>
          <w:sz w:val="32"/>
          <w:szCs w:val="32"/>
          <w:lang w:val="en-US" w:eastAsia="zh-CN" w:bidi="ar"/>
        </w:rPr>
        <w:t>的协助下，在判决、裁定或决定确定的期限内，矫正其犯罪心理和行为恶习，并促进其顺利回归社会的非监禁刑罚执行活动。</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6.刑释解教人员安置帮教：简称安置帮教，是在各级政府领导下，依靠各有关部门和社会力量对刑满释放、解除社区矫正人员进行的一种非强制性的引导、扶助、教育和管理活动。</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7.人民监督员：人民监督员由司法行政机关负责选任管理，可对检察机关办理直接受理立案侦查案件工作中存在的11种情形实施监督。</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8.行政复议：是公民、法人或者其他组织认为行政主体的具体行政行为违法或不当侵犯其合法权益，依法向行政复议机关提出审查该具体行政行为的申请，行政复议机关依照法定程序对被申请的具体行政行为进行合法性、适当性审查，并作出行政复议决定的一种法律制度。</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9、人员类项目：部门和单位有关人员的工资福利支出、对个人和家庭的补助支出项目。</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10、运转类项目：运转类项目包括各部门为保障其机构自身正常运转、完成日常工作任务所发生的公用经费项目和专项用于大型公用设施、大型专用设备、专用信息系统运行维护等的其他运转类项目。</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11、特定目标类项目：部门和单位为完成其特定的工作任务和事业发展目标所发生的支出项目。除人员类项目和运转类项目外，其他预算项目作为特定目标类项目管理。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auto"/>
    <w:pitch w:val="default"/>
    <w:sig w:usb0="00000000" w:usb1="00000000" w:usb2="00000009" w:usb3="00000000" w:csb0="200001FF" w:csb1="00000000"/>
  </w:font>
  <w:font w:name="___WRD_EMBED_SUB_41">
    <w:altName w:val="宋体"/>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font-weight : 400">
    <w:altName w:val="Courier New"/>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汉仪中宋简">
    <w:altName w:val="宋体"/>
    <w:panose1 w:val="02010600000101010101"/>
    <w:charset w:val="86"/>
    <w:family w:val="auto"/>
    <w:pitch w:val="default"/>
    <w:sig w:usb0="00000000" w:usb1="00000000" w:usb2="00000002"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E1968"/>
    <w:rsid w:val="2915396F"/>
    <w:rsid w:val="504E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2023-02-09T07:38:00Z</dcterms:created>
  <dc:creator>黄晓庆</dc:creator>
  <cp:lastModifiedBy>黄晓庆</cp:lastModifiedBy>
  <dcterms:modified xsi:type="dcterms:W3CDTF">2023-02-10T03:30:52Z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