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bookmarkStart w:id="0" w:name="_Toc321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pStyle w:val="11"/>
        <w:pageBreakBefore w:val="0"/>
        <w:tabs>
          <w:tab w:val="right" w:leader="dot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eastAsia="zh-CN"/>
        </w:rPr>
        <w:t>鄂州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市</w:t>
      </w:r>
      <w:r>
        <w:rPr>
          <w:rFonts w:hint="default" w:ascii="Times New Roman" w:hAnsi="Times New Roman" w:cs="Times New Roman" w:eastAsiaTheme="minorEastAsia"/>
          <w:b/>
          <w:bCs/>
          <w:sz w:val="52"/>
          <w:szCs w:val="52"/>
        </w:rPr>
        <w:t>20</w:t>
      </w:r>
      <w:r>
        <w:rPr>
          <w:rFonts w:hint="default" w:ascii="Times New Roman" w:hAnsi="Times New Roman" w:cs="Times New Roman" w:eastAsiaTheme="minorEastAsia"/>
          <w:b/>
          <w:bCs/>
          <w:sz w:val="52"/>
          <w:szCs w:val="5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年度国有建设用地</w:t>
      </w:r>
    </w:p>
    <w:p>
      <w:pPr>
        <w:pStyle w:val="11"/>
        <w:pageBreakBefore w:val="0"/>
        <w:tabs>
          <w:tab w:val="right" w:leader="dot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供应计划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eastAsia="黑体"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eastAsia="黑体"/>
          <w:sz w:val="48"/>
          <w:szCs w:val="48"/>
        </w:rPr>
      </w:pPr>
    </w:p>
    <w:p>
      <w:pPr>
        <w:pStyle w:val="11"/>
        <w:pageBreakBefore w:val="0"/>
        <w:tabs>
          <w:tab w:val="right" w:leader="dot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鄂州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市自然资源和规划局</w:t>
      </w:r>
    </w:p>
    <w:p>
      <w:pPr>
        <w:pStyle w:val="11"/>
        <w:pageBreakBefore w:val="0"/>
        <w:tabs>
          <w:tab w:val="right" w:leader="dot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sectPr>
          <w:headerReference r:id="rId3" w:type="default"/>
          <w:footerReference r:id="rId4" w:type="even"/>
          <w:pgSz w:w="11905" w:h="16838"/>
          <w:pgMar w:top="1797" w:right="1440" w:bottom="1797" w:left="2007" w:header="1417" w:footer="1134" w:gutter="0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〇年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月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6227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/>
              <w:b/>
              <w:bCs/>
              <w:sz w:val="32"/>
              <w:szCs w:val="32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>
          <w:pPr>
            <w:pStyle w:val="12"/>
            <w:tabs>
              <w:tab w:val="right" w:leader="dot" w:pos="8448"/>
            </w:tabs>
            <w:rPr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 HYPERLINK \l _Toc20868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一、计划的目的、意义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_Toc20868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1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_Toc24673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（一）编制目的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_Toc24673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_Toc5952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</w:t>
          </w:r>
          <w:r>
            <w:rPr>
              <w:rFonts w:hint="eastAsia" w:ascii="宋体" w:hAnsi="宋体"/>
              <w:sz w:val="28"/>
              <w:szCs w:val="28"/>
            </w:rPr>
            <w:t>二</w:t>
          </w:r>
          <w:r>
            <w:rPr>
              <w:rFonts w:ascii="宋体" w:hAnsi="宋体"/>
              <w:sz w:val="28"/>
              <w:szCs w:val="28"/>
            </w:rPr>
            <w:t>）编制</w:t>
          </w:r>
          <w:r>
            <w:rPr>
              <w:rFonts w:hint="eastAsia" w:ascii="宋体" w:hAnsi="宋体"/>
              <w:sz w:val="28"/>
              <w:szCs w:val="28"/>
            </w:rPr>
            <w:t>意义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_Toc5952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448"/>
            </w:tabs>
            <w:rPr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 HYPERLINK \l _Toc20975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28"/>
              <w:szCs w:val="28"/>
            </w:rPr>
            <w:t>二</w:t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、指导思想和基本原则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_Toc20975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2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_Toc9966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  <w:highlight w:val="none"/>
            </w:rPr>
            <w:t>（一）指导思想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_Toc9966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_Toc28668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（二）基本原则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_Toc28668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448"/>
            </w:tabs>
            <w:rPr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 HYPERLINK \l _Toc30496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28"/>
              <w:szCs w:val="28"/>
            </w:rPr>
            <w:t>三</w:t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、</w:t>
          </w:r>
          <w:r>
            <w:rPr>
              <w:rFonts w:hint="eastAsia" w:ascii="宋体" w:hAnsi="宋体" w:eastAsia="宋体"/>
              <w:b/>
              <w:bCs/>
              <w:sz w:val="28"/>
              <w:szCs w:val="28"/>
            </w:rPr>
            <w:t>计划编制的范围及期限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_Toc30496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4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_Toc19326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（一）计划编制的范围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_Toc19326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_Toc7923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（二）计划编制的期限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_Toc7923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448"/>
            </w:tabs>
            <w:rPr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 HYPERLINK \l _Toc18710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28"/>
              <w:szCs w:val="28"/>
            </w:rPr>
            <w:t>四</w:t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、计划指标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_Toc18710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4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_Toc23195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（一）国有建设用地供应总量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_Toc23195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_Toc15856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</w:t>
          </w:r>
          <w:r>
            <w:rPr>
              <w:rFonts w:hint="eastAsia" w:ascii="宋体" w:hAnsi="宋体"/>
              <w:sz w:val="28"/>
              <w:szCs w:val="28"/>
            </w:rPr>
            <w:t>二</w:t>
          </w:r>
          <w:r>
            <w:rPr>
              <w:rFonts w:ascii="宋体" w:hAnsi="宋体"/>
              <w:sz w:val="28"/>
              <w:szCs w:val="28"/>
            </w:rPr>
            <w:t>）国有建设用地供应结构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_Toc15856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_Toc13616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</w:t>
          </w:r>
          <w:r>
            <w:rPr>
              <w:rFonts w:hint="eastAsia" w:ascii="宋体" w:hAnsi="宋体"/>
              <w:sz w:val="28"/>
              <w:szCs w:val="28"/>
            </w:rPr>
            <w:t>三</w:t>
          </w:r>
          <w:r>
            <w:rPr>
              <w:rFonts w:ascii="宋体" w:hAnsi="宋体"/>
              <w:sz w:val="28"/>
              <w:szCs w:val="28"/>
            </w:rPr>
            <w:t>）国有建设用地供应布局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_Toc13616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_Toc28899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/>
              <w:sz w:val="28"/>
              <w:szCs w:val="28"/>
            </w:rPr>
            <w:t>（</w:t>
          </w:r>
          <w:r>
            <w:rPr>
              <w:rFonts w:hint="eastAsia" w:ascii="宋体" w:hAnsi="宋体"/>
              <w:sz w:val="28"/>
              <w:szCs w:val="28"/>
            </w:rPr>
            <w:t>四</w:t>
          </w:r>
          <w:r>
            <w:rPr>
              <w:rFonts w:ascii="宋体" w:hAnsi="宋体"/>
              <w:sz w:val="28"/>
              <w:szCs w:val="28"/>
            </w:rPr>
            <w:t>）国有建设用地供应方式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_Toc28899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448"/>
            </w:tabs>
            <w:rPr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 HYPERLINK \l _Toc2535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28"/>
              <w:szCs w:val="28"/>
            </w:rPr>
            <w:t>五</w:t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、政策导向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_Toc2535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7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_Toc2359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 w:cs="Times New Roman"/>
              <w:sz w:val="28"/>
              <w:szCs w:val="28"/>
            </w:rPr>
            <w:t>（一）全面推进</w:t>
          </w:r>
          <w:r>
            <w:rPr>
              <w:rFonts w:hint="eastAsia" w:ascii="宋体" w:hAnsi="宋体" w:cs="Times New Roman"/>
              <w:sz w:val="28"/>
              <w:szCs w:val="28"/>
            </w:rPr>
            <w:t>鄂州机场建设</w:t>
          </w:r>
          <w:r>
            <w:rPr>
              <w:rFonts w:ascii="宋体" w:hAnsi="宋体" w:cs="Times New Roman"/>
              <w:sz w:val="28"/>
              <w:szCs w:val="28"/>
            </w:rPr>
            <w:t>，为乡村振兴提供基础支撑作用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_Toc2359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_Toc24610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 w:cs="Times New Roman"/>
              <w:sz w:val="28"/>
              <w:szCs w:val="28"/>
            </w:rPr>
            <w:t>（二）实行分区域差别化调整政策，科学安排住房用地供应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_Toc24610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_Toc254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 w:cs="Times New Roman"/>
              <w:sz w:val="28"/>
              <w:szCs w:val="28"/>
            </w:rPr>
            <w:t>（三）</w:t>
          </w:r>
          <w:r>
            <w:rPr>
              <w:rFonts w:hint="eastAsia" w:ascii="宋体" w:hAnsi="宋体" w:cs="Times New Roman"/>
              <w:sz w:val="28"/>
              <w:szCs w:val="28"/>
            </w:rPr>
            <w:t>优化营商环境</w:t>
          </w:r>
          <w:r>
            <w:rPr>
              <w:rFonts w:ascii="宋体" w:hAnsi="宋体" w:cs="Times New Roman"/>
              <w:sz w:val="28"/>
              <w:szCs w:val="28"/>
            </w:rPr>
            <w:t>，</w:t>
          </w:r>
          <w:r>
            <w:rPr>
              <w:rFonts w:hint="eastAsia" w:ascii="宋体" w:hAnsi="宋体" w:cs="Times New Roman"/>
              <w:sz w:val="28"/>
              <w:szCs w:val="28"/>
            </w:rPr>
            <w:t>着力推进公用设施项目建设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_Toc254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_Toc255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ascii="宋体" w:hAnsi="宋体" w:cs="Times New Roman"/>
              <w:sz w:val="28"/>
              <w:szCs w:val="28"/>
            </w:rPr>
            <w:t>（四）加快存量土地盘活，实现节约集约用地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_Toc255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br w:type="page"/>
          </w:r>
        </w:p>
        <w:p>
          <w:pPr>
            <w:pStyle w:val="12"/>
            <w:tabs>
              <w:tab w:val="right" w:leader="dot" w:pos="8448"/>
            </w:tabs>
            <w:rPr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 HYPERLINK \l _Toc7917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28"/>
              <w:szCs w:val="28"/>
            </w:rPr>
            <w:t>六、国有建设用地供应计划保障实施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_Toc7917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9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_Toc23110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宋体" w:hAnsi="宋体" w:cs="Times New Roman"/>
              <w:sz w:val="28"/>
              <w:szCs w:val="28"/>
              <w:lang w:val="en-US" w:eastAsia="zh-CN"/>
            </w:rPr>
            <w:t>（一）</w:t>
          </w:r>
          <w:r>
            <w:rPr>
              <w:rFonts w:ascii="宋体" w:hAnsi="宋体" w:cs="Times New Roman"/>
              <w:sz w:val="28"/>
              <w:szCs w:val="28"/>
            </w:rPr>
            <w:t>建立主动实施供应</w:t>
          </w:r>
          <w:r>
            <w:rPr>
              <w:rFonts w:hint="eastAsia" w:ascii="宋体" w:hAnsi="宋体" w:cs="Times New Roman"/>
              <w:sz w:val="28"/>
              <w:szCs w:val="28"/>
              <w:lang w:val="en-US" w:eastAsia="zh-CN"/>
            </w:rPr>
            <w:t>规划</w:t>
          </w:r>
          <w:r>
            <w:rPr>
              <w:rFonts w:ascii="宋体" w:hAnsi="宋体" w:cs="Times New Roman"/>
              <w:sz w:val="28"/>
              <w:szCs w:val="28"/>
            </w:rPr>
            <w:t>的工作机制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_Toc23110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_Toc23553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宋体" w:hAnsi="宋体" w:cs="Times New Roman"/>
              <w:sz w:val="28"/>
              <w:szCs w:val="28"/>
              <w:lang w:val="en-US" w:eastAsia="zh-CN"/>
            </w:rPr>
            <w:t>（二）优先保障性安居工程用地供应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_Toc23553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_Toc8683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宋体" w:hAnsi="宋体" w:cs="Times New Roman"/>
              <w:sz w:val="28"/>
              <w:szCs w:val="28"/>
              <w:lang w:val="en-US" w:eastAsia="zh-CN"/>
            </w:rPr>
            <w:t>（三）加强用地供应计划的动态管理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_Toc8683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448"/>
            </w:tabs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_Toc31628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宋体" w:hAnsi="宋体" w:cs="Times New Roman"/>
              <w:sz w:val="28"/>
              <w:szCs w:val="28"/>
              <w:lang w:val="en-US" w:eastAsia="zh-CN"/>
            </w:rPr>
            <w:t>（四）完善土地储备开发模式，增强政府储备土地能力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_Toc31628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</w:sdtContent>
    </w:sdt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ascii="宋体" w:hAnsi="宋体" w:eastAsia="宋体"/>
          <w:sz w:val="32"/>
          <w:szCs w:val="32"/>
        </w:rPr>
        <w:sectPr>
          <w:headerReference r:id="rId5" w:type="default"/>
          <w:footerReference r:id="rId6" w:type="default"/>
          <w:pgSz w:w="11850" w:h="16783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0"/>
        </w:sectPr>
      </w:pPr>
      <w:bookmarkStart w:id="1" w:name="_Toc2792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2" w:name="_Toc20868"/>
      <w:r>
        <w:rPr>
          <w:rFonts w:ascii="宋体" w:hAnsi="宋体" w:eastAsia="宋体"/>
          <w:sz w:val="32"/>
          <w:szCs w:val="32"/>
        </w:rPr>
        <w:t>一、计划的目的、意义</w:t>
      </w:r>
      <w:bookmarkEnd w:id="0"/>
      <w:bookmarkEnd w:id="1"/>
      <w:bookmarkEnd w:id="2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bookmarkStart w:id="3" w:name="_Toc10059"/>
      <w:bookmarkStart w:id="4" w:name="_Toc317664885"/>
      <w:bookmarkStart w:id="5" w:name="_Toc273543561"/>
      <w:bookmarkStart w:id="6" w:name="_Toc352074164"/>
      <w:bookmarkStart w:id="7" w:name="_Toc419103580"/>
      <w:bookmarkStart w:id="8" w:name="_Toc320281921"/>
      <w:bookmarkStart w:id="9" w:name="_Toc19071"/>
      <w:bookmarkStart w:id="10" w:name="_Toc1053"/>
      <w:bookmarkStart w:id="11" w:name="_Toc352073721"/>
      <w:bookmarkStart w:id="12" w:name="_Toc24673"/>
      <w:bookmarkStart w:id="13" w:name="_Toc4371_WPSOffice_Level2"/>
      <w:bookmarkStart w:id="14" w:name="_Toc317169394"/>
      <w:bookmarkStart w:id="15" w:name="_Toc279997962"/>
      <w:r>
        <w:rPr>
          <w:rFonts w:ascii="宋体" w:hAnsi="宋体"/>
          <w:sz w:val="30"/>
          <w:szCs w:val="30"/>
        </w:rPr>
        <w:t>（一）编制目的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为</w:t>
      </w:r>
      <w:r>
        <w:rPr>
          <w:rFonts w:hint="eastAsia" w:eastAsia="仿宋_GB2312"/>
          <w:sz w:val="28"/>
          <w:szCs w:val="28"/>
        </w:rPr>
        <w:t>加强和改善土地宏观调控，提高土地供应的科学性、针对性和合理性，</w:t>
      </w:r>
      <w:r>
        <w:rPr>
          <w:rFonts w:hint="eastAsia" w:eastAsia="仿宋_GB2312"/>
          <w:sz w:val="28"/>
          <w:szCs w:val="28"/>
          <w:lang w:eastAsia="zh-CN"/>
        </w:rPr>
        <w:t>切实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提高供给结构对需求变化的适应性和灵活性，优化土地资源配置，落实产业用地政策，有效控制土地供应总量，客观、准确了解实际用地需求，保障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鄂州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年重点产业建设、生态环保建设、民生改善建设、城市功能提升建设等经济社会发展用地需求，提高土地供应参与宏观调控的能力，促进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鄂州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市经济社会平稳可持续发展。根据《国土资源部关于印发&lt;国有建设用地供应计划编制规范&gt;（试行）的通知</w:t>
      </w:r>
      <w:r>
        <w:rPr>
          <w:rFonts w:hint="eastAsia" w:eastAsia="仿宋_GB2312" w:cs="Times New Roman"/>
          <w:sz w:val="28"/>
          <w:szCs w:val="28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国土资发〔2010〕117号）要求，为有效实施土地利用年度计划，科学安排国有建设用地供应，结合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鄂州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市经济社会发展和土地利用状况，在充分征求各相关单位意见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参考上年度供地情况和本年度土地资源利用现状及用地需求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的基础上，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制定本计划。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hint="eastAsia" w:eastAsia="仿宋_GB2312"/>
          <w:sz w:val="28"/>
          <w:szCs w:val="28"/>
        </w:rPr>
      </w:pPr>
      <w:bookmarkStart w:id="16" w:name="_Toc5914"/>
      <w:bookmarkStart w:id="17" w:name="_Toc5952"/>
      <w:bookmarkStart w:id="18" w:name="_Toc20259"/>
      <w:bookmarkStart w:id="19" w:name="_Toc19271"/>
      <w:bookmarkStart w:id="20" w:name="_Toc20515_WPSOffice_Level2"/>
      <w:r>
        <w:rPr>
          <w:rFonts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二</w:t>
      </w:r>
      <w:r>
        <w:rPr>
          <w:rFonts w:ascii="宋体" w:hAnsi="宋体"/>
          <w:sz w:val="30"/>
          <w:szCs w:val="30"/>
        </w:rPr>
        <w:t>）编制</w:t>
      </w:r>
      <w:r>
        <w:rPr>
          <w:rFonts w:hint="eastAsia" w:ascii="宋体" w:hAnsi="宋体"/>
          <w:sz w:val="30"/>
          <w:szCs w:val="30"/>
        </w:rPr>
        <w:t>意义</w:t>
      </w:r>
      <w:bookmarkEnd w:id="16"/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《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hint="eastAsia" w:eastAsia="仿宋_GB2312"/>
          <w:sz w:val="28"/>
          <w:szCs w:val="28"/>
        </w:rPr>
        <w:t>市20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年度国有建设用地供应计划</w:t>
      </w:r>
      <w:r>
        <w:rPr>
          <w:rFonts w:hint="eastAsia" w:eastAsia="仿宋_GB2312"/>
          <w:sz w:val="28"/>
          <w:szCs w:val="28"/>
          <w:lang w:eastAsia="zh-CN"/>
        </w:rPr>
        <w:t>》</w:t>
      </w:r>
      <w:r>
        <w:rPr>
          <w:rFonts w:hint="eastAsia" w:eastAsia="仿宋_GB2312"/>
          <w:sz w:val="28"/>
          <w:szCs w:val="28"/>
        </w:rPr>
        <w:t>是做好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hint="eastAsia" w:eastAsia="仿宋_GB2312"/>
          <w:sz w:val="28"/>
          <w:szCs w:val="28"/>
        </w:rPr>
        <w:t>市国有建设用地供应计划与土地利用年度计划衔接的重要环节，是落实国民经济和社会发展规划、土地利用年度计划以及城市的功能分区与布局的重要依据。</w:t>
      </w:r>
      <w:r>
        <w:rPr>
          <w:rFonts w:hint="eastAsia" w:eastAsia="仿宋_GB2312"/>
          <w:sz w:val="28"/>
          <w:szCs w:val="28"/>
          <w:lang w:val="en-US" w:eastAsia="zh-CN"/>
        </w:rPr>
        <w:t>编制2020年度国有建设用地供应计划，有利于更客观、更准确地了解实际用地需求，提高供地的科学性、针对性和合理性；科学安排国有建设用地供应，有利于保障鄂州市年度计划的有效实施，促进土地供应的规范化、制度化、科学化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21" w:name="_Toc434399186"/>
      <w:bookmarkStart w:id="22" w:name="_Toc27978"/>
      <w:bookmarkStart w:id="23" w:name="_Toc17530_WPSOffice_Level1"/>
      <w:bookmarkStart w:id="24" w:name="_Toc20975"/>
      <w:bookmarkStart w:id="25" w:name="_Toc419103582"/>
      <w:bookmarkStart w:id="26" w:name="_Toc11749"/>
      <w:bookmarkStart w:id="27" w:name="_Toc32505"/>
      <w:r>
        <w:rPr>
          <w:rFonts w:hint="eastAsia" w:ascii="宋体" w:hAnsi="宋体" w:eastAsia="宋体"/>
          <w:sz w:val="32"/>
          <w:szCs w:val="32"/>
        </w:rPr>
        <w:t>二</w:t>
      </w:r>
      <w:r>
        <w:rPr>
          <w:rFonts w:ascii="宋体" w:hAnsi="宋体" w:eastAsia="宋体"/>
          <w:sz w:val="32"/>
          <w:szCs w:val="32"/>
        </w:rPr>
        <w:t>、指导思想和基本原则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  <w:highlight w:val="none"/>
        </w:rPr>
      </w:pPr>
      <w:bookmarkStart w:id="28" w:name="_Toc22236"/>
      <w:bookmarkStart w:id="29" w:name="_Toc9966"/>
      <w:bookmarkStart w:id="30" w:name="_Toc9979_WPSOffice_Level2"/>
      <w:bookmarkStart w:id="31" w:name="_Toc16783"/>
      <w:bookmarkStart w:id="32" w:name="_Toc18420"/>
      <w:bookmarkStart w:id="33" w:name="_Toc419103583"/>
      <w:r>
        <w:rPr>
          <w:rFonts w:ascii="宋体" w:hAnsi="宋体"/>
          <w:sz w:val="30"/>
          <w:szCs w:val="30"/>
          <w:highlight w:val="none"/>
        </w:rPr>
        <w:t>（一）指导思想</w:t>
      </w:r>
      <w:bookmarkEnd w:id="28"/>
      <w:bookmarkEnd w:id="29"/>
      <w:bookmarkEnd w:id="30"/>
      <w:bookmarkEnd w:id="31"/>
      <w:bookmarkEnd w:id="32"/>
      <w:bookmarkEnd w:id="3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以科学发展观为统领，以落实城市建设和发展、促进土地储备供应良性循环为目标，严格落实节约集约优先战略，切实提高节约集约用地水平，严格执行国家土地供应和房地产调控政策规定，坚持总量适中、结构合理、统筹兼顾、重点保障的原则，</w:t>
      </w:r>
      <w:r>
        <w:rPr>
          <w:rFonts w:hint="eastAsia" w:eastAsia="仿宋_GB2312"/>
          <w:sz w:val="28"/>
          <w:szCs w:val="28"/>
        </w:rPr>
        <w:t>优先保障近期重点建设项目、住宅用地（保障性安居工程）等用地需求，</w:t>
      </w:r>
      <w:r>
        <w:rPr>
          <w:rFonts w:hint="eastAsia" w:eastAsia="仿宋_GB2312"/>
          <w:sz w:val="28"/>
          <w:szCs w:val="28"/>
          <w:lang w:val="en-US" w:eastAsia="zh-CN"/>
        </w:rPr>
        <w:t>加大基础设施民生类项目、乡村建设项目建设，坚持乡村振兴，</w:t>
      </w:r>
      <w:r>
        <w:rPr>
          <w:rFonts w:hint="eastAsia" w:eastAsia="仿宋_GB2312"/>
          <w:sz w:val="28"/>
          <w:szCs w:val="28"/>
        </w:rPr>
        <w:t>准确把握土地市场走势，合理控制土地供应总量、结构和节奏，加大批而未供土地的供应力度，</w:t>
      </w:r>
      <w:r>
        <w:rPr>
          <w:rFonts w:hint="eastAsia" w:eastAsia="仿宋_GB2312"/>
          <w:sz w:val="28"/>
          <w:szCs w:val="28"/>
          <w:lang w:val="en-US" w:eastAsia="zh-CN"/>
        </w:rPr>
        <w:t>进一步</w:t>
      </w:r>
      <w:r>
        <w:rPr>
          <w:rFonts w:hint="eastAsia" w:eastAsia="仿宋_GB2312"/>
          <w:sz w:val="28"/>
          <w:szCs w:val="28"/>
        </w:rPr>
        <w:t>优化土地利用结构和城市空间布局，</w:t>
      </w:r>
      <w:r>
        <w:rPr>
          <w:rFonts w:hint="eastAsia" w:eastAsia="仿宋_GB2312"/>
          <w:sz w:val="28"/>
          <w:szCs w:val="28"/>
          <w:lang w:val="en-US" w:eastAsia="zh-CN"/>
        </w:rPr>
        <w:t>强化保障发展能力，</w:t>
      </w:r>
      <w:r>
        <w:rPr>
          <w:rFonts w:hint="eastAsia" w:eastAsia="仿宋_GB2312"/>
          <w:sz w:val="28"/>
          <w:szCs w:val="28"/>
        </w:rPr>
        <w:t>促进节约集约高效用地。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34" w:name="_Toc419103584"/>
      <w:bookmarkStart w:id="35" w:name="_Toc26734"/>
      <w:bookmarkStart w:id="36" w:name="_Toc668"/>
      <w:bookmarkStart w:id="37" w:name="_Toc28668"/>
      <w:bookmarkStart w:id="38" w:name="_Toc11067_WPSOffice_Level2"/>
      <w:bookmarkStart w:id="39" w:name="_Toc19049"/>
      <w:r>
        <w:rPr>
          <w:rFonts w:ascii="宋体" w:hAnsi="宋体"/>
          <w:sz w:val="30"/>
          <w:szCs w:val="30"/>
        </w:rPr>
        <w:t>（二）基本原则</w:t>
      </w:r>
      <w:bookmarkEnd w:id="34"/>
      <w:bookmarkEnd w:id="35"/>
      <w:bookmarkEnd w:id="36"/>
      <w:bookmarkEnd w:id="37"/>
      <w:bookmarkEnd w:id="38"/>
      <w:bookmarkEnd w:id="39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  <w:szCs w:val="28"/>
        </w:rPr>
      </w:pPr>
      <w:bookmarkStart w:id="40" w:name="_Toc320627121"/>
      <w:r>
        <w:rPr>
          <w:rFonts w:ascii="Times New Roman" w:hAnsi="Times New Roman" w:eastAsia="宋体"/>
          <w:b/>
          <w:bCs w:val="0"/>
          <w:sz w:val="28"/>
          <w:szCs w:val="28"/>
        </w:rPr>
        <w:t>1.总量控制的原则</w:t>
      </w:r>
      <w:bookmarkEnd w:id="4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严格执行土地利用总体规划，合理控制建设用地总量，优化土地利用结构，科学规划用地，有效发挥市场配置土地资源的基础性作用，充分实现土地资产价值，提高土地资源利用效率。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bookmarkStart w:id="41" w:name="_Toc320627123"/>
      <w:r>
        <w:rPr>
          <w:rFonts w:hint="eastAsia" w:ascii="Times New Roman" w:hAnsi="Times New Roman" w:eastAsia="宋体"/>
          <w:b/>
          <w:bCs w:val="0"/>
          <w:sz w:val="28"/>
          <w:lang w:val="en-US" w:eastAsia="zh-CN"/>
        </w:rPr>
        <w:t>2</w:t>
      </w:r>
      <w:r>
        <w:rPr>
          <w:rFonts w:ascii="Times New Roman" w:hAnsi="Times New Roman" w:eastAsia="宋体"/>
          <w:b/>
          <w:bCs w:val="0"/>
          <w:sz w:val="28"/>
        </w:rPr>
        <w:t>.节约集约用地原则</w:t>
      </w:r>
      <w:bookmarkEnd w:id="4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国有建设用地的供应，把节约集约用地放在优先位置，切实保护生态环境，促进经济发展方式的转变。响应构建资源节约型社会的纲领性要求，严格控制土地供应总量。全面落实科学发展观，以控制增量、盘活存量、提高土地利用效率和集约化程度为重点，运用市场机制和政府调控手段，落实最严格的土地管理制度，实施有效的激励和约束政策，调动用地主体节约集约用地的自觉性，</w:t>
      </w:r>
      <w:r>
        <w:rPr>
          <w:rFonts w:hint="eastAsia" w:eastAsia="仿宋_GB2312"/>
          <w:sz w:val="28"/>
          <w:szCs w:val="28"/>
          <w:lang w:val="en-US" w:eastAsia="zh-CN"/>
        </w:rPr>
        <w:t>加强土地资源科学发展，</w:t>
      </w:r>
      <w:r>
        <w:rPr>
          <w:rFonts w:eastAsia="仿宋_GB2312"/>
          <w:sz w:val="28"/>
          <w:szCs w:val="28"/>
        </w:rPr>
        <w:t>促进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eastAsia="仿宋_GB2312"/>
          <w:sz w:val="28"/>
          <w:szCs w:val="28"/>
        </w:rPr>
        <w:t>市经济社会可持续发展。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bookmarkStart w:id="42" w:name="_Toc320627124"/>
      <w:r>
        <w:rPr>
          <w:rFonts w:hint="eastAsia" w:ascii="Times New Roman" w:hAnsi="Times New Roman" w:eastAsia="宋体"/>
          <w:b/>
          <w:bCs w:val="0"/>
          <w:sz w:val="28"/>
          <w:lang w:val="en-US" w:eastAsia="zh-CN"/>
        </w:rPr>
        <w:t>3</w:t>
      </w:r>
      <w:r>
        <w:rPr>
          <w:rFonts w:ascii="Times New Roman" w:hAnsi="Times New Roman" w:eastAsia="宋体"/>
          <w:b/>
          <w:bCs w:val="0"/>
          <w:sz w:val="28"/>
        </w:rPr>
        <w:t>.供需平衡原则</w:t>
      </w:r>
      <w:bookmarkEnd w:id="4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基于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eastAsia="仿宋_GB2312"/>
          <w:sz w:val="28"/>
          <w:szCs w:val="28"/>
        </w:rPr>
        <w:t>市的发展基础、区位条件及人地关系状况，按照科学发展观要求，优化城乡发展用地结构与布局，强化土地利用的区域主导功能，确定新增建设用地规模，合理确定土地供应总量，合理安排必要的建设用地，统筹兼顾各行业发展的用地需求，适度开发土地后备资源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bookmarkStart w:id="43" w:name="_Toc320627125"/>
      <w:r>
        <w:rPr>
          <w:rFonts w:hint="eastAsia" w:ascii="Times New Roman" w:hAnsi="Times New Roman" w:eastAsia="宋体"/>
          <w:b/>
          <w:bCs w:val="0"/>
          <w:sz w:val="28"/>
          <w:lang w:val="en-US" w:eastAsia="zh-CN"/>
        </w:rPr>
        <w:t>4</w:t>
      </w:r>
      <w:r>
        <w:rPr>
          <w:rFonts w:ascii="Times New Roman" w:hAnsi="Times New Roman" w:eastAsia="宋体"/>
          <w:b/>
          <w:bCs w:val="0"/>
          <w:sz w:val="28"/>
        </w:rPr>
        <w:t>.有保有压原则</w:t>
      </w:r>
      <w:bookmarkEnd w:id="4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eastAsia="仿宋_GB2312"/>
          <w:sz w:val="28"/>
          <w:szCs w:val="28"/>
        </w:rPr>
        <w:t>在国有建设用地供应计划中，加大民生领域用地供应，用地计划指标安排要向医疗卫生、教育、保障性住房等民生领域倾斜；优先保障已列入政府新增投资计划的重点交通、水利、能源等基础设施项目用地需求，严格控制新上项目用地；严禁计划指标用于高能耗、高排放、产能过剩行业等项目建设；积极支持自主创新与战略性新兴产业建设用地；合理安排城镇建设用地，重点保障基础设施等重大项目。</w:t>
      </w:r>
      <w:bookmarkStart w:id="44" w:name="_Toc6314"/>
      <w:bookmarkStart w:id="45" w:name="_Toc5069"/>
      <w:bookmarkStart w:id="46" w:name="_Toc3038_WPSOffice_Level1"/>
    </w:p>
    <w:p>
      <w:pPr>
        <w:pStyle w:val="2"/>
        <w:rPr>
          <w:rFonts w:hint="eastAsia"/>
        </w:rPr>
        <w:sectPr>
          <w:pgSz w:w="11850" w:h="16783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0"/>
        </w:sect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47" w:name="_Toc14633"/>
      <w:bookmarkStart w:id="48" w:name="_Toc30496"/>
      <w:r>
        <w:rPr>
          <w:rFonts w:hint="eastAsia" w:ascii="宋体" w:hAnsi="宋体" w:eastAsia="宋体"/>
          <w:sz w:val="32"/>
          <w:szCs w:val="32"/>
        </w:rPr>
        <w:t>三</w:t>
      </w:r>
      <w:r>
        <w:rPr>
          <w:rFonts w:ascii="宋体" w:hAnsi="宋体" w:eastAsia="宋体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</w:rPr>
        <w:t>计划编制的范围及期限</w:t>
      </w:r>
      <w:bookmarkEnd w:id="44"/>
      <w:bookmarkEnd w:id="45"/>
      <w:bookmarkEnd w:id="46"/>
      <w:bookmarkEnd w:id="47"/>
      <w:bookmarkEnd w:id="48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49" w:name="_Toc17949"/>
      <w:bookmarkStart w:id="50" w:name="_Toc287735193"/>
      <w:bookmarkStart w:id="51" w:name="_Toc351723585"/>
      <w:bookmarkStart w:id="52" w:name="_Toc30246"/>
      <w:bookmarkStart w:id="53" w:name="_Toc22254"/>
      <w:bookmarkStart w:id="54" w:name="_Toc19326"/>
      <w:bookmarkStart w:id="55" w:name="_Toc4030_WPSOffice_Level2"/>
      <w:r>
        <w:rPr>
          <w:rFonts w:ascii="宋体" w:hAnsi="宋体"/>
          <w:sz w:val="30"/>
          <w:szCs w:val="30"/>
        </w:rPr>
        <w:t>（一）计划编制的范围</w:t>
      </w:r>
      <w:bookmarkEnd w:id="49"/>
      <w:bookmarkEnd w:id="50"/>
      <w:bookmarkEnd w:id="51"/>
      <w:bookmarkEnd w:id="52"/>
      <w:bookmarkEnd w:id="53"/>
      <w:bookmarkEnd w:id="54"/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hint="eastAsia" w:eastAsia="仿宋_GB2312"/>
          <w:sz w:val="28"/>
          <w:szCs w:val="28"/>
        </w:rPr>
        <w:t>市国有建设用地供应计划的编制范围为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hint="eastAsia" w:eastAsia="仿宋_GB2312"/>
          <w:sz w:val="28"/>
          <w:szCs w:val="28"/>
        </w:rPr>
        <w:t>市行政辖区内计划期供应的全部国有建设用地。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次国有建设用地供应计划编制过程中，将用地划分为商服用地、工矿仓储用地、住宅用地、公共管理与公共服务用地、特殊用地、水域及水利设施用地、交通运输用地七大类。其中住宅用地细分为保障性安居工程用地和商品住房用地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hint="eastAsia" w:eastAsia="仿宋_GB2312"/>
          <w:sz w:val="28"/>
          <w:szCs w:val="28"/>
        </w:rPr>
        <w:t>前者包括</w:t>
      </w:r>
      <w:r>
        <w:rPr>
          <w:rFonts w:hint="eastAsia" w:eastAsia="仿宋_GB2312"/>
          <w:sz w:val="28"/>
          <w:szCs w:val="28"/>
          <w:lang w:eastAsia="zh-CN"/>
        </w:rPr>
        <w:t>保障性住房用地、</w:t>
      </w:r>
      <w:r>
        <w:rPr>
          <w:rFonts w:hint="eastAsia" w:eastAsia="仿宋_GB2312"/>
          <w:sz w:val="28"/>
          <w:szCs w:val="28"/>
        </w:rPr>
        <w:t>各类棚户区改造用地、公共租赁房、限价房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后者包</w:t>
      </w:r>
      <w:r>
        <w:rPr>
          <w:rFonts w:hint="eastAsia" w:eastAsia="仿宋_GB2312"/>
          <w:sz w:val="28"/>
          <w:szCs w:val="28"/>
          <w:lang w:val="en-US" w:eastAsia="zh-CN"/>
        </w:rPr>
        <w:t>括</w:t>
      </w:r>
      <w:r>
        <w:rPr>
          <w:rFonts w:hint="eastAsia" w:eastAsia="仿宋_GB2312"/>
          <w:sz w:val="28"/>
          <w:szCs w:val="28"/>
        </w:rPr>
        <w:t>中小套型商品住房。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56" w:name="_Toc31820"/>
      <w:bookmarkStart w:id="57" w:name="_Toc7923"/>
      <w:bookmarkStart w:id="58" w:name="_Toc287735194"/>
      <w:bookmarkStart w:id="59" w:name="_Toc15067"/>
      <w:bookmarkStart w:id="60" w:name="_Toc351723586"/>
      <w:bookmarkStart w:id="61" w:name="_Toc2293_WPSOffice_Level2"/>
      <w:bookmarkStart w:id="62" w:name="_Toc29717"/>
      <w:r>
        <w:rPr>
          <w:rFonts w:ascii="宋体" w:hAnsi="宋体"/>
          <w:sz w:val="30"/>
          <w:szCs w:val="30"/>
        </w:rPr>
        <w:t>（二）计划编制的期限</w:t>
      </w:r>
      <w:bookmarkEnd w:id="56"/>
      <w:bookmarkEnd w:id="57"/>
      <w:bookmarkEnd w:id="58"/>
      <w:bookmarkEnd w:id="59"/>
      <w:bookmarkEnd w:id="60"/>
      <w:bookmarkEnd w:id="61"/>
      <w:bookmarkEnd w:id="6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《国土资源部关于印发&lt;国有建设用地供应计划编制规范&gt;（试行）的通知》（国土资发〔2010〕117号）文件要求，</w:t>
      </w:r>
      <w:r>
        <w:rPr>
          <w:rFonts w:hint="eastAsia" w:eastAsia="仿宋_GB2312"/>
          <w:sz w:val="28"/>
          <w:szCs w:val="28"/>
          <w:lang w:eastAsia="zh-CN"/>
        </w:rPr>
        <w:t>自</w:t>
      </w:r>
      <w:r>
        <w:rPr>
          <w:rFonts w:hint="eastAsia" w:eastAsia="仿宋_GB2312"/>
          <w:sz w:val="28"/>
          <w:szCs w:val="28"/>
          <w:lang w:val="en-US" w:eastAsia="zh-CN"/>
        </w:rPr>
        <w:t>2010年起，</w:t>
      </w:r>
      <w:r>
        <w:rPr>
          <w:rFonts w:hint="eastAsia" w:eastAsia="仿宋_GB2312"/>
          <w:sz w:val="28"/>
          <w:szCs w:val="28"/>
        </w:rPr>
        <w:t>国有建设用地供应计划的计划期为一年，计划期限为</w:t>
      </w:r>
      <w:r>
        <w:rPr>
          <w:rFonts w:hint="eastAsia" w:eastAsia="仿宋_GB2312"/>
          <w:sz w:val="28"/>
          <w:szCs w:val="28"/>
          <w:lang w:eastAsia="zh-CN"/>
        </w:rPr>
        <w:t>每年的</w:t>
      </w:r>
      <w:r>
        <w:rPr>
          <w:rFonts w:hint="eastAsia" w:eastAsia="仿宋_GB2312"/>
          <w:sz w:val="28"/>
          <w:szCs w:val="28"/>
          <w:lang w:val="en-US" w:eastAsia="zh-CN"/>
        </w:rPr>
        <w:t>1月1日至12月31日。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63" w:name="_Toc18583"/>
      <w:bookmarkStart w:id="64" w:name="_Toc4823"/>
      <w:bookmarkStart w:id="65" w:name="_Toc434399187"/>
      <w:bookmarkStart w:id="66" w:name="_Toc27704_WPSOffice_Level1"/>
      <w:bookmarkStart w:id="67" w:name="_Toc18710"/>
      <w:bookmarkStart w:id="68" w:name="_Toc419103585"/>
      <w:bookmarkStart w:id="69" w:name="_Toc21574"/>
      <w:r>
        <w:rPr>
          <w:rFonts w:hint="eastAsia" w:ascii="宋体" w:hAnsi="宋体" w:eastAsia="宋体"/>
          <w:sz w:val="32"/>
          <w:szCs w:val="32"/>
        </w:rPr>
        <w:t>四</w:t>
      </w:r>
      <w:r>
        <w:rPr>
          <w:rFonts w:ascii="宋体" w:hAnsi="宋体" w:eastAsia="宋体"/>
          <w:sz w:val="32"/>
          <w:szCs w:val="32"/>
        </w:rPr>
        <w:t>、计划指标</w:t>
      </w:r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70" w:name="_Toc23195"/>
      <w:bookmarkStart w:id="71" w:name="_Toc282068811"/>
      <w:bookmarkStart w:id="72" w:name="_Toc7307"/>
      <w:bookmarkStart w:id="73" w:name="_Toc32108_WPSOffice_Level2"/>
      <w:bookmarkStart w:id="74" w:name="_Toc31660"/>
      <w:bookmarkStart w:id="75" w:name="_Toc419103586"/>
      <w:bookmarkStart w:id="76" w:name="_Toc22493"/>
      <w:r>
        <w:rPr>
          <w:rFonts w:ascii="宋体" w:hAnsi="宋体"/>
          <w:sz w:val="30"/>
          <w:szCs w:val="30"/>
        </w:rPr>
        <w:t>（一）国有建设用地供应总量</w:t>
      </w:r>
      <w:bookmarkEnd w:id="70"/>
      <w:bookmarkEnd w:id="71"/>
      <w:bookmarkEnd w:id="72"/>
      <w:bookmarkEnd w:id="73"/>
      <w:bookmarkEnd w:id="74"/>
      <w:bookmarkEnd w:id="75"/>
      <w:bookmarkEnd w:id="7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hint="eastAsia" w:eastAsia="仿宋_GB2312"/>
          <w:sz w:val="28"/>
          <w:szCs w:val="28"/>
        </w:rPr>
        <w:t>市20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年国有建设用地供应总量控制在</w:t>
      </w:r>
      <w:r>
        <w:rPr>
          <w:rFonts w:hint="eastAsia" w:eastAsia="仿宋_GB2312"/>
          <w:sz w:val="28"/>
          <w:szCs w:val="28"/>
          <w:lang w:val="en-US" w:eastAsia="zh-CN"/>
        </w:rPr>
        <w:t>1350.04</w:t>
      </w:r>
      <w:r>
        <w:rPr>
          <w:rFonts w:hint="eastAsia" w:eastAsia="仿宋_GB2312"/>
          <w:sz w:val="28"/>
          <w:szCs w:val="28"/>
        </w:rPr>
        <w:t>公顷以内。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77" w:name="_Toc13223"/>
      <w:bookmarkStart w:id="78" w:name="_Toc25032_WPSOffice_Level2"/>
      <w:bookmarkStart w:id="79" w:name="_Toc15856"/>
      <w:bookmarkStart w:id="80" w:name="_Toc27580"/>
      <w:bookmarkStart w:id="81" w:name="_Toc19336"/>
      <w:bookmarkStart w:id="82" w:name="_Toc419103587"/>
      <w:bookmarkStart w:id="83" w:name="_Toc282068812"/>
      <w:r>
        <w:rPr>
          <w:rFonts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二</w:t>
      </w:r>
      <w:r>
        <w:rPr>
          <w:rFonts w:ascii="宋体" w:hAnsi="宋体"/>
          <w:sz w:val="30"/>
          <w:szCs w:val="30"/>
        </w:rPr>
        <w:t>）国有建设用地供应结构</w:t>
      </w:r>
      <w:bookmarkEnd w:id="77"/>
      <w:bookmarkEnd w:id="78"/>
      <w:bookmarkEnd w:id="79"/>
      <w:bookmarkEnd w:id="80"/>
      <w:bookmarkEnd w:id="81"/>
      <w:bookmarkEnd w:id="82"/>
      <w:bookmarkEnd w:id="8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  <w:lang w:val="sq"/>
        </w:rPr>
      </w:pPr>
      <w:r>
        <w:rPr>
          <w:rFonts w:eastAsia="仿宋_GB2312"/>
          <w:sz w:val="28"/>
          <w:szCs w:val="28"/>
          <w:lang w:val="sq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eastAsia="仿宋_GB2312"/>
          <w:sz w:val="28"/>
          <w:szCs w:val="28"/>
          <w:lang w:val="sq"/>
        </w:rPr>
        <w:t>年度</w:t>
      </w:r>
      <w:r>
        <w:rPr>
          <w:rFonts w:hint="eastAsia" w:eastAsia="仿宋_GB2312"/>
          <w:sz w:val="28"/>
          <w:szCs w:val="28"/>
          <w:lang w:val="sq" w:eastAsia="zh-CN"/>
        </w:rPr>
        <w:t>鄂州</w:t>
      </w:r>
      <w:r>
        <w:rPr>
          <w:rFonts w:eastAsia="仿宋_GB2312"/>
          <w:sz w:val="28"/>
          <w:szCs w:val="28"/>
          <w:lang w:val="sq"/>
        </w:rPr>
        <w:t>市国有建设用地供应总量中</w:t>
      </w:r>
      <w:r>
        <w:rPr>
          <w:rFonts w:hint="eastAsia" w:eastAsia="仿宋_GB2312"/>
          <w:sz w:val="28"/>
          <w:szCs w:val="28"/>
          <w:lang w:val="sq" w:eastAsia="zh-CN"/>
        </w:rPr>
        <w:t>，</w:t>
      </w:r>
      <w:r>
        <w:rPr>
          <w:rFonts w:eastAsia="仿宋_GB2312"/>
          <w:sz w:val="28"/>
          <w:szCs w:val="28"/>
          <w:lang w:val="sq"/>
        </w:rPr>
        <w:t>商服用地</w:t>
      </w:r>
      <w:r>
        <w:rPr>
          <w:rFonts w:hint="eastAsia" w:eastAsia="仿宋_GB2312"/>
          <w:sz w:val="28"/>
          <w:szCs w:val="28"/>
          <w:lang w:val="en-US" w:eastAsia="zh-CN"/>
        </w:rPr>
        <w:t>24.11</w:t>
      </w:r>
      <w:r>
        <w:rPr>
          <w:rFonts w:eastAsia="仿宋_GB2312"/>
          <w:sz w:val="28"/>
          <w:szCs w:val="28"/>
          <w:lang w:val="sq"/>
        </w:rPr>
        <w:t>公顷，工矿仓储用地</w:t>
      </w:r>
      <w:r>
        <w:rPr>
          <w:rFonts w:hint="eastAsia" w:eastAsia="仿宋_GB2312"/>
          <w:sz w:val="28"/>
          <w:szCs w:val="28"/>
          <w:lang w:val="en-US" w:eastAsia="zh-CN"/>
        </w:rPr>
        <w:t>35.21</w:t>
      </w:r>
      <w:r>
        <w:rPr>
          <w:rFonts w:eastAsia="仿宋_GB2312"/>
          <w:sz w:val="28"/>
          <w:szCs w:val="28"/>
          <w:lang w:val="sq"/>
        </w:rPr>
        <w:t>公顷，公共管理与公共服务用地</w:t>
      </w:r>
      <w:r>
        <w:rPr>
          <w:rFonts w:hint="eastAsia" w:eastAsia="仿宋_GB2312"/>
          <w:sz w:val="28"/>
          <w:szCs w:val="28"/>
          <w:lang w:val="en-US" w:eastAsia="zh-CN"/>
        </w:rPr>
        <w:t>33.24</w:t>
      </w:r>
      <w:r>
        <w:rPr>
          <w:rFonts w:eastAsia="仿宋_GB2312"/>
          <w:sz w:val="28"/>
          <w:szCs w:val="28"/>
          <w:lang w:val="sq"/>
        </w:rPr>
        <w:t>公顷，住宅用地</w:t>
      </w:r>
      <w:r>
        <w:rPr>
          <w:rFonts w:hint="eastAsia" w:eastAsia="仿宋_GB2312"/>
          <w:sz w:val="28"/>
          <w:szCs w:val="28"/>
          <w:lang w:val="en-US" w:eastAsia="zh-CN"/>
        </w:rPr>
        <w:t>99.14</w:t>
      </w:r>
      <w:r>
        <w:rPr>
          <w:rFonts w:eastAsia="仿宋_GB2312"/>
          <w:sz w:val="28"/>
          <w:szCs w:val="28"/>
          <w:lang w:val="sq"/>
        </w:rPr>
        <w:t>公顷（其中：1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  <w:lang w:eastAsia="zh-CN"/>
        </w:rPr>
        <w:t>保障性安居工程用地</w:t>
      </w:r>
      <w:r>
        <w:rPr>
          <w:rFonts w:hint="eastAsia" w:eastAsia="仿宋_GB2312"/>
          <w:sz w:val="28"/>
          <w:szCs w:val="28"/>
          <w:lang w:val="en-US" w:eastAsia="zh-CN"/>
        </w:rPr>
        <w:t>15.85</w:t>
      </w:r>
      <w:r>
        <w:rPr>
          <w:rFonts w:eastAsia="仿宋_GB2312"/>
          <w:sz w:val="28"/>
          <w:szCs w:val="28"/>
          <w:lang w:val="sq"/>
        </w:rPr>
        <w:t>公顷；</w:t>
      </w: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  <w:lang w:val="sq"/>
        </w:rPr>
        <w:t>商品住房用地</w:t>
      </w:r>
      <w:r>
        <w:rPr>
          <w:rFonts w:hint="eastAsia" w:eastAsia="仿宋_GB2312"/>
          <w:sz w:val="28"/>
          <w:szCs w:val="28"/>
          <w:lang w:val="en-US" w:eastAsia="zh-CN"/>
        </w:rPr>
        <w:t>83.29</w:t>
      </w:r>
      <w:r>
        <w:rPr>
          <w:rFonts w:eastAsia="仿宋_GB2312"/>
          <w:sz w:val="28"/>
          <w:szCs w:val="28"/>
          <w:lang w:val="sq"/>
        </w:rPr>
        <w:t>公顷），交通运输用地</w:t>
      </w:r>
      <w:r>
        <w:rPr>
          <w:rFonts w:hint="eastAsia" w:eastAsia="仿宋_GB2312"/>
          <w:sz w:val="28"/>
          <w:szCs w:val="28"/>
          <w:lang w:val="en-US" w:eastAsia="zh-CN"/>
        </w:rPr>
        <w:t>1158.34</w:t>
      </w:r>
      <w:r>
        <w:rPr>
          <w:rFonts w:eastAsia="仿宋_GB2312"/>
          <w:sz w:val="28"/>
          <w:szCs w:val="28"/>
          <w:lang w:val="sq"/>
        </w:rPr>
        <w:t>公顷，</w:t>
      </w:r>
      <w:r>
        <w:rPr>
          <w:rFonts w:hint="eastAsia" w:eastAsia="仿宋_GB2312"/>
          <w:sz w:val="28"/>
          <w:szCs w:val="28"/>
          <w:lang w:val="en-US" w:eastAsia="zh-CN"/>
        </w:rPr>
        <w:t>无</w:t>
      </w:r>
      <w:r>
        <w:rPr>
          <w:rFonts w:eastAsia="仿宋_GB2312"/>
          <w:sz w:val="28"/>
          <w:szCs w:val="28"/>
          <w:lang w:val="sq"/>
        </w:rPr>
        <w:t>水域及水利设施用地</w:t>
      </w:r>
      <w:r>
        <w:rPr>
          <w:rFonts w:hint="eastAsia" w:eastAsia="仿宋_GB2312"/>
          <w:sz w:val="28"/>
          <w:szCs w:val="28"/>
          <w:lang w:val="en-US" w:eastAsia="zh-CN"/>
        </w:rPr>
        <w:t>和</w:t>
      </w:r>
      <w:r>
        <w:rPr>
          <w:rFonts w:eastAsia="仿宋_GB2312"/>
          <w:sz w:val="28"/>
          <w:szCs w:val="28"/>
          <w:lang w:val="sq"/>
        </w:rPr>
        <w:t>特殊用地供应。各类国有建设用地供应面积及比例如下表所示。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1"/>
          <w:szCs w:val="21"/>
        </w:rPr>
      </w:pPr>
      <w:r>
        <w:rPr>
          <w:b/>
          <w:sz w:val="24"/>
        </w:rPr>
        <w:t>表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  <w:lang w:eastAsia="zh-CN"/>
        </w:rPr>
        <w:t>鄂州</w:t>
      </w:r>
      <w:r>
        <w:rPr>
          <w:b/>
          <w:sz w:val="24"/>
        </w:rPr>
        <w:t>市20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eastAsia="zh-CN"/>
        </w:rPr>
        <w:t>度</w:t>
      </w:r>
      <w:r>
        <w:rPr>
          <w:b/>
          <w:sz w:val="24"/>
        </w:rPr>
        <w:t>国有建设用地供应结构表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40" w:lineRule="auto"/>
        <w:jc w:val="right"/>
        <w:rPr>
          <w:sz w:val="24"/>
        </w:rPr>
      </w:pPr>
      <w:r>
        <w:rPr>
          <w:sz w:val="21"/>
          <w:szCs w:val="21"/>
        </w:rPr>
        <w:t>单位：公顷</w:t>
      </w:r>
      <w:r>
        <w:rPr>
          <w:sz w:val="24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55"/>
        <w:gridCol w:w="241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967" w:type="dxa"/>
            <w:gridSpan w:val="2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bidi="ar"/>
              </w:rPr>
              <w:t>用地类型</w:t>
            </w:r>
          </w:p>
        </w:tc>
        <w:tc>
          <w:tcPr>
            <w:tcW w:w="241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 w:bidi="ar"/>
              </w:rPr>
              <w:t>面积</w:t>
            </w:r>
          </w:p>
        </w:tc>
        <w:tc>
          <w:tcPr>
            <w:tcW w:w="213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bidi="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商服用地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工矿仓储用地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公共管理与公共服务用地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保障性安居工程用地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15.85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商品住房</w:t>
            </w:r>
            <w:r>
              <w:rPr>
                <w:rFonts w:hint="eastAsia" w:cs="宋体"/>
                <w:kern w:val="0"/>
                <w:szCs w:val="21"/>
                <w:lang w:eastAsia="zh-CN" w:bidi="ar"/>
              </w:rPr>
              <w:t>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83.29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水域及水利设施用地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交通运输用地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1158.34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特殊用地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eastAsia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1350.04</w:t>
            </w:r>
          </w:p>
        </w:tc>
        <w:tc>
          <w:tcPr>
            <w:tcW w:w="213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100.00%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84" w:name="_Toc13616"/>
      <w:bookmarkStart w:id="85" w:name="_Toc22048"/>
      <w:bookmarkStart w:id="86" w:name="_Toc28211"/>
      <w:bookmarkStart w:id="87" w:name="_Toc20988_WPSOffice_Level2"/>
      <w:bookmarkStart w:id="88" w:name="_Toc282068813"/>
      <w:bookmarkStart w:id="89" w:name="_Toc419103588"/>
      <w:bookmarkStart w:id="90" w:name="_Toc21060"/>
      <w:r>
        <w:rPr>
          <w:rFonts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三</w:t>
      </w:r>
      <w:r>
        <w:rPr>
          <w:rFonts w:ascii="宋体" w:hAnsi="宋体"/>
          <w:sz w:val="30"/>
          <w:szCs w:val="30"/>
        </w:rPr>
        <w:t>）国有建设用地供应布局</w:t>
      </w:r>
      <w:bookmarkEnd w:id="84"/>
      <w:bookmarkEnd w:id="85"/>
      <w:bookmarkEnd w:id="86"/>
      <w:bookmarkEnd w:id="87"/>
      <w:bookmarkEnd w:id="88"/>
      <w:bookmarkEnd w:id="89"/>
      <w:bookmarkEnd w:id="90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1.商服用地布局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eastAsia="仿宋_GB2312"/>
          <w:sz w:val="28"/>
          <w:szCs w:val="28"/>
          <w:highlight w:val="none"/>
          <w:lang w:val="sq-AL"/>
        </w:rPr>
      </w:pPr>
      <w:r>
        <w:rPr>
          <w:rFonts w:eastAsia="仿宋_GB2312"/>
          <w:sz w:val="28"/>
          <w:szCs w:val="28"/>
          <w:lang w:val="sq-AL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eastAsia="仿宋_GB2312"/>
          <w:sz w:val="28"/>
          <w:szCs w:val="28"/>
          <w:lang w:val="sq-AL"/>
        </w:rPr>
        <w:t>年</w:t>
      </w:r>
      <w:r>
        <w:rPr>
          <w:rFonts w:hint="eastAsia" w:eastAsia="仿宋_GB2312"/>
          <w:sz w:val="28"/>
          <w:szCs w:val="28"/>
          <w:lang w:val="sq-AL" w:eastAsia="zh-CN"/>
        </w:rPr>
        <w:t>鄂州市</w:t>
      </w:r>
      <w:r>
        <w:rPr>
          <w:rFonts w:eastAsia="仿宋_GB2312"/>
          <w:sz w:val="28"/>
          <w:szCs w:val="28"/>
          <w:lang w:val="sq-AL"/>
        </w:rPr>
        <w:t>商服用地拟供应</w:t>
      </w:r>
      <w:r>
        <w:rPr>
          <w:rFonts w:hint="eastAsia" w:eastAsia="仿宋_GB2312"/>
          <w:sz w:val="28"/>
          <w:szCs w:val="28"/>
          <w:lang w:val="en-US" w:eastAsia="zh-CN"/>
        </w:rPr>
        <w:t>24.11</w:t>
      </w:r>
      <w:r>
        <w:rPr>
          <w:rFonts w:eastAsia="仿宋_GB2312"/>
          <w:sz w:val="28"/>
          <w:szCs w:val="28"/>
          <w:lang w:val="sq-AL"/>
        </w:rPr>
        <w:t>公顷</w:t>
      </w:r>
      <w:r>
        <w:rPr>
          <w:rFonts w:eastAsia="仿宋_GB2312"/>
          <w:sz w:val="28"/>
          <w:szCs w:val="28"/>
          <w:highlight w:val="none"/>
          <w:lang w:val="sq-AL"/>
        </w:rPr>
        <w:t>，主要布局在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鄂城区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和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葛店开发区</w:t>
      </w:r>
      <w:r>
        <w:rPr>
          <w:rFonts w:eastAsia="仿宋_GB2312"/>
          <w:sz w:val="28"/>
          <w:szCs w:val="28"/>
          <w:highlight w:val="none"/>
          <w:lang w:val="sq-AL"/>
        </w:rPr>
        <w:t>等区域。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2.</w:t>
      </w:r>
      <w:r>
        <w:rPr>
          <w:rFonts w:hint="eastAsia"/>
          <w:b/>
          <w:bCs w:val="0"/>
          <w:sz w:val="28"/>
          <w:lang w:val="en-US" w:eastAsia="zh-CN"/>
        </w:rPr>
        <w:t>住宅</w:t>
      </w:r>
      <w:r>
        <w:rPr>
          <w:rFonts w:ascii="Times New Roman" w:hAnsi="Times New Roman" w:eastAsia="宋体"/>
          <w:b/>
          <w:bCs w:val="0"/>
          <w:sz w:val="28"/>
        </w:rPr>
        <w:t>用地布局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highlight w:val="none"/>
          <w:lang w:val="sq-AL" w:eastAsia="zh-CN"/>
        </w:rPr>
      </w:pPr>
      <w:r>
        <w:rPr>
          <w:rFonts w:eastAsia="仿宋_GB2312"/>
          <w:sz w:val="28"/>
          <w:szCs w:val="28"/>
          <w:lang w:val="sq-AL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eastAsia="仿宋_GB2312"/>
          <w:sz w:val="28"/>
          <w:szCs w:val="28"/>
          <w:lang w:val="sq-AL"/>
        </w:rPr>
        <w:t>年</w:t>
      </w:r>
      <w:r>
        <w:rPr>
          <w:rFonts w:hint="eastAsia" w:eastAsia="仿宋_GB2312"/>
          <w:sz w:val="28"/>
          <w:szCs w:val="28"/>
          <w:lang w:val="sq-AL" w:eastAsia="zh-CN"/>
        </w:rPr>
        <w:t>鄂州</w:t>
      </w:r>
      <w:r>
        <w:rPr>
          <w:rFonts w:eastAsia="仿宋_GB2312"/>
          <w:sz w:val="28"/>
          <w:szCs w:val="28"/>
          <w:lang w:val="sq-AL"/>
        </w:rPr>
        <w:t>市住宅用地拟供应</w:t>
      </w:r>
      <w:r>
        <w:rPr>
          <w:rFonts w:hint="eastAsia" w:eastAsia="仿宋_GB2312"/>
          <w:sz w:val="28"/>
          <w:szCs w:val="28"/>
          <w:lang w:val="en-US" w:eastAsia="zh-CN"/>
        </w:rPr>
        <w:t>99.14</w:t>
      </w:r>
      <w:r>
        <w:rPr>
          <w:rFonts w:eastAsia="仿宋_GB2312"/>
          <w:sz w:val="28"/>
          <w:szCs w:val="28"/>
          <w:lang w:val="sq-AL"/>
        </w:rPr>
        <w:t>公顷，其中保障性安居工程用地</w:t>
      </w:r>
      <w:r>
        <w:rPr>
          <w:rFonts w:hint="eastAsia" w:eastAsia="仿宋_GB2312"/>
          <w:sz w:val="28"/>
          <w:szCs w:val="28"/>
          <w:lang w:val="en-US" w:eastAsia="zh-CN"/>
        </w:rPr>
        <w:t>15.85</w:t>
      </w:r>
      <w:r>
        <w:rPr>
          <w:rFonts w:eastAsia="仿宋_GB2312"/>
          <w:sz w:val="28"/>
          <w:szCs w:val="28"/>
          <w:lang w:val="sq-AL"/>
        </w:rPr>
        <w:t>公顷，商品住房用地</w:t>
      </w:r>
      <w:r>
        <w:rPr>
          <w:rFonts w:hint="eastAsia" w:eastAsia="仿宋_GB2312"/>
          <w:sz w:val="28"/>
          <w:szCs w:val="28"/>
          <w:lang w:val="en-US" w:eastAsia="zh-CN"/>
        </w:rPr>
        <w:t>83.29</w:t>
      </w:r>
      <w:r>
        <w:rPr>
          <w:rFonts w:eastAsia="仿宋_GB2312"/>
          <w:sz w:val="28"/>
          <w:szCs w:val="28"/>
          <w:lang w:val="sq-AL"/>
        </w:rPr>
        <w:t>公顷</w:t>
      </w:r>
      <w:r>
        <w:rPr>
          <w:rFonts w:eastAsia="仿宋_GB2312"/>
          <w:sz w:val="28"/>
          <w:szCs w:val="28"/>
          <w:highlight w:val="none"/>
          <w:lang w:val="sq-AL"/>
        </w:rPr>
        <w:t>。保障性安居工程用地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主要分布在鄂城区</w:t>
      </w:r>
      <w:r>
        <w:rPr>
          <w:rFonts w:eastAsia="仿宋_GB2312"/>
          <w:sz w:val="28"/>
          <w:szCs w:val="28"/>
          <w:highlight w:val="none"/>
          <w:lang w:val="sq-AL"/>
        </w:rPr>
        <w:t>。商品住房用地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在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鄂城区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、葛店开发区</w:t>
      </w:r>
      <w:r>
        <w:rPr>
          <w:rFonts w:hint="eastAsia" w:eastAsia="仿宋_GB2312"/>
          <w:sz w:val="28"/>
          <w:szCs w:val="28"/>
          <w:highlight w:val="none"/>
          <w:lang w:val="sq-AL"/>
        </w:rPr>
        <w:t>等均有</w:t>
      </w:r>
      <w:r>
        <w:rPr>
          <w:rFonts w:eastAsia="仿宋_GB2312"/>
          <w:sz w:val="28"/>
          <w:szCs w:val="28"/>
          <w:highlight w:val="none"/>
          <w:lang w:val="sq-AL"/>
        </w:rPr>
        <w:t>布局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3.工矿仓储用地布局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  <w:highlight w:val="none"/>
          <w:lang w:val="sq-AL"/>
        </w:rPr>
      </w:pPr>
      <w:r>
        <w:rPr>
          <w:rFonts w:eastAsia="仿宋_GB2312"/>
          <w:sz w:val="28"/>
          <w:szCs w:val="28"/>
          <w:lang w:val="sq-AL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eastAsia="仿宋_GB2312"/>
          <w:sz w:val="28"/>
          <w:szCs w:val="28"/>
          <w:lang w:val="sq-AL"/>
        </w:rPr>
        <w:t>年</w:t>
      </w:r>
      <w:r>
        <w:rPr>
          <w:rFonts w:hint="eastAsia" w:eastAsia="仿宋_GB2312"/>
          <w:sz w:val="28"/>
          <w:szCs w:val="28"/>
          <w:lang w:val="sq-AL" w:eastAsia="zh-CN"/>
        </w:rPr>
        <w:t>鄂州</w:t>
      </w:r>
      <w:r>
        <w:rPr>
          <w:rFonts w:eastAsia="仿宋_GB2312"/>
          <w:sz w:val="28"/>
          <w:szCs w:val="28"/>
          <w:lang w:val="sq-AL"/>
        </w:rPr>
        <w:t>市工矿仓储用地拟供应</w:t>
      </w:r>
      <w:r>
        <w:rPr>
          <w:rFonts w:hint="eastAsia" w:eastAsia="仿宋_GB2312"/>
          <w:sz w:val="28"/>
          <w:szCs w:val="28"/>
          <w:lang w:val="en-US" w:eastAsia="zh-CN"/>
        </w:rPr>
        <w:t>35.21</w:t>
      </w:r>
      <w:r>
        <w:rPr>
          <w:rFonts w:eastAsia="仿宋_GB2312"/>
          <w:sz w:val="28"/>
          <w:szCs w:val="28"/>
          <w:lang w:val="sq-AL"/>
        </w:rPr>
        <w:t>公顷，</w:t>
      </w:r>
      <w:r>
        <w:rPr>
          <w:rFonts w:eastAsia="仿宋_GB2312"/>
          <w:sz w:val="28"/>
          <w:szCs w:val="28"/>
          <w:highlight w:val="none"/>
          <w:lang w:val="sq-AL"/>
        </w:rPr>
        <w:t>主要布局在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葛店开发区、鄂城区</w:t>
      </w:r>
      <w:r>
        <w:rPr>
          <w:rFonts w:eastAsia="仿宋_GB2312"/>
          <w:sz w:val="28"/>
          <w:szCs w:val="28"/>
          <w:highlight w:val="none"/>
          <w:lang w:val="sq-AL"/>
        </w:rPr>
        <w:t>等区域。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4.公共管理与公共服务用地布局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  <w:highlight w:val="none"/>
          <w:lang w:val="sq-AL"/>
        </w:rPr>
      </w:pPr>
      <w:r>
        <w:rPr>
          <w:rFonts w:eastAsia="仿宋_GB2312"/>
          <w:sz w:val="28"/>
          <w:szCs w:val="28"/>
          <w:highlight w:val="none"/>
          <w:lang w:val="sq-AL"/>
        </w:rPr>
        <w:t>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20</w:t>
      </w:r>
      <w:r>
        <w:rPr>
          <w:rFonts w:eastAsia="仿宋_GB2312"/>
          <w:sz w:val="28"/>
          <w:szCs w:val="28"/>
          <w:highlight w:val="none"/>
          <w:lang w:val="sq-AL"/>
        </w:rPr>
        <w:t>年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鄂州</w:t>
      </w:r>
      <w:r>
        <w:rPr>
          <w:rFonts w:eastAsia="仿宋_GB2312"/>
          <w:sz w:val="28"/>
          <w:szCs w:val="28"/>
          <w:highlight w:val="none"/>
          <w:lang w:val="sq-AL"/>
        </w:rPr>
        <w:t>市公共管理与公共服务用地拟供应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33.24</w:t>
      </w:r>
      <w:r>
        <w:rPr>
          <w:rFonts w:eastAsia="仿宋_GB2312"/>
          <w:sz w:val="28"/>
          <w:szCs w:val="28"/>
          <w:highlight w:val="none"/>
          <w:lang w:val="sq-AL"/>
        </w:rPr>
        <w:t>公顷，主要布局在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葛店开发区、鄂城区、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华容区和梁子湖区</w:t>
      </w:r>
      <w:r>
        <w:rPr>
          <w:rFonts w:eastAsia="仿宋_GB2312"/>
          <w:sz w:val="28"/>
          <w:szCs w:val="28"/>
          <w:highlight w:val="none"/>
          <w:lang w:val="sq-AL"/>
        </w:rPr>
        <w:t>等区域。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5.交通运输用地布局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  <w:lang w:val="sq" w:bidi="ar"/>
        </w:rPr>
      </w:pPr>
      <w:r>
        <w:rPr>
          <w:rFonts w:eastAsia="仿宋_GB2312"/>
          <w:sz w:val="28"/>
          <w:szCs w:val="28"/>
          <w:highlight w:val="none"/>
          <w:lang w:val="sq-AL"/>
        </w:rPr>
        <w:t>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20</w:t>
      </w:r>
      <w:r>
        <w:rPr>
          <w:rFonts w:eastAsia="仿宋_GB2312"/>
          <w:sz w:val="28"/>
          <w:szCs w:val="28"/>
          <w:highlight w:val="none"/>
          <w:lang w:val="sq-AL"/>
        </w:rPr>
        <w:t>年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鄂州</w:t>
      </w:r>
      <w:r>
        <w:rPr>
          <w:rFonts w:eastAsia="仿宋_GB2312"/>
          <w:sz w:val="28"/>
          <w:szCs w:val="28"/>
          <w:highlight w:val="none"/>
          <w:lang w:val="sq-AL"/>
        </w:rPr>
        <w:t>市交通</w:t>
      </w:r>
      <w:r>
        <w:rPr>
          <w:rFonts w:eastAsia="仿宋_GB2312"/>
          <w:sz w:val="28"/>
          <w:szCs w:val="28"/>
          <w:lang w:val="sq-AL"/>
        </w:rPr>
        <w:t>运输用地拟供应</w:t>
      </w:r>
      <w:r>
        <w:rPr>
          <w:rFonts w:hint="eastAsia" w:eastAsia="仿宋_GB2312"/>
          <w:sz w:val="28"/>
          <w:szCs w:val="28"/>
          <w:lang w:val="en-US" w:eastAsia="zh-CN"/>
        </w:rPr>
        <w:t>1158.34</w:t>
      </w:r>
      <w:r>
        <w:rPr>
          <w:rFonts w:eastAsia="仿宋_GB2312"/>
          <w:sz w:val="28"/>
          <w:szCs w:val="28"/>
          <w:lang w:val="sq-AL"/>
        </w:rPr>
        <w:t>公顷，</w:t>
      </w:r>
      <w:r>
        <w:rPr>
          <w:rFonts w:hint="eastAsia" w:eastAsia="仿宋_GB2312"/>
          <w:sz w:val="28"/>
          <w:szCs w:val="28"/>
          <w:lang w:val="sq-AL" w:eastAsia="zh-CN"/>
        </w:rPr>
        <w:t>主要</w:t>
      </w:r>
      <w:r>
        <w:rPr>
          <w:rFonts w:eastAsia="仿宋_GB2312"/>
          <w:sz w:val="28"/>
          <w:szCs w:val="28"/>
          <w:highlight w:val="none"/>
          <w:lang w:val="sq-AL"/>
        </w:rPr>
        <w:t>布局在</w:t>
      </w:r>
      <w:r>
        <w:rPr>
          <w:rFonts w:hint="eastAsia" w:eastAsia="仿宋_GB2312"/>
          <w:sz w:val="28"/>
          <w:szCs w:val="28"/>
          <w:highlight w:val="none"/>
          <w:lang w:val="sq-AL" w:eastAsia="zh-CN"/>
        </w:rPr>
        <w:t>鄂城区、葛店开发区</w:t>
      </w:r>
      <w:r>
        <w:rPr>
          <w:rFonts w:eastAsia="仿宋_GB2312"/>
          <w:sz w:val="28"/>
          <w:szCs w:val="28"/>
          <w:highlight w:val="none"/>
          <w:lang w:val="sq-AL"/>
        </w:rPr>
        <w:t>等。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6.水域及水利设施用地布局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eastAsia="仿宋_GB2312"/>
          <w:sz w:val="28"/>
          <w:szCs w:val="28"/>
        </w:rPr>
        <w:t>市暂不计划供应水域及水利设施用地。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Times New Roman" w:hAnsi="Times New Roman" w:eastAsia="宋体"/>
          <w:b/>
          <w:bCs w:val="0"/>
          <w:sz w:val="28"/>
        </w:rPr>
      </w:pPr>
      <w:r>
        <w:rPr>
          <w:rFonts w:ascii="Times New Roman" w:hAnsi="Times New Roman" w:eastAsia="宋体"/>
          <w:b/>
          <w:bCs w:val="0"/>
          <w:sz w:val="28"/>
        </w:rPr>
        <w:t>7.特殊用地布局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bookmarkStart w:id="91" w:name="_Toc419103589"/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eastAsia="仿宋_GB2312"/>
          <w:sz w:val="28"/>
          <w:szCs w:val="28"/>
        </w:rPr>
        <w:t>市暂不计划供应</w:t>
      </w:r>
      <w:r>
        <w:rPr>
          <w:rFonts w:hint="eastAsia" w:eastAsia="仿宋_GB2312"/>
          <w:sz w:val="28"/>
          <w:szCs w:val="28"/>
        </w:rPr>
        <w:t>特殊用地</w:t>
      </w:r>
      <w:r>
        <w:rPr>
          <w:rFonts w:eastAsia="仿宋_GB2312"/>
          <w:sz w:val="28"/>
          <w:szCs w:val="28"/>
        </w:rPr>
        <w:t>用地。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bookmarkStart w:id="92" w:name="_Toc28899"/>
      <w:bookmarkStart w:id="93" w:name="_Toc1609"/>
      <w:bookmarkStart w:id="94" w:name="_Toc27133"/>
      <w:bookmarkStart w:id="95" w:name="_Toc14838_WPSOffice_Level2"/>
      <w:bookmarkStart w:id="96" w:name="_Toc7813"/>
      <w:r>
        <w:rPr>
          <w:rFonts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四</w:t>
      </w:r>
      <w:r>
        <w:rPr>
          <w:rFonts w:ascii="宋体" w:hAnsi="宋体"/>
          <w:sz w:val="30"/>
          <w:szCs w:val="30"/>
        </w:rPr>
        <w:t>）国有建设用地供应方式</w:t>
      </w:r>
      <w:bookmarkEnd w:id="91"/>
      <w:bookmarkEnd w:id="92"/>
      <w:bookmarkEnd w:id="93"/>
      <w:bookmarkEnd w:id="94"/>
      <w:bookmarkEnd w:id="95"/>
      <w:bookmarkEnd w:id="9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鄂州</w:t>
      </w:r>
      <w:r>
        <w:rPr>
          <w:rFonts w:hint="eastAsia" w:eastAsia="仿宋_GB2312"/>
          <w:sz w:val="28"/>
          <w:szCs w:val="28"/>
        </w:rPr>
        <w:t>市计划供应的国有建设用地中，商服、商品住房、工矿仓储用地等用地计划拟以</w:t>
      </w:r>
      <w:bookmarkStart w:id="97" w:name="出让含义"/>
      <w:r>
        <w:rPr>
          <w:rFonts w:hint="eastAsia" w:eastAsia="仿宋_GB2312"/>
          <w:sz w:val="28"/>
          <w:szCs w:val="28"/>
        </w:rPr>
        <w:t>出让</w:t>
      </w:r>
      <w:bookmarkEnd w:id="97"/>
      <w:r>
        <w:rPr>
          <w:rFonts w:hint="eastAsia" w:eastAsia="仿宋_GB2312"/>
          <w:sz w:val="28"/>
          <w:szCs w:val="28"/>
        </w:rPr>
        <w:t>方式供给为主，住房用地中的保障性安居工程、公共管理与公共服务用地、交通运输用地等拟以</w:t>
      </w:r>
      <w:bookmarkStart w:id="98" w:name="划拨含义"/>
      <w:r>
        <w:rPr>
          <w:rFonts w:hint="eastAsia" w:eastAsia="仿宋_GB2312"/>
          <w:sz w:val="28"/>
          <w:szCs w:val="28"/>
        </w:rPr>
        <w:t>划拨</w:t>
      </w:r>
      <w:bookmarkEnd w:id="98"/>
      <w:r>
        <w:rPr>
          <w:rFonts w:hint="eastAsia" w:eastAsia="仿宋_GB2312"/>
          <w:sz w:val="28"/>
          <w:szCs w:val="28"/>
        </w:rPr>
        <w:t>方式供给为主。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  <w:sectPr>
          <w:footerReference r:id="rId7" w:type="default"/>
          <w:pgSz w:w="11850" w:h="16783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  <w:bookmarkStart w:id="99" w:name="_Toc26364_WPSOffice_Level1"/>
      <w:bookmarkStart w:id="100" w:name="_Toc434399188"/>
      <w:bookmarkStart w:id="101" w:name="_Toc25722"/>
      <w:bookmarkStart w:id="102" w:name="_Toc419103590"/>
      <w:bookmarkStart w:id="103" w:name="_Toc2365"/>
      <w:r>
        <w:rPr>
          <w:rFonts w:hint="eastAsia" w:eastAsia="仿宋_GB2312"/>
          <w:sz w:val="28"/>
          <w:szCs w:val="28"/>
        </w:rPr>
        <w:t>鄂州市2020年国有建设用地供应总量中，以出让方式供给的土地面积为</w:t>
      </w:r>
      <w:r>
        <w:rPr>
          <w:rFonts w:hint="eastAsia" w:eastAsia="仿宋_GB2312"/>
          <w:sz w:val="28"/>
          <w:szCs w:val="28"/>
          <w:lang w:val="en-US" w:eastAsia="zh-CN"/>
        </w:rPr>
        <w:t>239.14</w:t>
      </w:r>
      <w:r>
        <w:rPr>
          <w:rFonts w:hint="eastAsia" w:eastAsia="仿宋_GB2312"/>
          <w:sz w:val="28"/>
          <w:szCs w:val="28"/>
        </w:rPr>
        <w:t>公顷，占总供应面积的</w:t>
      </w:r>
      <w:r>
        <w:rPr>
          <w:rFonts w:hint="eastAsia" w:eastAsia="仿宋_GB2312"/>
          <w:sz w:val="28"/>
          <w:szCs w:val="28"/>
          <w:lang w:val="en-US" w:eastAsia="zh-CN"/>
        </w:rPr>
        <w:t>17.71</w:t>
      </w:r>
      <w:r>
        <w:rPr>
          <w:rFonts w:hint="eastAsia" w:eastAsia="仿宋_GB2312"/>
          <w:sz w:val="28"/>
          <w:szCs w:val="28"/>
        </w:rPr>
        <w:t>%，以划拨方式供给的土地面积为1110.9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公顷土地，所占比例为</w:t>
      </w:r>
      <w:r>
        <w:rPr>
          <w:rFonts w:hint="eastAsia" w:eastAsia="仿宋_GB2312"/>
          <w:sz w:val="28"/>
          <w:szCs w:val="28"/>
          <w:lang w:val="en-US" w:eastAsia="zh-CN"/>
        </w:rPr>
        <w:t>82.29</w:t>
      </w:r>
      <w:r>
        <w:rPr>
          <w:rFonts w:hint="eastAsia" w:eastAsia="仿宋_GB2312"/>
          <w:sz w:val="28"/>
          <w:szCs w:val="28"/>
        </w:rPr>
        <w:t>%。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hint="eastAsia" w:ascii="宋体" w:hAnsi="宋体" w:cs="Times New Roman"/>
          <w:sz w:val="32"/>
          <w:szCs w:val="32"/>
          <w:lang w:val="en-US" w:eastAsia="zh-CN"/>
        </w:rPr>
      </w:pPr>
      <w:bookmarkStart w:id="104" w:name="_Toc5977"/>
      <w:bookmarkStart w:id="105" w:name="_Toc2535"/>
      <w:r>
        <w:rPr>
          <w:rFonts w:hint="eastAsia" w:ascii="宋体" w:hAnsi="宋体" w:eastAsia="宋体"/>
          <w:sz w:val="32"/>
          <w:szCs w:val="32"/>
        </w:rPr>
        <w:t>五</w:t>
      </w:r>
      <w:r>
        <w:rPr>
          <w:rFonts w:ascii="宋体" w:hAnsi="宋体" w:eastAsia="宋体"/>
          <w:sz w:val="32"/>
          <w:szCs w:val="32"/>
        </w:rPr>
        <w:t>、政策导向</w:t>
      </w:r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 w:cs="Times New Roman"/>
          <w:sz w:val="30"/>
          <w:szCs w:val="30"/>
        </w:rPr>
      </w:pPr>
      <w:bookmarkStart w:id="106" w:name="_Toc4797"/>
      <w:bookmarkStart w:id="107" w:name="_Toc2359"/>
      <w:r>
        <w:rPr>
          <w:rFonts w:ascii="宋体" w:hAnsi="宋体" w:cs="Times New Roman"/>
          <w:sz w:val="30"/>
          <w:szCs w:val="30"/>
        </w:rPr>
        <w:t>（一）全面推进</w:t>
      </w:r>
      <w:r>
        <w:rPr>
          <w:rFonts w:hint="eastAsia" w:ascii="宋体" w:hAnsi="宋体" w:cs="Times New Roman"/>
          <w:sz w:val="30"/>
          <w:szCs w:val="30"/>
        </w:rPr>
        <w:t>鄂州机场建设</w:t>
      </w:r>
      <w:r>
        <w:rPr>
          <w:rFonts w:ascii="宋体" w:hAnsi="宋体" w:cs="Times New Roman"/>
          <w:sz w:val="30"/>
          <w:szCs w:val="30"/>
        </w:rPr>
        <w:t>，为乡村振兴提供基础支撑作用</w:t>
      </w:r>
      <w:bookmarkEnd w:id="106"/>
      <w:bookmarkEnd w:id="1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2020年是新中国成立70周年的大庆之年，是经济爬坡过坎的大考之年，是决战决胜全面建成小康社会的关键攻坚之年，也是</w:t>
      </w:r>
      <w:r>
        <w:rPr>
          <w:rFonts w:hint="eastAsia" w:eastAsia="仿宋_GB2312"/>
          <w:sz w:val="28"/>
          <w:szCs w:val="28"/>
          <w:lang w:val="en-US" w:eastAsia="zh-CN"/>
        </w:rPr>
        <w:t>全</w:t>
      </w:r>
      <w:r>
        <w:rPr>
          <w:rFonts w:hint="eastAsia" w:eastAsia="仿宋_GB2312"/>
          <w:sz w:val="28"/>
          <w:szCs w:val="28"/>
          <w:lang w:eastAsia="zh-CN"/>
        </w:rPr>
        <w:t>市深入推进城乡融合高质量发展的大干之年。</w:t>
      </w:r>
      <w:r>
        <w:rPr>
          <w:rFonts w:hint="eastAsia" w:eastAsia="仿宋_GB2312"/>
          <w:sz w:val="28"/>
          <w:szCs w:val="28"/>
          <w:lang w:val="en-US" w:eastAsia="zh-CN"/>
        </w:rPr>
        <w:t>我市将</w:t>
      </w:r>
      <w:r>
        <w:rPr>
          <w:rFonts w:hint="eastAsia" w:eastAsia="仿宋_GB2312"/>
          <w:sz w:val="28"/>
          <w:szCs w:val="28"/>
        </w:rPr>
        <w:t>全面加快鄂州机场建设。推进机场工可和初步设计通过民航审批，全面完成机场开工前所有法定前置审批。启动机场主体工程建设，做好征地拆迁、矛盾调处等综合协调服务。加快配套项目建设，完成</w:t>
      </w:r>
      <w:r>
        <w:rPr>
          <w:rFonts w:hint="eastAsia" w:eastAsia="仿宋_GB2312"/>
          <w:sz w:val="28"/>
          <w:szCs w:val="28"/>
          <w:lang w:val="en-US" w:eastAsia="zh-CN"/>
        </w:rPr>
        <w:t>飞行区、通信导航设施、航站区、货运区、供油设施、其他用地（含围场路及双围界、放坡用地、进场路、填湖弃方区、调蓄水池）</w:t>
      </w:r>
      <w:r>
        <w:rPr>
          <w:rFonts w:hint="eastAsia" w:eastAsia="仿宋_GB2312"/>
          <w:sz w:val="28"/>
          <w:szCs w:val="28"/>
        </w:rPr>
        <w:t>等工程。完成机场航油码头及机场高速项目前期工作。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同时稳步推进空港经济发展。启动机场核心区10平方公里空港经济产业园建设，加强与招商局集团等大型企业合作，围绕集成电路、高端装备制造、光电子信息、智能制造、新能源、新材料、人工智能、飞机改装和供应链管理等领域，导入一批大项目、好项目。加快燕花路（鄂东大道-吴都大道）工程</w:t>
      </w:r>
      <w:r>
        <w:rPr>
          <w:rFonts w:hint="eastAsia" w:eastAsia="仿宋_GB2312"/>
          <w:sz w:val="28"/>
          <w:szCs w:val="28"/>
          <w:lang w:eastAsia="zh-CN"/>
        </w:rPr>
        <w:t>、吴楚大道（吴楚大道-燕沙路）工程</w:t>
      </w:r>
      <w:r>
        <w:rPr>
          <w:rFonts w:hint="eastAsia" w:eastAsia="仿宋_GB2312"/>
          <w:sz w:val="28"/>
          <w:szCs w:val="28"/>
          <w:lang w:val="en-US" w:eastAsia="zh-CN"/>
        </w:rPr>
        <w:t>等</w:t>
      </w:r>
      <w:r>
        <w:rPr>
          <w:rFonts w:hint="eastAsia" w:eastAsia="仿宋_GB2312"/>
          <w:sz w:val="28"/>
          <w:szCs w:val="28"/>
        </w:rPr>
        <w:t>建设。推动公共文化体育服务基础设施提档升级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/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 w:cs="Times New Roman"/>
          <w:sz w:val="30"/>
          <w:szCs w:val="30"/>
        </w:rPr>
      </w:pPr>
      <w:bookmarkStart w:id="108" w:name="_Toc2323"/>
      <w:bookmarkStart w:id="109" w:name="_Toc24610"/>
      <w:r>
        <w:rPr>
          <w:rFonts w:ascii="宋体" w:hAnsi="宋体" w:cs="Times New Roman"/>
          <w:sz w:val="30"/>
          <w:szCs w:val="30"/>
        </w:rPr>
        <w:t>（二）实行分区域差别化调整政策，科学安排住房用地供</w:t>
      </w:r>
      <w:bookmarkStart w:id="110" w:name="_Toc509790792"/>
      <w:r>
        <w:rPr>
          <w:rFonts w:ascii="宋体" w:hAnsi="宋体" w:cs="Times New Roman"/>
          <w:sz w:val="30"/>
          <w:szCs w:val="30"/>
        </w:rPr>
        <w:t>应</w:t>
      </w:r>
      <w:bookmarkEnd w:id="108"/>
      <w:bookmarkEnd w:id="109"/>
    </w:p>
    <w:bookmarkEnd w:id="1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2020</w:t>
      </w:r>
      <w:r>
        <w:rPr>
          <w:rFonts w:hint="eastAsia" w:eastAsia="仿宋_GB2312"/>
          <w:sz w:val="28"/>
          <w:szCs w:val="28"/>
        </w:rPr>
        <w:t>年，鄂州市政府积极响应中央“房住不炒”的政策，有针对性地增加有效供给，抓紧调整土地和住房供应结构，大力发展中小套型普通住房；加强资金管控，有效降低金融杠杆，防范市场风险；大力整顿规范市场秩序，加强预期管理和舆论引导，遏制投机炒作，支持和满足群众刚性居住需求。坚持因城施策，促进供求平衡，合理引导预期，整治市场秩序，坚决遏制房价上涨。加快建立促进房地产市场平稳健康发展长效机制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 w:cs="Times New Roman"/>
          <w:sz w:val="30"/>
          <w:szCs w:val="30"/>
        </w:rPr>
      </w:pPr>
      <w:bookmarkStart w:id="111" w:name="_Toc31831"/>
      <w:bookmarkStart w:id="112" w:name="_Toc254"/>
      <w:r>
        <w:rPr>
          <w:rFonts w:ascii="宋体" w:hAnsi="宋体" w:cs="Times New Roman"/>
          <w:sz w:val="30"/>
          <w:szCs w:val="30"/>
        </w:rPr>
        <w:t>（三）</w:t>
      </w:r>
      <w:r>
        <w:rPr>
          <w:rFonts w:hint="eastAsia" w:ascii="宋体" w:hAnsi="宋体" w:cs="Times New Roman"/>
          <w:sz w:val="30"/>
          <w:szCs w:val="30"/>
        </w:rPr>
        <w:t>优化营商环境</w:t>
      </w:r>
      <w:r>
        <w:rPr>
          <w:rFonts w:ascii="宋体" w:hAnsi="宋体" w:cs="Times New Roman"/>
          <w:sz w:val="30"/>
          <w:szCs w:val="30"/>
        </w:rPr>
        <w:t>，</w:t>
      </w:r>
      <w:r>
        <w:rPr>
          <w:rFonts w:hint="eastAsia" w:ascii="宋体" w:hAnsi="宋体" w:cs="Times New Roman"/>
          <w:sz w:val="30"/>
          <w:szCs w:val="30"/>
        </w:rPr>
        <w:t>着力推进公用设施项目建设</w:t>
      </w:r>
      <w:bookmarkEnd w:id="111"/>
      <w:bookmarkEnd w:id="1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2020年3月，湖北省委省政府出台《关于推进全省十大重点产业高质量发展的意见》，鄂州市将做好以下6方面工作：一是着力加强规划引领。二是着力加强创新生态建设。三是着力推进项目建设。四是着力加强龙头企业培育。五是着力推进产业集聚集约发展。六是着力优化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重点支持公用设施工程，加快航空都市区污水处理厂工程</w:t>
      </w:r>
      <w:r>
        <w:rPr>
          <w:rFonts w:hint="eastAsia" w:eastAsia="仿宋_GB2312"/>
          <w:sz w:val="28"/>
          <w:szCs w:val="28"/>
          <w:lang w:eastAsia="zh-CN"/>
        </w:rPr>
        <w:t>、城乡供水管网工程城南加压泵站项目</w:t>
      </w:r>
      <w:r>
        <w:rPr>
          <w:rFonts w:hint="eastAsia" w:eastAsia="仿宋_GB2312"/>
          <w:sz w:val="28"/>
          <w:szCs w:val="28"/>
        </w:rPr>
        <w:t>等补短板项目建设，提高污水综合处理能力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城南供水能力</w:t>
      </w:r>
      <w:r>
        <w:rPr>
          <w:rFonts w:hint="eastAsia" w:eastAsia="仿宋_GB2312"/>
          <w:sz w:val="28"/>
          <w:szCs w:val="28"/>
        </w:rPr>
        <w:t>；</w:t>
      </w:r>
      <w:r>
        <w:rPr>
          <w:rFonts w:hint="eastAsia" w:eastAsia="仿宋_GB2312"/>
          <w:sz w:val="28"/>
          <w:szCs w:val="28"/>
          <w:lang w:val="en-US" w:eastAsia="zh-CN"/>
        </w:rPr>
        <w:t>加快机场建设、三江港区综合码头</w:t>
      </w:r>
      <w:r>
        <w:rPr>
          <w:rFonts w:hint="eastAsia" w:eastAsia="仿宋_GB2312"/>
          <w:sz w:val="28"/>
          <w:szCs w:val="28"/>
        </w:rPr>
        <w:t>等</w:t>
      </w:r>
      <w:r>
        <w:rPr>
          <w:rFonts w:hint="eastAsia" w:eastAsia="仿宋_GB2312"/>
          <w:sz w:val="28"/>
          <w:szCs w:val="28"/>
          <w:lang w:val="en-US" w:eastAsia="zh-CN"/>
        </w:rPr>
        <w:t>交通运输项目</w:t>
      </w:r>
      <w:r>
        <w:rPr>
          <w:rFonts w:hint="eastAsia" w:eastAsia="仿宋_GB2312"/>
          <w:sz w:val="28"/>
          <w:szCs w:val="28"/>
        </w:rPr>
        <w:t>，稳步</w:t>
      </w:r>
      <w:r>
        <w:rPr>
          <w:rFonts w:hint="eastAsia" w:eastAsia="仿宋_GB2312"/>
          <w:sz w:val="28"/>
          <w:szCs w:val="28"/>
          <w:lang w:val="en-US" w:eastAsia="zh-CN"/>
        </w:rPr>
        <w:t>提高</w:t>
      </w:r>
      <w:r>
        <w:rPr>
          <w:rFonts w:hint="eastAsia" w:eastAsia="仿宋_GB2312"/>
          <w:sz w:val="28"/>
          <w:szCs w:val="28"/>
        </w:rPr>
        <w:t>城市</w:t>
      </w:r>
      <w:r>
        <w:rPr>
          <w:rFonts w:hint="eastAsia" w:eastAsia="仿宋_GB2312"/>
          <w:sz w:val="28"/>
          <w:szCs w:val="28"/>
          <w:lang w:val="en-US" w:eastAsia="zh-CN"/>
        </w:rPr>
        <w:t>基础设施水平</w:t>
      </w:r>
      <w:r>
        <w:rPr>
          <w:rFonts w:hint="eastAsia" w:eastAsia="仿宋_GB2312"/>
          <w:sz w:val="28"/>
          <w:szCs w:val="28"/>
        </w:rPr>
        <w:t>，优化</w:t>
      </w:r>
      <w:r>
        <w:rPr>
          <w:rFonts w:hint="eastAsia" w:eastAsia="仿宋_GB2312"/>
          <w:sz w:val="28"/>
          <w:szCs w:val="28"/>
          <w:lang w:val="en-US" w:eastAsia="zh-CN"/>
        </w:rPr>
        <w:t>营商环境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 w:cs="Times New Roman"/>
          <w:sz w:val="30"/>
          <w:szCs w:val="30"/>
        </w:rPr>
      </w:pPr>
      <w:bookmarkStart w:id="113" w:name="_Toc255"/>
      <w:bookmarkStart w:id="114" w:name="_Toc6247"/>
      <w:r>
        <w:rPr>
          <w:rFonts w:ascii="宋体" w:hAnsi="宋体" w:cs="Times New Roman"/>
          <w:sz w:val="30"/>
          <w:szCs w:val="30"/>
        </w:rPr>
        <w:t>（四）加快存量土地盘活，实现节约集约用地</w:t>
      </w:r>
      <w:bookmarkEnd w:id="113"/>
      <w:bookmarkEnd w:id="1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仿宋_GB2312"/>
          <w:sz w:val="28"/>
          <w:szCs w:val="28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仿宋_GB2312"/>
          <w:sz w:val="28"/>
          <w:szCs w:val="28"/>
        </w:rPr>
        <w:t>持续做好闲置土地的专项督查和清理工作，严肃查处违法违规用地行为，要从政府、企业两个方面着手，坚决杜绝闲置土地的产生，尤其对于两年以上的闲置土地更要处以严厉处罚。</w:t>
      </w:r>
      <w:r>
        <w:rPr>
          <w:rFonts w:eastAsia="仿宋_GB2312"/>
          <w:sz w:val="28"/>
          <w:szCs w:val="28"/>
        </w:rPr>
        <w:t>完善土地储备和出让机制，</w:t>
      </w:r>
      <w:r>
        <w:rPr>
          <w:rFonts w:hint="eastAsia" w:eastAsia="仿宋_GB2312"/>
          <w:sz w:val="28"/>
          <w:szCs w:val="28"/>
        </w:rPr>
        <w:t>通过计划编制合理确定各功能区的土地供应量和结构</w:t>
      </w:r>
      <w:r>
        <w:rPr>
          <w:rFonts w:eastAsia="仿宋_GB2312"/>
          <w:sz w:val="28"/>
          <w:szCs w:val="28"/>
        </w:rPr>
        <w:t>，精准供地，严格土地执法，最大力度盘活闲置低效土地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控制低端增量</w:t>
      </w:r>
      <w:r>
        <w:rPr>
          <w:rFonts w:hint="eastAsia" w:eastAsia="仿宋_GB2312"/>
          <w:sz w:val="28"/>
          <w:szCs w:val="28"/>
        </w:rPr>
        <w:t>，同时加强土地供应后的监督管理，确保有效供应，及时清查闲置土地，为新经济释放发展空间，切实做到节约集约用地。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</w:rPr>
      </w:pPr>
      <w:bookmarkStart w:id="115" w:name="_Toc12350_WPSOffice_Level1"/>
      <w:bookmarkStart w:id="116" w:name="_Toc30109"/>
      <w:bookmarkStart w:id="117" w:name="_Toc15537"/>
      <w:bookmarkStart w:id="118" w:name="_Toc7917"/>
      <w:bookmarkStart w:id="119" w:name="_Toc419103595"/>
      <w:bookmarkStart w:id="120" w:name="_Toc434399189"/>
      <w:bookmarkStart w:id="121" w:name="_Toc6942"/>
      <w:r>
        <w:rPr>
          <w:rFonts w:hint="eastAsia" w:ascii="宋体" w:hAnsi="宋体" w:eastAsia="宋体"/>
          <w:sz w:val="32"/>
          <w:szCs w:val="32"/>
        </w:rPr>
        <w:t>六、国有建设用地供应计划保障实施</w:t>
      </w:r>
      <w:bookmarkEnd w:id="115"/>
      <w:bookmarkEnd w:id="116"/>
      <w:bookmarkEnd w:id="117"/>
      <w:bookmarkEnd w:id="118"/>
      <w:bookmarkEnd w:id="119"/>
      <w:bookmarkEnd w:id="120"/>
      <w:bookmarkEnd w:id="121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ascii="宋体" w:hAnsi="宋体" w:cs="Times New Roman"/>
          <w:sz w:val="30"/>
          <w:szCs w:val="30"/>
        </w:rPr>
      </w:pPr>
      <w:bookmarkStart w:id="122" w:name="_Toc418764854"/>
      <w:bookmarkStart w:id="123" w:name="_Toc23110"/>
      <w:bookmarkStart w:id="124" w:name="_Toc30637"/>
      <w:bookmarkStart w:id="125" w:name="_Toc282068815"/>
      <w:r>
        <w:rPr>
          <w:rFonts w:hint="eastAsia" w:ascii="宋体" w:hAnsi="宋体" w:cs="Times New Roman"/>
          <w:sz w:val="30"/>
          <w:szCs w:val="30"/>
          <w:lang w:val="en-US" w:eastAsia="zh-CN"/>
        </w:rPr>
        <w:t>（一）</w:t>
      </w:r>
      <w:r>
        <w:rPr>
          <w:rFonts w:ascii="宋体" w:hAnsi="宋体" w:cs="Times New Roman"/>
          <w:sz w:val="30"/>
          <w:szCs w:val="30"/>
        </w:rPr>
        <w:t>建立主动实施供应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计划</w:t>
      </w:r>
      <w:r>
        <w:rPr>
          <w:rFonts w:ascii="宋体" w:hAnsi="宋体" w:cs="Times New Roman"/>
          <w:sz w:val="30"/>
          <w:szCs w:val="30"/>
        </w:rPr>
        <w:t>的工作机制</w:t>
      </w:r>
      <w:bookmarkEnd w:id="122"/>
      <w:bookmarkEnd w:id="123"/>
      <w:bookmarkEnd w:id="1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为切实加强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供应计划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的可操作性和实施效果，各部门齐心协力，分工明确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切实履行政府职能、充分发挥组织协调作用。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自然资源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部门统筹协调“十三五”期间城乡建设用地规模目标，以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为主体，在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用地供应中建立土地供应监管系统，加强供后监管。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发改、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自然资源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等部门在项目立项、规划、供地、建设等各环节，协同对接具体项目实施方案。同时，在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实施中，要把握全面，突出重点，强化服务，保障供应，对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鄂州机场等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年度重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点项目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用地、保障性安居工程住房用地采取超前介入，跟踪服务，全程保障，切实满足项目建设用地需求，保证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指标有效落实。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hint="eastAsia" w:ascii="宋体" w:hAnsi="宋体" w:cs="Times New Roman"/>
          <w:sz w:val="30"/>
          <w:szCs w:val="30"/>
          <w:lang w:val="en-US" w:eastAsia="zh-CN"/>
        </w:rPr>
      </w:pPr>
      <w:bookmarkStart w:id="126" w:name="_Toc23553"/>
      <w:bookmarkStart w:id="127" w:name="_Toc418764855"/>
      <w:bookmarkStart w:id="128" w:name="_Toc17341"/>
      <w:r>
        <w:rPr>
          <w:rFonts w:hint="eastAsia" w:ascii="宋体" w:hAnsi="宋体" w:cs="Times New Roman"/>
          <w:sz w:val="30"/>
          <w:szCs w:val="30"/>
          <w:lang w:val="en-US" w:eastAsia="zh-CN"/>
        </w:rPr>
        <w:t>（二）优先保障性安居工程用地供应</w:t>
      </w:r>
      <w:bookmarkEnd w:id="126"/>
      <w:bookmarkEnd w:id="127"/>
      <w:bookmarkEnd w:id="1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bookmarkStart w:id="129" w:name="_Toc154218478"/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鄂州市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用地供应计划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中，从保增长、促民生、保稳定的政治高度出发，充分认识保障性安居工程用地土地供应的重要性，进一步增强保障性安居工程用地土地供应的责任感和紧迫感，确保这项民生工程落到实处，对新增加的建设用地指标、收回土地使用权和收购储备的国有土地，优先安排用于保障性住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突出重点，强化服务，保障供应。对保障性住房用地，健全完善其跟踪服务机制，适时掌握各重点项目前期工作进度，做到提前有准备、办理有高效，促进项目落地建设。切实满足保障性住房的建设用地需求。</w:t>
      </w:r>
    </w:p>
    <w:bookmarkEnd w:id="129"/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hint="eastAsia" w:ascii="宋体" w:hAnsi="宋体" w:cs="Times New Roman"/>
          <w:sz w:val="30"/>
          <w:szCs w:val="30"/>
          <w:lang w:val="en-US" w:eastAsia="zh-CN"/>
        </w:rPr>
      </w:pPr>
      <w:bookmarkStart w:id="130" w:name="_Toc8683"/>
      <w:bookmarkStart w:id="131" w:name="_Toc418764856"/>
      <w:bookmarkStart w:id="132" w:name="_Toc10675"/>
      <w:r>
        <w:rPr>
          <w:rFonts w:hint="eastAsia" w:ascii="宋体" w:hAnsi="宋体" w:cs="Times New Roman"/>
          <w:sz w:val="30"/>
          <w:szCs w:val="30"/>
          <w:lang w:val="en-US" w:eastAsia="zh-CN"/>
        </w:rPr>
        <w:t>（三）加强用地供应计划的动态管理</w:t>
      </w:r>
      <w:bookmarkEnd w:id="130"/>
      <w:bookmarkEnd w:id="131"/>
      <w:bookmarkEnd w:id="1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加强用地供应计划动态跟踪管理，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鄂州市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相关部门应及时总结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执行情况，对因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疫情等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特殊原因影响供应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安排的，应及时做好计划调整工作。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加强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用地供应计划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实施情况评价工作，对每年政府引导下的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用地供应计划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实施绩效进行分析评价和总结，并进一步与城市的发展速度与方向相协调，使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用地供应计划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编制、实施与管理有机结合起来，形成动态的互动反馈环，形成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用地供应计划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实施跟踪机制。</w:t>
      </w:r>
    </w:p>
    <w:bookmarkEnd w:id="125"/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after="72" w:afterLines="30" w:line="360" w:lineRule="auto"/>
        <w:ind w:firstLine="600" w:firstLineChars="200"/>
        <w:textAlignment w:val="auto"/>
        <w:rPr>
          <w:rFonts w:hint="eastAsia" w:ascii="宋体" w:hAnsi="宋体" w:cs="Times New Roman"/>
          <w:sz w:val="30"/>
          <w:szCs w:val="30"/>
          <w:lang w:val="en-US" w:eastAsia="zh-CN"/>
        </w:rPr>
      </w:pPr>
      <w:bookmarkStart w:id="133" w:name="_Toc27343"/>
      <w:bookmarkStart w:id="134" w:name="_Toc31628"/>
      <w:r>
        <w:rPr>
          <w:rFonts w:hint="eastAsia" w:ascii="宋体" w:hAnsi="宋体" w:cs="Times New Roman"/>
          <w:sz w:val="30"/>
          <w:szCs w:val="30"/>
          <w:lang w:val="en-US" w:eastAsia="zh-CN"/>
        </w:rPr>
        <w:t>（四）完善土地储备开发模式，增强政府储备土地能力</w:t>
      </w:r>
      <w:bookmarkEnd w:id="133"/>
      <w:bookmarkEnd w:id="134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鄂州市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继续深化“政府主导、市场化运作”的土地储备开发模式，切实加强政府在土地征收、收购、储备、供应过程中的主导性作用，探索土地一级开发的多种实施模式，通过多种途径和方式尽快增加政府土地储备量，优化土地储备组织机构，增强土地储备机构项目管理的能力，增强政府调控土地市场的能力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AndChars" w:linePitch="312" w:charSpace="0"/>
        </w:sectPr>
      </w:pPr>
    </w:p>
    <w:tbl>
      <w:tblPr>
        <w:tblStyle w:val="1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93"/>
        <w:gridCol w:w="1393"/>
        <w:gridCol w:w="1393"/>
        <w:gridCol w:w="1393"/>
        <w:gridCol w:w="1407"/>
        <w:gridCol w:w="1393"/>
        <w:gridCol w:w="1393"/>
        <w:gridCol w:w="1394"/>
        <w:gridCol w:w="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附表一  鄂州市2020年度国有建设用地供应计划表</w:t>
            </w:r>
          </w:p>
        </w:tc>
      </w:tr>
      <w:tr>
        <w:trPr>
          <w:trHeight w:val="360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499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特殊用地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保障性安居工程用地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商品住房用地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1350.04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1158.34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sectPr>
          <w:footerReference r:id="rId8" w:type="default"/>
          <w:pgSz w:w="16838" w:h="11905" w:orient="landscape"/>
          <w:pgMar w:top="1803" w:right="1440" w:bottom="1803" w:left="1440" w:header="567" w:footer="992" w:gutter="0"/>
          <w:pgNumType w:fmt="decimal"/>
          <w:cols w:space="0" w:num="1"/>
          <w:rtlGutter w:val="0"/>
          <w:docGrid w:linePitch="312" w:charSpace="0"/>
        </w:sectPr>
      </w:pPr>
    </w:p>
    <w:tbl>
      <w:tblPr>
        <w:tblStyle w:val="1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68"/>
        <w:gridCol w:w="780"/>
        <w:gridCol w:w="568"/>
        <w:gridCol w:w="655"/>
        <w:gridCol w:w="859"/>
        <w:gridCol w:w="1167"/>
        <w:gridCol w:w="962"/>
        <w:gridCol w:w="795"/>
        <w:gridCol w:w="739"/>
        <w:gridCol w:w="960"/>
        <w:gridCol w:w="1161"/>
        <w:gridCol w:w="574"/>
        <w:gridCol w:w="548"/>
        <w:gridCol w:w="643"/>
        <w:gridCol w:w="775"/>
        <w:gridCol w:w="697"/>
        <w:gridCol w:w="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附表二  鄂州市2020年度住房用地供应计划表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单位：公顷、%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供地总量</w:t>
            </w:r>
          </w:p>
        </w:tc>
        <w:tc>
          <w:tcPr>
            <w:tcW w:w="343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保障性安居工程用地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商品住房用地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保障性安居工程和中小套型普通商品房用地占比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其中：存量用地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其中：增量用地</w:t>
            </w: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保障性住房用地</w:t>
            </w:r>
          </w:p>
        </w:tc>
        <w:tc>
          <w:tcPr>
            <w:tcW w:w="13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各类棚户区改造用地</w:t>
            </w:r>
          </w:p>
        </w:tc>
        <w:tc>
          <w:tcPr>
            <w:tcW w:w="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公共租赁房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限价商品房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其中：中小套型商品住房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存量用地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增量用地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廉租房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其中：廉租房</w:t>
            </w:r>
          </w:p>
        </w:tc>
        <w:tc>
          <w:tcPr>
            <w:tcW w:w="34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其中：经济适用房</w:t>
            </w:r>
          </w:p>
        </w:tc>
        <w:tc>
          <w:tcPr>
            <w:tcW w:w="4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其中：中小套型商品住房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出让</w:t>
            </w: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99.14 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15.85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15.85 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11.97 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11.97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83.29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59.21 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75.71 </w:t>
            </w:r>
          </w:p>
        </w:tc>
      </w:tr>
    </w:tbl>
    <w:p>
      <w:pPr>
        <w:pStyle w:val="2"/>
        <w:sectPr>
          <w:pgSz w:w="16838" w:h="11905" w:orient="landscape"/>
          <w:pgMar w:top="1803" w:right="1440" w:bottom="1803" w:left="1440" w:header="567" w:footer="992" w:gutter="0"/>
          <w:pgNumType w:fmt="decimal"/>
          <w:cols w:space="0" w:num="1"/>
          <w:rtlGutter w:val="0"/>
          <w:docGrid w:linePitch="312" w:charSpace="0"/>
        </w:sectPr>
      </w:pPr>
    </w:p>
    <w:tbl>
      <w:tblPr>
        <w:tblStyle w:val="1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976"/>
        <w:gridCol w:w="1044"/>
        <w:gridCol w:w="867"/>
        <w:gridCol w:w="856"/>
        <w:gridCol w:w="1178"/>
        <w:gridCol w:w="1413"/>
        <w:gridCol w:w="1497"/>
        <w:gridCol w:w="1435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附表三</w:t>
            </w:r>
            <w:r>
              <w:rPr>
                <w:rFonts w:ascii="Times New Roman" w:hAnsi="Times New Roman" w:eastAsia="宋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 xml:space="preserve">  鄂州市2020年度保障性安居工程用地测算表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廉租房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限价商品房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城市棚户区改造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国有工矿棚户区改造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林区棚户区改造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垦区危房改造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任务套数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（万套）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0.1108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0.2660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套均建筑面积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用地面积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（公顷）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15.85</w:t>
            </w:r>
          </w:p>
        </w:tc>
      </w:tr>
    </w:tbl>
    <w:p>
      <w:pPr>
        <w:sectPr>
          <w:pgSz w:w="16838" w:h="11905" w:orient="landscape"/>
          <w:pgMar w:top="1803" w:right="1440" w:bottom="1803" w:left="1440" w:header="567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8" w:firstLineChars="49"/>
        <w:jc w:val="center"/>
        <w:textAlignment w:val="auto"/>
        <w:outlineLvl w:val="9"/>
        <w:rPr>
          <w:rFonts w:ascii="Times New Roman" w:hAnsi="Times New Roman" w:eastAsia="宋体"/>
        </w:rPr>
      </w:pPr>
      <w:bookmarkStart w:id="135" w:name="_Toc5573"/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-SA"/>
        </w:rPr>
        <w:t>附表四  鄂州市2020年国有建设用地供应宗地表</w:t>
      </w:r>
      <w:bookmarkEnd w:id="135"/>
    </w:p>
    <w:tbl>
      <w:tblPr>
        <w:tblStyle w:val="13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031"/>
        <w:gridCol w:w="1533"/>
        <w:gridCol w:w="2087"/>
        <w:gridCol w:w="1533"/>
        <w:gridCol w:w="3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宗地位置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宗地面积（公顷）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宗地用途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供地方式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吴都大道以南、汇贤路以西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12.73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商住用地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赵家新屋地块（鄂州市2012年度22批次）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鄂黄大桥以东，武昌大道以南，望楚路以西，鄂东大道以北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商住用地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五丈港地块（鄂州市2006年度47批次）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学府路以北，汇贤路以东，滨湖东路以西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18.62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商住用地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文化产业园地块（鄂州市2011年度44批次）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大桥路以西，滨湖南路以北、滨湖东路以东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商住用地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交投地块（鄂州市2006年第45批次2号、2007年第30批次1号）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石竹生态养老院（鄂政土批[2016]1554号）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梧桐湖新城鲊洲村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机关团体用地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305工程(2018年第9批次地块)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葛店开发区黄矶村及熊湾村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湖北能源集团鄂州发电有限公司（2013年4批次1号地块）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葛店开发区黄矶村及熊湾村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湖北能源集团鄂州发电有限公司（2013年4批次2号地块）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葛店开发区黄矶村及熊湾村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  <w:bookmarkStart w:id="136" w:name="_GoBack"/>
            <w:bookmarkEnd w:id="136"/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湖北能源集团鄂州发电有限公司（2013年4批次3号地块）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葛店开发区黄矶村及熊湾村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湖北能源集团鄂州发电有限公司（2013年4批次4号地块）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葛店开发区滨江大道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湖北能源集团鄂州发电有限公司（2019年29批次1号地块）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葛店开发区滨江大道以南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武汉南都新能源科技有限公司（2016-66号地块）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吴楚大道北侧、体育中心东侧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11.35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鄂州临空产业孵化基地有限公司（鄂州市2019年56批次）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燕矶镇、沙窝乡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20.22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燕花路（鄂东大道-吴都大道）工程（鄂州市2019年33批次）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新庙镇、燕矶镇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吴楚大道（吴楚大道-燕沙路）工程（鄂州市2019年35批次）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燕矶镇路牌村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鄂州市航空都市区水环境综合整治项目（航空都市区污水处理厂工程）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文塘路以东吴楚大道以北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楚江馨城二期（鄂城区2015年9批次3号地块）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将军大道以南，20号路以西，孙权二路以东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实验学校（鄂政土批〔2019〕1390号）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鄂州市西山街道小桥村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15.85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鄂州市城南（小桥安置点）棚户区改造项目（鄂政土批〔2018〕1671号）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鄂城区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鄂州市城乡供水管网工程城南加压泵站项目（鄂政土批〔2019〕301号）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葛店开发区建设大道以西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葛店开发区发展大道以东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葛店开发区发展大道以东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葛店开发区发展大道以东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葛店开发区建设大道以东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葛店开发区建设大道以东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葛店开发区高新二路以南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葛店开发区高新二路以南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葛店开发区高新二路以南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葛店开发区高新二路以南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葛店开发区电商大道以南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湖北唯品会物流有限公司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葛店开发区创业大道以西大湾社区内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鄂州市菁华教育发展有限公司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鄂东大道北侧葡萄园（杨岭村）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湖北团结奇锐锯业有限公司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葛店开发区高新四路以北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工矿仓储用地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湖北三安光电有限公司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红莲湖新区红莲大道以东、高新六路以北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湖北嘉翔旅游开发有限公司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红莲湖新区高新六路以南、红莲大道以东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13.16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湖北嘉翔旅游开发有限公司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新庙镇月陂村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鄂州市中心城区公交停保场（鄂政土批〔2019〕1255号）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鄂州通用机场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1020.00 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鄂政文〔2019〕43号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鄂州民用机场转运中心及航空基地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38.53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鄂州民用机场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鄂州民用机场转运中心及航空基地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鄂州民用机场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鄂州民用机场转运中心及航空基地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54.84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鄂州民用机场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sectPr>
          <w:pgSz w:w="16838" w:h="11905" w:orient="landscape"/>
          <w:pgMar w:top="1803" w:right="1440" w:bottom="1803" w:left="1440" w:header="567" w:footer="992" w:gutter="0"/>
          <w:pgNumType w:fmt="decimal"/>
          <w:cols w:space="0" w:num="1"/>
          <w:rtlGutter w:val="0"/>
          <w:docGrid w:linePitch="312" w:charSpace="0"/>
        </w:sectPr>
      </w:pPr>
    </w:p>
    <w:tbl>
      <w:tblPr>
        <w:tblStyle w:val="1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93"/>
        <w:gridCol w:w="1393"/>
        <w:gridCol w:w="1393"/>
        <w:gridCol w:w="1393"/>
        <w:gridCol w:w="1407"/>
        <w:gridCol w:w="1393"/>
        <w:gridCol w:w="1393"/>
        <w:gridCol w:w="1394"/>
        <w:gridCol w:w="14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附表</w:t>
            </w:r>
            <w:r>
              <w:rPr>
                <w:rFonts w:hint="eastAsia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 xml:space="preserve">  鄂州市2020年度国有建设用地供应计划表</w:t>
            </w:r>
            <w:r>
              <w:rPr>
                <w:rFonts w:hint="eastAsia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（分区域）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499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特殊用地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保障性安居工程用地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商品住房用地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1058.18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葛店经济开发区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1158.34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</w:pPr>
    </w:p>
    <w:sectPr>
      <w:pgSz w:w="16838" w:h="11905" w:orient="landscape"/>
      <w:pgMar w:top="1803" w:right="1440" w:bottom="1803" w:left="1440" w:header="567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thinThickSmallGap" w:color="auto" w:sz="12" w:space="1"/>
      </w:pBdr>
      <w:jc w:val="both"/>
      <w:rPr>
        <w:rFonts w:hint="eastAsia"/>
        <w:b/>
        <w:bCs/>
        <w:lang w:eastAsia="zh-CN"/>
      </w:rPr>
    </w:pPr>
  </w:p>
  <w:p>
    <w:pPr>
      <w:pStyle w:val="10"/>
      <w:pBdr>
        <w:bottom w:val="thinThickSmallGap" w:color="auto" w:sz="12" w:space="1"/>
      </w:pBdr>
      <w:jc w:val="center"/>
      <w:rPr>
        <w:rFonts w:hint="default" w:eastAsia="宋体"/>
        <w:b/>
        <w:bCs/>
        <w:lang w:val="en-US" w:eastAsia="zh-CN"/>
      </w:rPr>
    </w:pPr>
    <w:r>
      <w:rPr>
        <w:rFonts w:hint="eastAsia"/>
        <w:b/>
        <w:bCs/>
        <w:lang w:eastAsia="zh-CN"/>
      </w:rPr>
      <w:t>鄂州市</w:t>
    </w:r>
    <w:r>
      <w:rPr>
        <w:rFonts w:hint="eastAsia"/>
        <w:b/>
        <w:bCs/>
        <w:lang w:val="en-US" w:eastAsia="zh-CN"/>
      </w:rPr>
      <w:t>2020年度国有建设用地供应计划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21FF"/>
    <w:rsid w:val="018F2484"/>
    <w:rsid w:val="019646CB"/>
    <w:rsid w:val="03B56DAF"/>
    <w:rsid w:val="04DE0F2E"/>
    <w:rsid w:val="072E1AD5"/>
    <w:rsid w:val="087F573D"/>
    <w:rsid w:val="088436F9"/>
    <w:rsid w:val="091D3F8A"/>
    <w:rsid w:val="09C024E3"/>
    <w:rsid w:val="0C6B07F9"/>
    <w:rsid w:val="0DF01BF5"/>
    <w:rsid w:val="0E310360"/>
    <w:rsid w:val="0F616E86"/>
    <w:rsid w:val="0FF2389F"/>
    <w:rsid w:val="1030364B"/>
    <w:rsid w:val="115E3CB4"/>
    <w:rsid w:val="11F05208"/>
    <w:rsid w:val="12172199"/>
    <w:rsid w:val="14162E0E"/>
    <w:rsid w:val="1483371A"/>
    <w:rsid w:val="172A3D6A"/>
    <w:rsid w:val="18FA6CC3"/>
    <w:rsid w:val="19AB40BB"/>
    <w:rsid w:val="1A8520A1"/>
    <w:rsid w:val="1A98137D"/>
    <w:rsid w:val="1ABC45A7"/>
    <w:rsid w:val="20167E22"/>
    <w:rsid w:val="204F692A"/>
    <w:rsid w:val="221F5FCB"/>
    <w:rsid w:val="22C1544B"/>
    <w:rsid w:val="22C53536"/>
    <w:rsid w:val="237C1359"/>
    <w:rsid w:val="25C27751"/>
    <w:rsid w:val="25D7550A"/>
    <w:rsid w:val="25ED3DB9"/>
    <w:rsid w:val="29664EE8"/>
    <w:rsid w:val="2A8C70EB"/>
    <w:rsid w:val="2B8C38CA"/>
    <w:rsid w:val="2BBF70BB"/>
    <w:rsid w:val="2FE94C7E"/>
    <w:rsid w:val="31443A34"/>
    <w:rsid w:val="330C4EE7"/>
    <w:rsid w:val="337D3653"/>
    <w:rsid w:val="34D64C0A"/>
    <w:rsid w:val="35CA4EC9"/>
    <w:rsid w:val="37546612"/>
    <w:rsid w:val="38EB0124"/>
    <w:rsid w:val="394B5328"/>
    <w:rsid w:val="3AD76844"/>
    <w:rsid w:val="3C3F4BC5"/>
    <w:rsid w:val="3C46761B"/>
    <w:rsid w:val="3F752259"/>
    <w:rsid w:val="43011ECB"/>
    <w:rsid w:val="449D48A9"/>
    <w:rsid w:val="471E6E27"/>
    <w:rsid w:val="482124B6"/>
    <w:rsid w:val="48642254"/>
    <w:rsid w:val="4A9504E8"/>
    <w:rsid w:val="4B3E399D"/>
    <w:rsid w:val="4B845700"/>
    <w:rsid w:val="4D1905AF"/>
    <w:rsid w:val="4D7065B6"/>
    <w:rsid w:val="4E1A6285"/>
    <w:rsid w:val="4EC90AE0"/>
    <w:rsid w:val="511D0A19"/>
    <w:rsid w:val="517F24D7"/>
    <w:rsid w:val="5409175B"/>
    <w:rsid w:val="54B91103"/>
    <w:rsid w:val="55924A7C"/>
    <w:rsid w:val="56595576"/>
    <w:rsid w:val="570B4C89"/>
    <w:rsid w:val="5A6905E2"/>
    <w:rsid w:val="5A7B087F"/>
    <w:rsid w:val="5E252CF3"/>
    <w:rsid w:val="5E741631"/>
    <w:rsid w:val="60BC4803"/>
    <w:rsid w:val="617B1BB4"/>
    <w:rsid w:val="62EA3D8E"/>
    <w:rsid w:val="64DD266E"/>
    <w:rsid w:val="681821B5"/>
    <w:rsid w:val="69CA76CB"/>
    <w:rsid w:val="6B623E06"/>
    <w:rsid w:val="6C742972"/>
    <w:rsid w:val="6CD1423E"/>
    <w:rsid w:val="6DA664E4"/>
    <w:rsid w:val="6E5B6C72"/>
    <w:rsid w:val="6F9F694F"/>
    <w:rsid w:val="6FA45BCF"/>
    <w:rsid w:val="6FA907D2"/>
    <w:rsid w:val="703B14A9"/>
    <w:rsid w:val="71A67D3B"/>
    <w:rsid w:val="71F05858"/>
    <w:rsid w:val="72C93C8E"/>
    <w:rsid w:val="72E63D54"/>
    <w:rsid w:val="72FD07EE"/>
    <w:rsid w:val="73246EC1"/>
    <w:rsid w:val="73495F7A"/>
    <w:rsid w:val="74C21FFC"/>
    <w:rsid w:val="74DA1DB2"/>
    <w:rsid w:val="75A21C92"/>
    <w:rsid w:val="75B46433"/>
    <w:rsid w:val="76B42930"/>
    <w:rsid w:val="76C2099D"/>
    <w:rsid w:val="76CD21FF"/>
    <w:rsid w:val="7A9F7540"/>
    <w:rsid w:val="7C627619"/>
    <w:rsid w:val="7C756821"/>
    <w:rsid w:val="7ED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" w:beforeLines="20" w:beforeAutospacing="0" w:after="20" w:afterLines="20" w:afterAutospacing="0" w:line="576" w:lineRule="auto"/>
      <w:ind w:firstLine="0" w:firstLineChars="0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widowControl w:val="0"/>
      <w:spacing w:before="20" w:beforeLines="20" w:after="20" w:afterLines="20"/>
      <w:ind w:firstLine="0" w:firstLineChars="0"/>
      <w:jc w:val="both"/>
      <w:outlineLvl w:val="1"/>
    </w:pPr>
    <w:rPr>
      <w:rFonts w:ascii="宋体" w:hAnsi="宋体" w:eastAsia="宋体" w:cs="Times New Roman"/>
      <w:b/>
      <w:bCs/>
      <w:sz w:val="30"/>
      <w:szCs w:val="30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tabs>
        <w:tab w:val="left" w:pos="720"/>
      </w:tabs>
      <w:spacing w:before="20" w:beforeLines="20" w:line="413" w:lineRule="auto"/>
      <w:ind w:firstLine="880" w:firstLine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line="500" w:lineRule="exact"/>
      <w:ind w:firstLine="600" w:firstLineChars="200"/>
      <w:jc w:val="left"/>
      <w:outlineLvl w:val="3"/>
    </w:pPr>
    <w:rPr>
      <w:rFonts w:ascii="Times New Roman" w:hAnsi="Times New Roman" w:eastAsia="宋体" w:cs="Times New Roman"/>
      <w:bCs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character" w:styleId="15">
    <w:name w:val="page number"/>
    <w:basedOn w:val="14"/>
    <w:qFormat/>
    <w:uiPriority w:val="0"/>
  </w:style>
  <w:style w:type="character" w:customStyle="1" w:styleId="16">
    <w:name w:val="标题 2 Char"/>
    <w:basedOn w:val="14"/>
    <w:link w:val="4"/>
    <w:qFormat/>
    <w:uiPriority w:val="0"/>
    <w:rPr>
      <w:rFonts w:ascii="宋体" w:hAnsi="宋体" w:eastAsia="宋体" w:cs="Times New Roman"/>
      <w:b/>
      <w:bCs/>
      <w:kern w:val="2"/>
      <w:sz w:val="30"/>
      <w:szCs w:val="30"/>
      <w:lang w:val="en-US" w:eastAsia="zh-CN" w:bidi="ar-SA"/>
    </w:rPr>
  </w:style>
  <w:style w:type="character" w:customStyle="1" w:styleId="17">
    <w:name w:val=" Char Char13"/>
    <w:basedOn w:val="14"/>
    <w:link w:val="5"/>
    <w:qFormat/>
    <w:uiPriority w:val="0"/>
    <w:rPr>
      <w:rFonts w:ascii="Times New Roman" w:hAnsi="Times New Roman" w:eastAsia="宋体" w:cs="Times New Roman"/>
      <w:b/>
      <w:bCs/>
      <w:kern w:val="2"/>
      <w:sz w:val="24"/>
      <w:szCs w:val="32"/>
      <w:lang w:val="en-US" w:eastAsia="zh-CN" w:bidi="ar-SA"/>
    </w:rPr>
  </w:style>
  <w:style w:type="character" w:customStyle="1" w:styleId="18">
    <w:name w:val="font121"/>
    <w:basedOn w:val="1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5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2">
    <w:name w:val="font6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2020-06-05T02:40:00Z</dcterms:created>
  <dc:creator>驯鹿林</dc:creator>
  <cp:lastModifiedBy>忄 舌</cp:lastModifiedBy>
  <dcterms:modified xsi:type="dcterms:W3CDTF">2020-06-30T09:02:35Z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