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3F0D5">
      <w:pPr>
        <w:rPr>
          <w:rFonts w:ascii="方正小标宋简体" w:eastAsia="方正小标宋简体"/>
          <w:sz w:val="36"/>
          <w:szCs w:val="36"/>
        </w:rPr>
      </w:pPr>
      <w:r>
        <w:rPr>
          <w:rFonts w:hint="eastAsia" w:ascii="仿宋_GB2312" w:hAnsi="仿宋_GB2312" w:eastAsia="仿宋_GB2312" w:cs="仿宋_GB2312"/>
          <w:sz w:val="32"/>
          <w:szCs w:val="32"/>
        </w:rPr>
        <w:t xml:space="preserve">附件1            </w:t>
      </w:r>
      <w:r>
        <w:rPr>
          <w:rFonts w:hint="eastAsia" w:ascii="方正小标宋简体" w:eastAsia="方正小标宋简体"/>
          <w:sz w:val="36"/>
          <w:szCs w:val="36"/>
        </w:rPr>
        <w:t>鄂州市对照全省营商环境评价指标体系工作责任清单</w:t>
      </w:r>
    </w:p>
    <w:p w14:paraId="19ADBDB9">
      <w:pPr>
        <w:jc w:val="center"/>
        <w:rPr>
          <w:rFonts w:ascii="楷体" w:hAnsi="楷体" w:eastAsia="楷体"/>
          <w:sz w:val="24"/>
          <w:szCs w:val="24"/>
        </w:rPr>
      </w:pPr>
      <w:r>
        <w:rPr>
          <w:rFonts w:hint="eastAsia" w:ascii="楷体" w:hAnsi="楷体" w:eastAsia="楷体"/>
          <w:sz w:val="24"/>
          <w:szCs w:val="24"/>
        </w:rPr>
        <w:t>（指标体系及描述根据2019年实际评价整理，2020年评价若有变化另行通知）</w:t>
      </w:r>
    </w:p>
    <w:tbl>
      <w:tblPr>
        <w:tblStyle w:val="7"/>
        <w:tblW w:w="14840" w:type="dxa"/>
        <w:jc w:val="center"/>
        <w:tblLayout w:type="fixed"/>
        <w:tblCellMar>
          <w:top w:w="0" w:type="dxa"/>
          <w:left w:w="108" w:type="dxa"/>
          <w:bottom w:w="0" w:type="dxa"/>
          <w:right w:w="108" w:type="dxa"/>
        </w:tblCellMar>
      </w:tblPr>
      <w:tblGrid>
        <w:gridCol w:w="1439"/>
        <w:gridCol w:w="3260"/>
        <w:gridCol w:w="6946"/>
        <w:gridCol w:w="1210"/>
        <w:gridCol w:w="1985"/>
      </w:tblGrid>
      <w:tr w14:paraId="55C34D31">
        <w:tblPrEx>
          <w:tblCellMar>
            <w:top w:w="0" w:type="dxa"/>
            <w:left w:w="108" w:type="dxa"/>
            <w:bottom w:w="0" w:type="dxa"/>
            <w:right w:w="108" w:type="dxa"/>
          </w:tblCellMar>
        </w:tblPrEx>
        <w:trPr>
          <w:trHeight w:val="345" w:hRule="atLeast"/>
          <w:jc w:val="center"/>
        </w:trPr>
        <w:tc>
          <w:tcPr>
            <w:tcW w:w="1439" w:type="dxa"/>
            <w:tcBorders>
              <w:top w:val="single" w:color="808080" w:sz="8" w:space="0"/>
              <w:left w:val="single" w:color="808080" w:sz="8" w:space="0"/>
              <w:bottom w:val="single" w:color="808080" w:sz="8" w:space="0"/>
              <w:right w:val="single" w:color="808080" w:sz="8" w:space="0"/>
            </w:tcBorders>
            <w:shd w:val="clear" w:color="000000" w:fill="FFFFFF"/>
            <w:vAlign w:val="center"/>
          </w:tcPr>
          <w:p w14:paraId="16A5CCC5">
            <w:pPr>
              <w:jc w:val="center"/>
              <w:rPr>
                <w:b/>
              </w:rPr>
            </w:pPr>
            <w:r>
              <w:rPr>
                <w:rFonts w:hint="eastAsia"/>
                <w:b/>
              </w:rPr>
              <w:t>一级指标</w:t>
            </w:r>
          </w:p>
        </w:tc>
        <w:tc>
          <w:tcPr>
            <w:tcW w:w="3260" w:type="dxa"/>
            <w:tcBorders>
              <w:top w:val="single" w:color="808080" w:sz="8" w:space="0"/>
              <w:left w:val="nil"/>
              <w:bottom w:val="single" w:color="808080" w:sz="8" w:space="0"/>
              <w:right w:val="single" w:color="auto" w:sz="4" w:space="0"/>
            </w:tcBorders>
            <w:shd w:val="clear" w:color="000000" w:fill="FFFFFF"/>
            <w:vAlign w:val="center"/>
          </w:tcPr>
          <w:p w14:paraId="14CC79C1">
            <w:pPr>
              <w:jc w:val="center"/>
              <w:rPr>
                <w:b/>
              </w:rPr>
            </w:pPr>
            <w:r>
              <w:rPr>
                <w:rFonts w:hint="eastAsia"/>
                <w:b/>
              </w:rPr>
              <w:t>二级指标</w:t>
            </w:r>
          </w:p>
        </w:tc>
        <w:tc>
          <w:tcPr>
            <w:tcW w:w="6946" w:type="dxa"/>
            <w:tcBorders>
              <w:top w:val="single" w:color="808080" w:sz="8" w:space="0"/>
              <w:left w:val="single" w:color="auto" w:sz="4" w:space="0"/>
              <w:bottom w:val="single" w:color="808080" w:sz="8" w:space="0"/>
              <w:right w:val="single" w:color="808080" w:sz="8" w:space="0"/>
            </w:tcBorders>
            <w:shd w:val="clear" w:color="000000" w:fill="FFFFFF"/>
            <w:vAlign w:val="center"/>
          </w:tcPr>
          <w:p w14:paraId="7E90B69B">
            <w:pPr>
              <w:jc w:val="center"/>
              <w:rPr>
                <w:b/>
              </w:rPr>
            </w:pPr>
            <w:r>
              <w:rPr>
                <w:rFonts w:hint="eastAsia"/>
                <w:b/>
              </w:rPr>
              <w:t>指标描述</w:t>
            </w:r>
          </w:p>
          <w:p w14:paraId="3252952A">
            <w:pPr>
              <w:rPr>
                <w:rFonts w:ascii="楷体_GB2312" w:eastAsia="楷体_GB2312"/>
              </w:rPr>
            </w:pPr>
            <w:r>
              <w:rPr>
                <w:rFonts w:hint="eastAsia" w:ascii="楷体_GB2312" w:eastAsia="楷体_GB2312"/>
              </w:rPr>
              <w:t>（每项指标完成情况须要对照法律法规政策和对标全国全省先进作法用本地本部门红头、盖有红印章的文件部署，并通过网上办理、对外制作办理文书、场景图片等方式提供佐证资料，制作的电子扫描件用于填报时上传）</w:t>
            </w:r>
          </w:p>
        </w:tc>
        <w:tc>
          <w:tcPr>
            <w:tcW w:w="1210" w:type="dxa"/>
            <w:tcBorders>
              <w:top w:val="single" w:color="808080" w:sz="8" w:space="0"/>
              <w:left w:val="single" w:color="auto" w:sz="4" w:space="0"/>
              <w:bottom w:val="single" w:color="808080" w:sz="8" w:space="0"/>
              <w:right w:val="single" w:color="808080" w:sz="8" w:space="0"/>
            </w:tcBorders>
            <w:shd w:val="clear" w:color="000000" w:fill="FFFFFF"/>
            <w:vAlign w:val="center"/>
          </w:tcPr>
          <w:p w14:paraId="5F1E9BD9">
            <w:pPr>
              <w:jc w:val="center"/>
              <w:rPr>
                <w:b/>
              </w:rPr>
            </w:pPr>
            <w:r>
              <w:rPr>
                <w:rFonts w:hint="eastAsia"/>
                <w:b/>
              </w:rPr>
              <w:t>牵头单位</w:t>
            </w:r>
          </w:p>
        </w:tc>
        <w:tc>
          <w:tcPr>
            <w:tcW w:w="1985" w:type="dxa"/>
            <w:tcBorders>
              <w:top w:val="single" w:color="808080" w:sz="8" w:space="0"/>
              <w:left w:val="single" w:color="auto" w:sz="4" w:space="0"/>
              <w:bottom w:val="single" w:color="808080" w:sz="8" w:space="0"/>
              <w:right w:val="single" w:color="808080" w:sz="8" w:space="0"/>
            </w:tcBorders>
            <w:shd w:val="clear" w:color="000000" w:fill="FFFFFF"/>
            <w:vAlign w:val="center"/>
          </w:tcPr>
          <w:p w14:paraId="696B6562">
            <w:pPr>
              <w:jc w:val="center"/>
              <w:rPr>
                <w:b/>
              </w:rPr>
            </w:pPr>
            <w:r>
              <w:rPr>
                <w:rFonts w:hint="eastAsia"/>
                <w:b/>
              </w:rPr>
              <w:t>责任单位</w:t>
            </w:r>
          </w:p>
          <w:p w14:paraId="3B205CA7">
            <w:pPr>
              <w:jc w:val="left"/>
              <w:rPr>
                <w:rFonts w:ascii="楷体_GB2312" w:eastAsia="楷体_GB2312"/>
              </w:rPr>
            </w:pPr>
            <w:r>
              <w:rPr>
                <w:rFonts w:hint="eastAsia" w:ascii="楷体_GB2312" w:eastAsia="楷体_GB2312"/>
              </w:rPr>
              <w:t>（应当主动优化和提供本部门履职形成的文件资料，服从牵头单位安排）</w:t>
            </w:r>
          </w:p>
        </w:tc>
      </w:tr>
      <w:tr w14:paraId="421CA78B">
        <w:tblPrEx>
          <w:tblCellMar>
            <w:top w:w="0" w:type="dxa"/>
            <w:left w:w="108" w:type="dxa"/>
            <w:bottom w:w="0" w:type="dxa"/>
            <w:right w:w="108" w:type="dxa"/>
          </w:tblCellMar>
        </w:tblPrEx>
        <w:trPr>
          <w:trHeight w:val="609" w:hRule="atLeast"/>
          <w:jc w:val="center"/>
        </w:trPr>
        <w:tc>
          <w:tcPr>
            <w:tcW w:w="1439" w:type="dxa"/>
            <w:vMerge w:val="restart"/>
            <w:tcBorders>
              <w:top w:val="nil"/>
              <w:left w:val="single" w:color="808080" w:sz="8" w:space="0"/>
              <w:bottom w:val="single" w:color="808080" w:sz="8" w:space="0"/>
              <w:right w:val="single" w:color="808080" w:sz="8" w:space="0"/>
            </w:tcBorders>
            <w:shd w:val="clear" w:color="000000" w:fill="FFFFFF"/>
            <w:vAlign w:val="center"/>
          </w:tcPr>
          <w:p w14:paraId="3B837D2C">
            <w:r>
              <w:rPr>
                <w:rFonts w:hint="eastAsia"/>
              </w:rPr>
              <w:t>1. 开办企业</w:t>
            </w:r>
          </w:p>
        </w:tc>
        <w:tc>
          <w:tcPr>
            <w:tcW w:w="3260" w:type="dxa"/>
            <w:tcBorders>
              <w:top w:val="nil"/>
              <w:left w:val="nil"/>
              <w:bottom w:val="single" w:color="auto" w:sz="4" w:space="0"/>
              <w:right w:val="single" w:color="auto" w:sz="4" w:space="0"/>
            </w:tcBorders>
            <w:shd w:val="clear" w:color="000000" w:fill="FFFFFF"/>
            <w:vAlign w:val="center"/>
          </w:tcPr>
          <w:p w14:paraId="3FC659B8">
            <w:r>
              <w:rPr>
                <w:rFonts w:hint="eastAsia"/>
              </w:rPr>
              <w:t>（一）1.1流程</w:t>
            </w:r>
          </w:p>
        </w:tc>
        <w:tc>
          <w:tcPr>
            <w:tcW w:w="6946" w:type="dxa"/>
            <w:vMerge w:val="restart"/>
            <w:tcBorders>
              <w:top w:val="nil"/>
              <w:left w:val="single" w:color="auto" w:sz="4" w:space="0"/>
              <w:right w:val="single" w:color="808080" w:sz="8" w:space="0"/>
            </w:tcBorders>
            <w:shd w:val="clear" w:color="000000" w:fill="FFFFFF"/>
            <w:vAlign w:val="center"/>
          </w:tcPr>
          <w:p w14:paraId="69D27ABB">
            <w:r>
              <w:rPr>
                <w:rFonts w:hint="eastAsia"/>
              </w:rPr>
              <w:t>该指标衡量的是在当地开办和正式运营一家中小型有限责任公司的手续数量、时间和成本。</w:t>
            </w:r>
          </w:p>
          <w:p w14:paraId="07BDB75E">
            <w:r>
              <w:rPr>
                <w:rFonts w:hint="eastAsia"/>
              </w:rPr>
              <w:t>1.1流程，从设立登记</w:t>
            </w:r>
            <w:r>
              <w:t>（</w:t>
            </w:r>
            <w:r>
              <w:rPr>
                <w:rFonts w:hint="eastAsia"/>
              </w:rPr>
              <w:t>或名称预先核准</w:t>
            </w:r>
            <w:r>
              <w:t>）</w:t>
            </w:r>
            <w:r>
              <w:rPr>
                <w:rFonts w:hint="eastAsia"/>
              </w:rPr>
              <w:t>开始</w:t>
            </w:r>
            <w:r>
              <w:t>，</w:t>
            </w:r>
            <w:r>
              <w:rPr>
                <w:rFonts w:hint="eastAsia"/>
              </w:rPr>
              <w:t>到刻制印章、申领发票，最终完成员工社保登记截止的全过程。</w:t>
            </w:r>
          </w:p>
          <w:p w14:paraId="2A701803">
            <w:r>
              <w:rPr>
                <w:rFonts w:hint="eastAsia"/>
              </w:rPr>
              <w:t>1.2耗时，完成上述流程所需要的天数（工作日）或小时数。</w:t>
            </w:r>
          </w:p>
          <w:p w14:paraId="63A68008">
            <w:r>
              <w:rPr>
                <w:rFonts w:hint="eastAsia"/>
              </w:rPr>
              <w:t>1.3费用，办理过程企业所缴纳的各项费用。</w:t>
            </w:r>
          </w:p>
          <w:p w14:paraId="226A2FDC">
            <w:r>
              <w:rPr>
                <w:rFonts w:hint="eastAsia"/>
              </w:rPr>
              <w:t>1.4满意度，主要考量企业开办中的电子化运用、一窗受理等情况</w:t>
            </w:r>
            <w:r>
              <w:t>，</w:t>
            </w:r>
            <w:r>
              <w:rPr>
                <w:rFonts w:hint="eastAsia"/>
              </w:rPr>
              <w:t>评价开办企业的便利程度。</w:t>
            </w:r>
          </w:p>
        </w:tc>
        <w:tc>
          <w:tcPr>
            <w:tcW w:w="1210" w:type="dxa"/>
            <w:vMerge w:val="restart"/>
            <w:tcBorders>
              <w:top w:val="nil"/>
              <w:left w:val="single" w:color="auto" w:sz="4" w:space="0"/>
              <w:right w:val="single" w:color="808080" w:sz="8" w:space="0"/>
            </w:tcBorders>
            <w:shd w:val="clear" w:color="000000" w:fill="FFFFFF"/>
            <w:vAlign w:val="center"/>
          </w:tcPr>
          <w:p w14:paraId="37300521">
            <w:pPr>
              <w:jc w:val="left"/>
            </w:pPr>
            <w:r>
              <w:rPr>
                <w:rFonts w:hint="eastAsia"/>
              </w:rPr>
              <w:t>市市场监管局</w:t>
            </w:r>
          </w:p>
        </w:tc>
        <w:tc>
          <w:tcPr>
            <w:tcW w:w="1985" w:type="dxa"/>
            <w:vMerge w:val="restart"/>
            <w:tcBorders>
              <w:top w:val="nil"/>
              <w:left w:val="single" w:color="auto" w:sz="4" w:space="0"/>
              <w:right w:val="single" w:color="808080" w:sz="8" w:space="0"/>
            </w:tcBorders>
            <w:shd w:val="clear" w:color="000000" w:fill="FFFFFF"/>
            <w:vAlign w:val="center"/>
          </w:tcPr>
          <w:p w14:paraId="0781302A">
            <w:pPr>
              <w:jc w:val="left"/>
            </w:pPr>
            <w:r>
              <w:rPr>
                <w:rFonts w:hint="eastAsia"/>
              </w:rPr>
              <w:t>市公安局、市税务局、市人社局、人行鄂州市中心支行等相关单位。</w:t>
            </w:r>
          </w:p>
        </w:tc>
      </w:tr>
      <w:tr w14:paraId="262DF92E">
        <w:tblPrEx>
          <w:tblCellMar>
            <w:top w:w="0" w:type="dxa"/>
            <w:left w:w="108" w:type="dxa"/>
            <w:bottom w:w="0" w:type="dxa"/>
            <w:right w:w="108" w:type="dxa"/>
          </w:tblCellMar>
        </w:tblPrEx>
        <w:trPr>
          <w:trHeight w:val="609"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5B922118"/>
        </w:tc>
        <w:tc>
          <w:tcPr>
            <w:tcW w:w="3260" w:type="dxa"/>
            <w:tcBorders>
              <w:top w:val="single" w:color="auto" w:sz="4" w:space="0"/>
              <w:left w:val="nil"/>
              <w:bottom w:val="single" w:color="auto" w:sz="4" w:space="0"/>
              <w:right w:val="single" w:color="auto" w:sz="4" w:space="0"/>
            </w:tcBorders>
            <w:shd w:val="clear" w:color="000000" w:fill="FFFFFF"/>
            <w:vAlign w:val="center"/>
          </w:tcPr>
          <w:p w14:paraId="097FF25B">
            <w:r>
              <w:rPr>
                <w:rFonts w:hint="eastAsia"/>
              </w:rPr>
              <w:t>（二）1.2耗时</w:t>
            </w:r>
          </w:p>
        </w:tc>
        <w:tc>
          <w:tcPr>
            <w:tcW w:w="6946" w:type="dxa"/>
            <w:vMerge w:val="continue"/>
            <w:tcBorders>
              <w:top w:val="nil"/>
              <w:left w:val="single" w:color="auto" w:sz="4" w:space="0"/>
              <w:right w:val="single" w:color="808080" w:sz="8" w:space="0"/>
            </w:tcBorders>
            <w:shd w:val="clear" w:color="000000" w:fill="FFFFFF"/>
            <w:vAlign w:val="center"/>
          </w:tcPr>
          <w:p w14:paraId="14997302"/>
        </w:tc>
        <w:tc>
          <w:tcPr>
            <w:tcW w:w="1210" w:type="dxa"/>
            <w:vMerge w:val="continue"/>
            <w:tcBorders>
              <w:top w:val="nil"/>
              <w:left w:val="single" w:color="auto" w:sz="4" w:space="0"/>
              <w:right w:val="single" w:color="808080" w:sz="8" w:space="0"/>
            </w:tcBorders>
            <w:shd w:val="clear" w:color="000000" w:fill="FFFFFF"/>
            <w:vAlign w:val="center"/>
          </w:tcPr>
          <w:p w14:paraId="434DCBDE">
            <w:pPr>
              <w:jc w:val="center"/>
            </w:pPr>
          </w:p>
        </w:tc>
        <w:tc>
          <w:tcPr>
            <w:tcW w:w="1985" w:type="dxa"/>
            <w:vMerge w:val="continue"/>
            <w:tcBorders>
              <w:top w:val="nil"/>
              <w:left w:val="single" w:color="auto" w:sz="4" w:space="0"/>
              <w:right w:val="single" w:color="808080" w:sz="8" w:space="0"/>
            </w:tcBorders>
            <w:shd w:val="clear" w:color="000000" w:fill="FFFFFF"/>
            <w:vAlign w:val="center"/>
          </w:tcPr>
          <w:p w14:paraId="0484AD81">
            <w:pPr>
              <w:jc w:val="center"/>
            </w:pPr>
          </w:p>
        </w:tc>
      </w:tr>
      <w:tr w14:paraId="088A455B">
        <w:tblPrEx>
          <w:tblCellMar>
            <w:top w:w="0" w:type="dxa"/>
            <w:left w:w="108" w:type="dxa"/>
            <w:bottom w:w="0" w:type="dxa"/>
            <w:right w:w="108" w:type="dxa"/>
          </w:tblCellMar>
        </w:tblPrEx>
        <w:trPr>
          <w:trHeight w:val="609"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5FC6EA41"/>
        </w:tc>
        <w:tc>
          <w:tcPr>
            <w:tcW w:w="3260" w:type="dxa"/>
            <w:tcBorders>
              <w:top w:val="single" w:color="auto" w:sz="4" w:space="0"/>
              <w:left w:val="nil"/>
              <w:bottom w:val="single" w:color="auto" w:sz="4" w:space="0"/>
              <w:right w:val="single" w:color="auto" w:sz="4" w:space="0"/>
            </w:tcBorders>
            <w:shd w:val="clear" w:color="000000" w:fill="FFFFFF"/>
            <w:vAlign w:val="center"/>
          </w:tcPr>
          <w:p w14:paraId="7DADE6A5">
            <w:r>
              <w:rPr>
                <w:rFonts w:hint="eastAsia"/>
              </w:rPr>
              <w:t>（三）1.3费用</w:t>
            </w:r>
          </w:p>
        </w:tc>
        <w:tc>
          <w:tcPr>
            <w:tcW w:w="6946" w:type="dxa"/>
            <w:vMerge w:val="continue"/>
            <w:tcBorders>
              <w:top w:val="nil"/>
              <w:left w:val="single" w:color="auto" w:sz="4" w:space="0"/>
              <w:right w:val="single" w:color="808080" w:sz="8" w:space="0"/>
            </w:tcBorders>
            <w:shd w:val="clear" w:color="000000" w:fill="FFFFFF"/>
            <w:vAlign w:val="center"/>
          </w:tcPr>
          <w:p w14:paraId="451F1C55"/>
        </w:tc>
        <w:tc>
          <w:tcPr>
            <w:tcW w:w="1210" w:type="dxa"/>
            <w:vMerge w:val="continue"/>
            <w:tcBorders>
              <w:top w:val="nil"/>
              <w:left w:val="single" w:color="auto" w:sz="4" w:space="0"/>
              <w:right w:val="single" w:color="808080" w:sz="8" w:space="0"/>
            </w:tcBorders>
            <w:shd w:val="clear" w:color="000000" w:fill="FFFFFF"/>
            <w:vAlign w:val="center"/>
          </w:tcPr>
          <w:p w14:paraId="7A6F5ED0">
            <w:pPr>
              <w:jc w:val="center"/>
            </w:pPr>
          </w:p>
        </w:tc>
        <w:tc>
          <w:tcPr>
            <w:tcW w:w="1985" w:type="dxa"/>
            <w:vMerge w:val="continue"/>
            <w:tcBorders>
              <w:left w:val="single" w:color="auto" w:sz="4" w:space="0"/>
              <w:right w:val="single" w:color="808080" w:sz="8" w:space="0"/>
            </w:tcBorders>
            <w:shd w:val="clear" w:color="000000" w:fill="FFFFFF"/>
            <w:vAlign w:val="center"/>
          </w:tcPr>
          <w:p w14:paraId="7E6D1C4C">
            <w:pPr>
              <w:jc w:val="center"/>
            </w:pPr>
          </w:p>
        </w:tc>
      </w:tr>
      <w:tr w14:paraId="08292256">
        <w:tblPrEx>
          <w:tblCellMar>
            <w:top w:w="0" w:type="dxa"/>
            <w:left w:w="108" w:type="dxa"/>
            <w:bottom w:w="0" w:type="dxa"/>
            <w:right w:w="108" w:type="dxa"/>
          </w:tblCellMar>
        </w:tblPrEx>
        <w:trPr>
          <w:trHeight w:val="609"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2EB7F039"/>
        </w:tc>
        <w:tc>
          <w:tcPr>
            <w:tcW w:w="3260" w:type="dxa"/>
            <w:tcBorders>
              <w:top w:val="single" w:color="auto" w:sz="4" w:space="0"/>
              <w:left w:val="nil"/>
              <w:bottom w:val="single" w:color="808080" w:sz="8" w:space="0"/>
              <w:right w:val="single" w:color="auto" w:sz="4" w:space="0"/>
            </w:tcBorders>
            <w:shd w:val="clear" w:color="000000" w:fill="FFFFFF"/>
            <w:vAlign w:val="center"/>
          </w:tcPr>
          <w:p w14:paraId="6330157F">
            <w:r>
              <w:rPr>
                <w:rFonts w:hint="eastAsia"/>
              </w:rPr>
              <w:t>（四）1.4满意度</w:t>
            </w:r>
          </w:p>
        </w:tc>
        <w:tc>
          <w:tcPr>
            <w:tcW w:w="6946" w:type="dxa"/>
            <w:vMerge w:val="continue"/>
            <w:tcBorders>
              <w:top w:val="nil"/>
              <w:left w:val="single" w:color="auto" w:sz="4" w:space="0"/>
              <w:right w:val="single" w:color="808080" w:sz="8" w:space="0"/>
            </w:tcBorders>
            <w:shd w:val="clear" w:color="000000" w:fill="FFFFFF"/>
            <w:vAlign w:val="center"/>
          </w:tcPr>
          <w:p w14:paraId="1B447D9B"/>
        </w:tc>
        <w:tc>
          <w:tcPr>
            <w:tcW w:w="1210" w:type="dxa"/>
            <w:vMerge w:val="continue"/>
            <w:tcBorders>
              <w:top w:val="nil"/>
              <w:left w:val="single" w:color="auto" w:sz="4" w:space="0"/>
              <w:right w:val="single" w:color="808080" w:sz="8" w:space="0"/>
            </w:tcBorders>
            <w:shd w:val="clear" w:color="000000" w:fill="FFFFFF"/>
            <w:vAlign w:val="center"/>
          </w:tcPr>
          <w:p w14:paraId="554B92D0">
            <w:pPr>
              <w:jc w:val="center"/>
            </w:pPr>
          </w:p>
        </w:tc>
        <w:tc>
          <w:tcPr>
            <w:tcW w:w="1985" w:type="dxa"/>
            <w:vMerge w:val="continue"/>
            <w:tcBorders>
              <w:left w:val="single" w:color="auto" w:sz="4" w:space="0"/>
              <w:right w:val="single" w:color="808080" w:sz="8" w:space="0"/>
            </w:tcBorders>
            <w:shd w:val="clear" w:color="000000" w:fill="FFFFFF"/>
            <w:vAlign w:val="center"/>
          </w:tcPr>
          <w:p w14:paraId="1EBDFE05">
            <w:pPr>
              <w:jc w:val="center"/>
            </w:pPr>
          </w:p>
        </w:tc>
      </w:tr>
      <w:tr w14:paraId="6A076660">
        <w:tblPrEx>
          <w:tblCellMar>
            <w:top w:w="0" w:type="dxa"/>
            <w:left w:w="108" w:type="dxa"/>
            <w:bottom w:w="0" w:type="dxa"/>
            <w:right w:w="108" w:type="dxa"/>
          </w:tblCellMar>
        </w:tblPrEx>
        <w:trPr>
          <w:trHeight w:val="616" w:hRule="atLeast"/>
          <w:jc w:val="center"/>
        </w:trPr>
        <w:tc>
          <w:tcPr>
            <w:tcW w:w="1439" w:type="dxa"/>
            <w:vMerge w:val="restart"/>
            <w:tcBorders>
              <w:top w:val="single" w:color="auto" w:sz="4" w:space="0"/>
              <w:left w:val="single" w:color="808080" w:sz="8" w:space="0"/>
              <w:right w:val="single" w:color="808080" w:sz="8" w:space="0"/>
            </w:tcBorders>
            <w:shd w:val="clear" w:color="000000" w:fill="FFFFFF"/>
            <w:vAlign w:val="center"/>
          </w:tcPr>
          <w:p w14:paraId="37E8D154">
            <w:r>
              <w:rPr>
                <w:rFonts w:hint="eastAsia"/>
              </w:rPr>
              <w:t>2. 办理建筑许可</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4B44301A">
            <w:r>
              <w:rPr>
                <w:rFonts w:hint="eastAsia"/>
              </w:rPr>
              <w:t>（五）2.1流程</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63A78643">
            <w:r>
              <w:rPr>
                <w:rFonts w:hint="eastAsia"/>
              </w:rPr>
              <w:t>该指标衡量的是企业建设房屋需要办理的手续及各项手续所需的时间和费用等情况。</w:t>
            </w:r>
          </w:p>
          <w:p w14:paraId="0C3DE338">
            <w:r>
              <w:rPr>
                <w:rFonts w:hint="eastAsia"/>
              </w:rPr>
              <w:t>2.1 流程，具体环节从项目核准备案开始，到规划设计、获得施工许可、竣工验收，最终完成不动产初始登记截止。</w:t>
            </w:r>
          </w:p>
          <w:p w14:paraId="0355FEEC">
            <w:r>
              <w:rPr>
                <w:rFonts w:hint="eastAsia"/>
              </w:rPr>
              <w:t>2.2耗时，完成上述流程所需要的天数（工作日）。</w:t>
            </w:r>
          </w:p>
          <w:p w14:paraId="6B5623F2">
            <w:r>
              <w:rPr>
                <w:rFonts w:hint="eastAsia"/>
              </w:rPr>
              <w:t>2.3费用，办理过程企业所缴纳的各项费用。</w:t>
            </w:r>
          </w:p>
          <w:p w14:paraId="6B4412B2">
            <w:r>
              <w:rPr>
                <w:rFonts w:hint="eastAsia"/>
              </w:rPr>
              <w:t>2.4建筑质量控制指数，主要从建筑法规获取便利性、施工期间工程质量和安全、责任和保险制度指数、建筑从业人员专业水平四个方面衡量。</w:t>
            </w:r>
          </w:p>
          <w:p w14:paraId="1809CE40">
            <w:r>
              <w:rPr>
                <w:rFonts w:hint="eastAsia"/>
              </w:rPr>
              <w:t>2.5满意度，主要从统一审批流程、精简审批环节、完善审批体系、强化监督管理、优化政务服务五个方面来衡量。</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4DA40811">
            <w:pPr>
              <w:jc w:val="center"/>
              <w:rPr>
                <w:rFonts w:asciiTheme="minorEastAsia" w:hAnsiTheme="minorEastAsia"/>
                <w:szCs w:val="21"/>
              </w:rPr>
            </w:pPr>
            <w:r>
              <w:rPr>
                <w:rFonts w:hint="eastAsia" w:cs="仿宋_GB2312" w:asciiTheme="minorEastAsia" w:hAnsiTheme="minorEastAsia"/>
                <w:szCs w:val="21"/>
              </w:rPr>
              <w:t>市住建局</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2FEEDA2D">
            <w:pPr>
              <w:jc w:val="left"/>
              <w:rPr>
                <w:rFonts w:asciiTheme="minorEastAsia" w:hAnsiTheme="minorEastAsia"/>
                <w:szCs w:val="21"/>
              </w:rPr>
            </w:pPr>
            <w:r>
              <w:rPr>
                <w:rFonts w:hint="eastAsia" w:cs="仿宋_GB2312" w:asciiTheme="minorEastAsia" w:hAnsiTheme="minorEastAsia"/>
                <w:szCs w:val="21"/>
              </w:rPr>
              <w:t>市发改委、市自然资源和规划局、市生态环境局、市人防办、市气象局</w:t>
            </w:r>
            <w:r>
              <w:rPr>
                <w:rFonts w:hint="eastAsia" w:cs="仿宋" w:asciiTheme="minorEastAsia" w:hAnsiTheme="minorEastAsia"/>
                <w:szCs w:val="21"/>
              </w:rPr>
              <w:t>等相关单位</w:t>
            </w:r>
          </w:p>
        </w:tc>
      </w:tr>
      <w:tr w14:paraId="42B000D5">
        <w:tblPrEx>
          <w:tblCellMar>
            <w:top w:w="0" w:type="dxa"/>
            <w:left w:w="108" w:type="dxa"/>
            <w:bottom w:w="0" w:type="dxa"/>
            <w:right w:w="108" w:type="dxa"/>
          </w:tblCellMar>
        </w:tblPrEx>
        <w:trPr>
          <w:trHeight w:val="616" w:hRule="atLeast"/>
          <w:jc w:val="center"/>
        </w:trPr>
        <w:tc>
          <w:tcPr>
            <w:tcW w:w="1439" w:type="dxa"/>
            <w:vMerge w:val="continue"/>
            <w:tcBorders>
              <w:top w:val="nil"/>
              <w:left w:val="single" w:color="808080" w:sz="8" w:space="0"/>
              <w:right w:val="single" w:color="808080" w:sz="8" w:space="0"/>
            </w:tcBorders>
            <w:shd w:val="clear" w:color="000000" w:fill="FFFFFF"/>
            <w:vAlign w:val="center"/>
          </w:tcPr>
          <w:p w14:paraId="278290B4"/>
        </w:tc>
        <w:tc>
          <w:tcPr>
            <w:tcW w:w="3260" w:type="dxa"/>
            <w:tcBorders>
              <w:top w:val="single" w:color="auto" w:sz="4" w:space="0"/>
              <w:left w:val="nil"/>
              <w:bottom w:val="single" w:color="auto" w:sz="4" w:space="0"/>
              <w:right w:val="single" w:color="auto" w:sz="4" w:space="0"/>
            </w:tcBorders>
            <w:shd w:val="clear" w:color="000000" w:fill="FFFFFF"/>
            <w:vAlign w:val="center"/>
          </w:tcPr>
          <w:p w14:paraId="49C9A84C">
            <w:r>
              <w:rPr>
                <w:rFonts w:hint="eastAsia"/>
              </w:rPr>
              <w:t>（六）2.2耗时</w:t>
            </w:r>
          </w:p>
        </w:tc>
        <w:tc>
          <w:tcPr>
            <w:tcW w:w="6946" w:type="dxa"/>
            <w:vMerge w:val="continue"/>
            <w:tcBorders>
              <w:left w:val="single" w:color="auto" w:sz="4" w:space="0"/>
              <w:right w:val="single" w:color="808080" w:sz="8" w:space="0"/>
            </w:tcBorders>
            <w:shd w:val="clear" w:color="000000" w:fill="FFFFFF"/>
          </w:tcPr>
          <w:p w14:paraId="4DD0FA28"/>
        </w:tc>
        <w:tc>
          <w:tcPr>
            <w:tcW w:w="1210" w:type="dxa"/>
            <w:vMerge w:val="continue"/>
            <w:tcBorders>
              <w:left w:val="single" w:color="auto" w:sz="4" w:space="0"/>
              <w:right w:val="single" w:color="808080" w:sz="8" w:space="0"/>
            </w:tcBorders>
            <w:shd w:val="clear" w:color="000000" w:fill="FFFFFF"/>
          </w:tcPr>
          <w:p w14:paraId="4D6217E1"/>
        </w:tc>
        <w:tc>
          <w:tcPr>
            <w:tcW w:w="1985" w:type="dxa"/>
            <w:vMerge w:val="continue"/>
            <w:tcBorders>
              <w:left w:val="single" w:color="auto" w:sz="4" w:space="0"/>
              <w:right w:val="single" w:color="808080" w:sz="8" w:space="0"/>
            </w:tcBorders>
            <w:shd w:val="clear" w:color="000000" w:fill="FFFFFF"/>
          </w:tcPr>
          <w:p w14:paraId="7834ECDA"/>
        </w:tc>
      </w:tr>
      <w:tr w14:paraId="31F1D0F5">
        <w:tblPrEx>
          <w:tblCellMar>
            <w:top w:w="0" w:type="dxa"/>
            <w:left w:w="108" w:type="dxa"/>
            <w:bottom w:w="0" w:type="dxa"/>
            <w:right w:w="108" w:type="dxa"/>
          </w:tblCellMar>
        </w:tblPrEx>
        <w:trPr>
          <w:trHeight w:val="616" w:hRule="atLeast"/>
          <w:jc w:val="center"/>
        </w:trPr>
        <w:tc>
          <w:tcPr>
            <w:tcW w:w="1439" w:type="dxa"/>
            <w:vMerge w:val="continue"/>
            <w:tcBorders>
              <w:top w:val="nil"/>
              <w:left w:val="single" w:color="808080" w:sz="8" w:space="0"/>
              <w:right w:val="single" w:color="808080" w:sz="8" w:space="0"/>
            </w:tcBorders>
            <w:shd w:val="clear" w:color="000000" w:fill="FFFFFF"/>
            <w:vAlign w:val="center"/>
          </w:tcPr>
          <w:p w14:paraId="29FE72D3"/>
        </w:tc>
        <w:tc>
          <w:tcPr>
            <w:tcW w:w="3260" w:type="dxa"/>
            <w:tcBorders>
              <w:top w:val="single" w:color="auto" w:sz="4" w:space="0"/>
              <w:left w:val="nil"/>
              <w:bottom w:val="single" w:color="auto" w:sz="4" w:space="0"/>
              <w:right w:val="single" w:color="auto" w:sz="4" w:space="0"/>
            </w:tcBorders>
            <w:shd w:val="clear" w:color="000000" w:fill="FFFFFF"/>
            <w:vAlign w:val="center"/>
          </w:tcPr>
          <w:p w14:paraId="4483210B">
            <w:r>
              <w:rPr>
                <w:rFonts w:hint="eastAsia"/>
              </w:rPr>
              <w:t>（七）2.3费用</w:t>
            </w:r>
          </w:p>
        </w:tc>
        <w:tc>
          <w:tcPr>
            <w:tcW w:w="6946" w:type="dxa"/>
            <w:vMerge w:val="continue"/>
            <w:tcBorders>
              <w:left w:val="single" w:color="auto" w:sz="4" w:space="0"/>
              <w:right w:val="single" w:color="808080" w:sz="8" w:space="0"/>
            </w:tcBorders>
            <w:shd w:val="clear" w:color="000000" w:fill="FFFFFF"/>
          </w:tcPr>
          <w:p w14:paraId="63A9E07C"/>
        </w:tc>
        <w:tc>
          <w:tcPr>
            <w:tcW w:w="1210" w:type="dxa"/>
            <w:vMerge w:val="continue"/>
            <w:tcBorders>
              <w:left w:val="single" w:color="auto" w:sz="4" w:space="0"/>
              <w:right w:val="single" w:color="808080" w:sz="8" w:space="0"/>
            </w:tcBorders>
            <w:shd w:val="clear" w:color="000000" w:fill="FFFFFF"/>
          </w:tcPr>
          <w:p w14:paraId="2DEFCCC9"/>
        </w:tc>
        <w:tc>
          <w:tcPr>
            <w:tcW w:w="1985" w:type="dxa"/>
            <w:vMerge w:val="continue"/>
            <w:tcBorders>
              <w:left w:val="single" w:color="auto" w:sz="4" w:space="0"/>
              <w:right w:val="single" w:color="808080" w:sz="8" w:space="0"/>
            </w:tcBorders>
            <w:shd w:val="clear" w:color="000000" w:fill="FFFFFF"/>
          </w:tcPr>
          <w:p w14:paraId="7DA23F34"/>
        </w:tc>
      </w:tr>
      <w:tr w14:paraId="6ED89319">
        <w:tblPrEx>
          <w:tblCellMar>
            <w:top w:w="0" w:type="dxa"/>
            <w:left w:w="108" w:type="dxa"/>
            <w:bottom w:w="0" w:type="dxa"/>
            <w:right w:w="108" w:type="dxa"/>
          </w:tblCellMar>
        </w:tblPrEx>
        <w:trPr>
          <w:trHeight w:val="616" w:hRule="atLeast"/>
          <w:jc w:val="center"/>
        </w:trPr>
        <w:tc>
          <w:tcPr>
            <w:tcW w:w="1439" w:type="dxa"/>
            <w:vMerge w:val="continue"/>
            <w:tcBorders>
              <w:top w:val="nil"/>
              <w:left w:val="single" w:color="808080" w:sz="8" w:space="0"/>
              <w:right w:val="single" w:color="808080" w:sz="8" w:space="0"/>
            </w:tcBorders>
            <w:shd w:val="clear" w:color="000000" w:fill="FFFFFF"/>
            <w:vAlign w:val="center"/>
          </w:tcPr>
          <w:p w14:paraId="028B4187"/>
        </w:tc>
        <w:tc>
          <w:tcPr>
            <w:tcW w:w="3260" w:type="dxa"/>
            <w:tcBorders>
              <w:top w:val="single" w:color="auto" w:sz="4" w:space="0"/>
              <w:left w:val="nil"/>
              <w:bottom w:val="single" w:color="auto" w:sz="4" w:space="0"/>
              <w:right w:val="single" w:color="auto" w:sz="4" w:space="0"/>
            </w:tcBorders>
            <w:shd w:val="clear" w:color="000000" w:fill="FFFFFF"/>
            <w:vAlign w:val="center"/>
          </w:tcPr>
          <w:p w14:paraId="6A5D45D3">
            <w:r>
              <w:rPr>
                <w:rFonts w:hint="eastAsia"/>
              </w:rPr>
              <w:t>（八）2.4 建筑质量控制指数</w:t>
            </w:r>
          </w:p>
        </w:tc>
        <w:tc>
          <w:tcPr>
            <w:tcW w:w="6946" w:type="dxa"/>
            <w:vMerge w:val="continue"/>
            <w:tcBorders>
              <w:left w:val="single" w:color="auto" w:sz="4" w:space="0"/>
              <w:right w:val="single" w:color="808080" w:sz="8" w:space="0"/>
            </w:tcBorders>
            <w:shd w:val="clear" w:color="000000" w:fill="FFFFFF"/>
          </w:tcPr>
          <w:p w14:paraId="3D33E1FF"/>
        </w:tc>
        <w:tc>
          <w:tcPr>
            <w:tcW w:w="1210" w:type="dxa"/>
            <w:vMerge w:val="continue"/>
            <w:tcBorders>
              <w:left w:val="single" w:color="auto" w:sz="4" w:space="0"/>
              <w:right w:val="single" w:color="808080" w:sz="8" w:space="0"/>
            </w:tcBorders>
            <w:shd w:val="clear" w:color="000000" w:fill="FFFFFF"/>
          </w:tcPr>
          <w:p w14:paraId="01385C62"/>
        </w:tc>
        <w:tc>
          <w:tcPr>
            <w:tcW w:w="1985" w:type="dxa"/>
            <w:vMerge w:val="continue"/>
            <w:tcBorders>
              <w:left w:val="single" w:color="auto" w:sz="4" w:space="0"/>
              <w:right w:val="single" w:color="808080" w:sz="8" w:space="0"/>
            </w:tcBorders>
            <w:shd w:val="clear" w:color="000000" w:fill="FFFFFF"/>
          </w:tcPr>
          <w:p w14:paraId="5F169EFF"/>
        </w:tc>
      </w:tr>
      <w:tr w14:paraId="5F34B8EF">
        <w:tblPrEx>
          <w:tblCellMar>
            <w:top w:w="0" w:type="dxa"/>
            <w:left w:w="108" w:type="dxa"/>
            <w:bottom w:w="0" w:type="dxa"/>
            <w:right w:w="108" w:type="dxa"/>
          </w:tblCellMar>
        </w:tblPrEx>
        <w:trPr>
          <w:trHeight w:val="616" w:hRule="atLeast"/>
          <w:jc w:val="center"/>
        </w:trPr>
        <w:tc>
          <w:tcPr>
            <w:tcW w:w="1439" w:type="dxa"/>
            <w:vMerge w:val="continue"/>
            <w:tcBorders>
              <w:top w:val="nil"/>
              <w:left w:val="single" w:color="808080" w:sz="8" w:space="0"/>
              <w:bottom w:val="single" w:color="auto" w:sz="4" w:space="0"/>
              <w:right w:val="single" w:color="808080" w:sz="8" w:space="0"/>
            </w:tcBorders>
            <w:shd w:val="clear" w:color="000000" w:fill="FFFFFF"/>
            <w:vAlign w:val="center"/>
          </w:tcPr>
          <w:p w14:paraId="2E17FA77"/>
        </w:tc>
        <w:tc>
          <w:tcPr>
            <w:tcW w:w="3260" w:type="dxa"/>
            <w:tcBorders>
              <w:top w:val="single" w:color="auto" w:sz="4" w:space="0"/>
              <w:left w:val="nil"/>
              <w:bottom w:val="single" w:color="auto" w:sz="4" w:space="0"/>
              <w:right w:val="single" w:color="auto" w:sz="4" w:space="0"/>
            </w:tcBorders>
            <w:shd w:val="clear" w:color="000000" w:fill="FFFFFF"/>
            <w:vAlign w:val="center"/>
          </w:tcPr>
          <w:p w14:paraId="01E10160">
            <w:r>
              <w:rPr>
                <w:rFonts w:hint="eastAsia"/>
              </w:rPr>
              <w:t>（九）2.5满意度</w:t>
            </w:r>
          </w:p>
        </w:tc>
        <w:tc>
          <w:tcPr>
            <w:tcW w:w="6946" w:type="dxa"/>
            <w:vMerge w:val="continue"/>
            <w:tcBorders>
              <w:left w:val="single" w:color="auto" w:sz="4" w:space="0"/>
              <w:bottom w:val="single" w:color="auto" w:sz="4" w:space="0"/>
              <w:right w:val="single" w:color="808080" w:sz="8" w:space="0"/>
            </w:tcBorders>
            <w:shd w:val="clear" w:color="000000" w:fill="FFFFFF"/>
          </w:tcPr>
          <w:p w14:paraId="6D800CE4"/>
        </w:tc>
        <w:tc>
          <w:tcPr>
            <w:tcW w:w="1210" w:type="dxa"/>
            <w:vMerge w:val="continue"/>
            <w:tcBorders>
              <w:left w:val="single" w:color="auto" w:sz="4" w:space="0"/>
              <w:bottom w:val="single" w:color="auto" w:sz="4" w:space="0"/>
              <w:right w:val="single" w:color="808080" w:sz="8" w:space="0"/>
            </w:tcBorders>
            <w:shd w:val="clear" w:color="000000" w:fill="FFFFFF"/>
          </w:tcPr>
          <w:p w14:paraId="60D1DB0D"/>
        </w:tc>
        <w:tc>
          <w:tcPr>
            <w:tcW w:w="1985" w:type="dxa"/>
            <w:vMerge w:val="continue"/>
            <w:tcBorders>
              <w:left w:val="single" w:color="auto" w:sz="4" w:space="0"/>
              <w:bottom w:val="single" w:color="auto" w:sz="4" w:space="0"/>
              <w:right w:val="single" w:color="808080" w:sz="8" w:space="0"/>
            </w:tcBorders>
            <w:shd w:val="clear" w:color="000000" w:fill="FFFFFF"/>
          </w:tcPr>
          <w:p w14:paraId="71AA7EC6"/>
        </w:tc>
      </w:tr>
      <w:tr w14:paraId="0418394A">
        <w:tblPrEx>
          <w:tblCellMar>
            <w:top w:w="0" w:type="dxa"/>
            <w:left w:w="108" w:type="dxa"/>
            <w:bottom w:w="0" w:type="dxa"/>
            <w:right w:w="108" w:type="dxa"/>
          </w:tblCellMar>
        </w:tblPrEx>
        <w:trPr>
          <w:trHeight w:val="624" w:hRule="atLeast"/>
          <w:jc w:val="center"/>
        </w:trPr>
        <w:tc>
          <w:tcPr>
            <w:tcW w:w="1439" w:type="dxa"/>
            <w:vMerge w:val="restart"/>
            <w:tcBorders>
              <w:top w:val="single" w:color="auto" w:sz="4" w:space="0"/>
              <w:left w:val="single" w:color="808080" w:sz="8" w:space="0"/>
              <w:right w:val="single" w:color="808080" w:sz="8" w:space="0"/>
            </w:tcBorders>
            <w:shd w:val="clear" w:color="000000" w:fill="FFFFFF"/>
            <w:vAlign w:val="center"/>
          </w:tcPr>
          <w:p w14:paraId="20D46FF6">
            <w:r>
              <w:rPr>
                <w:rFonts w:hint="eastAsia"/>
              </w:rPr>
              <w:t>3. 获得电力</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5A543DD7">
            <w:r>
              <w:rPr>
                <w:rFonts w:hint="eastAsia"/>
              </w:rPr>
              <w:t>（十）3.1 流程</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34AAD6C3">
            <w:r>
              <w:rPr>
                <w:rFonts w:hint="eastAsia"/>
              </w:rPr>
              <w:t>该指标衡量的是企业为获得永久性电力连接的所有手续、费用及质量情况。</w:t>
            </w:r>
          </w:p>
          <w:p w14:paraId="5964E714">
            <w:r>
              <w:rPr>
                <w:rFonts w:hint="eastAsia"/>
              </w:rPr>
              <w:t>3.1 流程，从用电报装申请开始，到现场勘查、外部连接工程，最终完成签订合同并通电截止。</w:t>
            </w:r>
          </w:p>
          <w:p w14:paraId="59445C16">
            <w:r>
              <w:rPr>
                <w:rFonts w:hint="eastAsia"/>
              </w:rPr>
              <w:t>3.2 耗时，完成上述流程所需要的天数（工作日）。</w:t>
            </w:r>
          </w:p>
          <w:p w14:paraId="4462672E">
            <w:r>
              <w:rPr>
                <w:rFonts w:hint="eastAsia"/>
              </w:rPr>
              <w:t>3.3费用，全过程中企业所缴纳的各项费用。</w:t>
            </w:r>
          </w:p>
          <w:p w14:paraId="6C5AAEBF">
            <w:r>
              <w:rPr>
                <w:rFonts w:hint="eastAsia"/>
              </w:rPr>
              <w:t>3.4供电可靠性及电费透明度指数，主要调查为企业内部统计信息，全面体现电网公司全年用电可靠性数据，以及收费公示等情况。</w:t>
            </w:r>
          </w:p>
          <w:p w14:paraId="3FBF4220">
            <w:r>
              <w:rPr>
                <w:rFonts w:hint="eastAsia"/>
              </w:rPr>
              <w:t>3.5满意度，主要调查当期企业获得便利度综合体验感受。主要围绕优化办理流程、规范收费与降成本、提升用电服务质量、信用公开与监管等多维度开展便利度调查。</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50FB30C2">
            <w:pPr>
              <w:jc w:val="center"/>
              <w:rPr>
                <w:rFonts w:asciiTheme="minorEastAsia" w:hAnsiTheme="minorEastAsia"/>
                <w:szCs w:val="21"/>
              </w:rPr>
            </w:pPr>
            <w:r>
              <w:rPr>
                <w:rFonts w:hint="eastAsia" w:cs="仿宋_GB2312" w:asciiTheme="minorEastAsia" w:hAnsiTheme="minorEastAsia"/>
                <w:szCs w:val="21"/>
              </w:rPr>
              <w:t>市经信局</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366E0B52">
            <w:pPr>
              <w:jc w:val="center"/>
              <w:rPr>
                <w:rFonts w:asciiTheme="minorEastAsia" w:hAnsiTheme="minorEastAsia"/>
                <w:szCs w:val="21"/>
              </w:rPr>
            </w:pPr>
            <w:r>
              <w:rPr>
                <w:rFonts w:hint="eastAsia" w:cs="仿宋_GB2312" w:asciiTheme="minorEastAsia" w:hAnsiTheme="minorEastAsia"/>
                <w:szCs w:val="21"/>
              </w:rPr>
              <w:t>鄂州供电公司</w:t>
            </w:r>
          </w:p>
        </w:tc>
      </w:tr>
      <w:tr w14:paraId="3992469E">
        <w:tblPrEx>
          <w:tblCellMar>
            <w:top w:w="0" w:type="dxa"/>
            <w:left w:w="108" w:type="dxa"/>
            <w:bottom w:w="0" w:type="dxa"/>
            <w:right w:w="108" w:type="dxa"/>
          </w:tblCellMar>
        </w:tblPrEx>
        <w:trPr>
          <w:trHeight w:val="624" w:hRule="atLeast"/>
          <w:jc w:val="center"/>
        </w:trPr>
        <w:tc>
          <w:tcPr>
            <w:tcW w:w="1439" w:type="dxa"/>
            <w:vMerge w:val="continue"/>
            <w:tcBorders>
              <w:left w:val="single" w:color="808080" w:sz="8" w:space="0"/>
              <w:right w:val="single" w:color="808080" w:sz="8" w:space="0"/>
            </w:tcBorders>
            <w:shd w:val="clear" w:color="000000" w:fill="FFFFFF"/>
            <w:vAlign w:val="center"/>
          </w:tcPr>
          <w:p w14:paraId="61C7603C"/>
        </w:tc>
        <w:tc>
          <w:tcPr>
            <w:tcW w:w="3260" w:type="dxa"/>
            <w:tcBorders>
              <w:top w:val="single" w:color="auto" w:sz="4" w:space="0"/>
              <w:left w:val="nil"/>
              <w:bottom w:val="single" w:color="auto" w:sz="4" w:space="0"/>
              <w:right w:val="single" w:color="auto" w:sz="4" w:space="0"/>
            </w:tcBorders>
            <w:shd w:val="clear" w:color="000000" w:fill="FFFFFF"/>
            <w:vAlign w:val="center"/>
          </w:tcPr>
          <w:p w14:paraId="0B5E0A64">
            <w:r>
              <w:rPr>
                <w:rFonts w:hint="eastAsia"/>
              </w:rPr>
              <w:t>（十一）3.2 耗时</w:t>
            </w:r>
          </w:p>
        </w:tc>
        <w:tc>
          <w:tcPr>
            <w:tcW w:w="6946" w:type="dxa"/>
            <w:vMerge w:val="continue"/>
            <w:tcBorders>
              <w:left w:val="single" w:color="auto" w:sz="4" w:space="0"/>
              <w:right w:val="single" w:color="808080" w:sz="8" w:space="0"/>
            </w:tcBorders>
            <w:shd w:val="clear" w:color="000000" w:fill="FFFFFF"/>
            <w:vAlign w:val="center"/>
          </w:tcPr>
          <w:p w14:paraId="7794D0EF"/>
        </w:tc>
        <w:tc>
          <w:tcPr>
            <w:tcW w:w="1210" w:type="dxa"/>
            <w:vMerge w:val="continue"/>
            <w:tcBorders>
              <w:left w:val="single" w:color="auto" w:sz="4" w:space="0"/>
              <w:right w:val="single" w:color="808080" w:sz="8" w:space="0"/>
            </w:tcBorders>
            <w:shd w:val="clear" w:color="000000" w:fill="FFFFFF"/>
          </w:tcPr>
          <w:p w14:paraId="63CEE9E0"/>
        </w:tc>
        <w:tc>
          <w:tcPr>
            <w:tcW w:w="1985" w:type="dxa"/>
            <w:vMerge w:val="continue"/>
            <w:tcBorders>
              <w:left w:val="single" w:color="auto" w:sz="4" w:space="0"/>
              <w:right w:val="single" w:color="808080" w:sz="8" w:space="0"/>
            </w:tcBorders>
            <w:shd w:val="clear" w:color="000000" w:fill="FFFFFF"/>
          </w:tcPr>
          <w:p w14:paraId="647E5D7F"/>
        </w:tc>
      </w:tr>
      <w:tr w14:paraId="7E0EB9D9">
        <w:tblPrEx>
          <w:tblCellMar>
            <w:top w:w="0" w:type="dxa"/>
            <w:left w:w="108" w:type="dxa"/>
            <w:bottom w:w="0" w:type="dxa"/>
            <w:right w:w="108" w:type="dxa"/>
          </w:tblCellMar>
        </w:tblPrEx>
        <w:trPr>
          <w:trHeight w:val="624" w:hRule="atLeast"/>
          <w:jc w:val="center"/>
        </w:trPr>
        <w:tc>
          <w:tcPr>
            <w:tcW w:w="1439" w:type="dxa"/>
            <w:vMerge w:val="continue"/>
            <w:tcBorders>
              <w:left w:val="single" w:color="808080" w:sz="8" w:space="0"/>
              <w:right w:val="single" w:color="808080" w:sz="8" w:space="0"/>
            </w:tcBorders>
            <w:shd w:val="clear" w:color="000000" w:fill="FFFFFF"/>
            <w:vAlign w:val="center"/>
          </w:tcPr>
          <w:p w14:paraId="44BE44BF"/>
        </w:tc>
        <w:tc>
          <w:tcPr>
            <w:tcW w:w="3260" w:type="dxa"/>
            <w:tcBorders>
              <w:top w:val="single" w:color="auto" w:sz="4" w:space="0"/>
              <w:left w:val="nil"/>
              <w:bottom w:val="single" w:color="auto" w:sz="4" w:space="0"/>
              <w:right w:val="single" w:color="auto" w:sz="4" w:space="0"/>
            </w:tcBorders>
            <w:shd w:val="clear" w:color="000000" w:fill="FFFFFF"/>
            <w:vAlign w:val="center"/>
          </w:tcPr>
          <w:p w14:paraId="11B6BAB4">
            <w:r>
              <w:rPr>
                <w:rFonts w:hint="eastAsia"/>
              </w:rPr>
              <w:t>（十二）3.3费用</w:t>
            </w:r>
          </w:p>
        </w:tc>
        <w:tc>
          <w:tcPr>
            <w:tcW w:w="6946" w:type="dxa"/>
            <w:vMerge w:val="continue"/>
            <w:tcBorders>
              <w:left w:val="single" w:color="auto" w:sz="4" w:space="0"/>
              <w:right w:val="single" w:color="808080" w:sz="8" w:space="0"/>
            </w:tcBorders>
            <w:shd w:val="clear" w:color="000000" w:fill="FFFFFF"/>
            <w:vAlign w:val="center"/>
          </w:tcPr>
          <w:p w14:paraId="137703A5"/>
        </w:tc>
        <w:tc>
          <w:tcPr>
            <w:tcW w:w="1210" w:type="dxa"/>
            <w:vMerge w:val="continue"/>
            <w:tcBorders>
              <w:left w:val="single" w:color="auto" w:sz="4" w:space="0"/>
              <w:right w:val="single" w:color="808080" w:sz="8" w:space="0"/>
            </w:tcBorders>
            <w:shd w:val="clear" w:color="000000" w:fill="FFFFFF"/>
          </w:tcPr>
          <w:p w14:paraId="233B70A6"/>
        </w:tc>
        <w:tc>
          <w:tcPr>
            <w:tcW w:w="1985" w:type="dxa"/>
            <w:vMerge w:val="continue"/>
            <w:tcBorders>
              <w:left w:val="single" w:color="auto" w:sz="4" w:space="0"/>
              <w:right w:val="single" w:color="808080" w:sz="8" w:space="0"/>
            </w:tcBorders>
            <w:shd w:val="clear" w:color="000000" w:fill="FFFFFF"/>
          </w:tcPr>
          <w:p w14:paraId="3837B344"/>
        </w:tc>
      </w:tr>
      <w:tr w14:paraId="10458416">
        <w:tblPrEx>
          <w:tblCellMar>
            <w:top w:w="0" w:type="dxa"/>
            <w:left w:w="108" w:type="dxa"/>
            <w:bottom w:w="0" w:type="dxa"/>
            <w:right w:w="108" w:type="dxa"/>
          </w:tblCellMar>
        </w:tblPrEx>
        <w:trPr>
          <w:trHeight w:val="624" w:hRule="atLeast"/>
          <w:jc w:val="center"/>
        </w:trPr>
        <w:tc>
          <w:tcPr>
            <w:tcW w:w="1439" w:type="dxa"/>
            <w:vMerge w:val="continue"/>
            <w:tcBorders>
              <w:left w:val="single" w:color="808080" w:sz="8" w:space="0"/>
              <w:right w:val="single" w:color="808080" w:sz="8" w:space="0"/>
            </w:tcBorders>
            <w:shd w:val="clear" w:color="000000" w:fill="FFFFFF"/>
            <w:vAlign w:val="center"/>
          </w:tcPr>
          <w:p w14:paraId="69AAF027"/>
        </w:tc>
        <w:tc>
          <w:tcPr>
            <w:tcW w:w="3260" w:type="dxa"/>
            <w:tcBorders>
              <w:top w:val="single" w:color="auto" w:sz="4" w:space="0"/>
              <w:left w:val="nil"/>
              <w:bottom w:val="single" w:color="auto" w:sz="4" w:space="0"/>
              <w:right w:val="single" w:color="auto" w:sz="4" w:space="0"/>
            </w:tcBorders>
            <w:shd w:val="clear" w:color="000000" w:fill="FFFFFF"/>
            <w:vAlign w:val="center"/>
          </w:tcPr>
          <w:p w14:paraId="4F7E31C6">
            <w:r>
              <w:rPr>
                <w:rFonts w:hint="eastAsia"/>
              </w:rPr>
              <w:t>（十三）3.4 供电稳定性和收费透明度指数</w:t>
            </w:r>
          </w:p>
        </w:tc>
        <w:tc>
          <w:tcPr>
            <w:tcW w:w="6946" w:type="dxa"/>
            <w:vMerge w:val="continue"/>
            <w:tcBorders>
              <w:left w:val="single" w:color="auto" w:sz="4" w:space="0"/>
              <w:right w:val="single" w:color="808080" w:sz="8" w:space="0"/>
            </w:tcBorders>
            <w:shd w:val="clear" w:color="000000" w:fill="FFFFFF"/>
            <w:vAlign w:val="center"/>
          </w:tcPr>
          <w:p w14:paraId="22A16CC7"/>
        </w:tc>
        <w:tc>
          <w:tcPr>
            <w:tcW w:w="1210" w:type="dxa"/>
            <w:vMerge w:val="continue"/>
            <w:tcBorders>
              <w:left w:val="single" w:color="auto" w:sz="4" w:space="0"/>
              <w:right w:val="single" w:color="808080" w:sz="8" w:space="0"/>
            </w:tcBorders>
            <w:shd w:val="clear" w:color="000000" w:fill="FFFFFF"/>
          </w:tcPr>
          <w:p w14:paraId="7D4BEA7F"/>
        </w:tc>
        <w:tc>
          <w:tcPr>
            <w:tcW w:w="1985" w:type="dxa"/>
            <w:vMerge w:val="continue"/>
            <w:tcBorders>
              <w:left w:val="single" w:color="auto" w:sz="4" w:space="0"/>
              <w:right w:val="single" w:color="808080" w:sz="8" w:space="0"/>
            </w:tcBorders>
            <w:shd w:val="clear" w:color="000000" w:fill="FFFFFF"/>
          </w:tcPr>
          <w:p w14:paraId="09AA0D8C"/>
        </w:tc>
      </w:tr>
      <w:tr w14:paraId="7F8F103B">
        <w:tblPrEx>
          <w:tblCellMar>
            <w:top w:w="0" w:type="dxa"/>
            <w:left w:w="108" w:type="dxa"/>
            <w:bottom w:w="0" w:type="dxa"/>
            <w:right w:w="108" w:type="dxa"/>
          </w:tblCellMar>
        </w:tblPrEx>
        <w:trPr>
          <w:trHeight w:val="624" w:hRule="atLeast"/>
          <w:jc w:val="center"/>
        </w:trPr>
        <w:tc>
          <w:tcPr>
            <w:tcW w:w="1439" w:type="dxa"/>
            <w:vMerge w:val="continue"/>
            <w:tcBorders>
              <w:left w:val="single" w:color="808080" w:sz="8" w:space="0"/>
              <w:bottom w:val="single" w:color="808080" w:sz="8" w:space="0"/>
              <w:right w:val="single" w:color="808080" w:sz="8" w:space="0"/>
            </w:tcBorders>
            <w:shd w:val="clear" w:color="000000" w:fill="FFFFFF"/>
            <w:vAlign w:val="center"/>
          </w:tcPr>
          <w:p w14:paraId="29778431"/>
        </w:tc>
        <w:tc>
          <w:tcPr>
            <w:tcW w:w="3260" w:type="dxa"/>
            <w:tcBorders>
              <w:top w:val="single" w:color="auto" w:sz="4" w:space="0"/>
              <w:left w:val="nil"/>
              <w:bottom w:val="single" w:color="808080" w:sz="8" w:space="0"/>
              <w:right w:val="single" w:color="auto" w:sz="4" w:space="0"/>
            </w:tcBorders>
            <w:shd w:val="clear" w:color="000000" w:fill="FFFFFF"/>
            <w:vAlign w:val="center"/>
          </w:tcPr>
          <w:p w14:paraId="71EB3892">
            <w:r>
              <w:rPr>
                <w:rFonts w:hint="eastAsia"/>
              </w:rPr>
              <w:t>（十四）3.5满意度</w:t>
            </w:r>
          </w:p>
        </w:tc>
        <w:tc>
          <w:tcPr>
            <w:tcW w:w="6946" w:type="dxa"/>
            <w:vMerge w:val="continue"/>
            <w:tcBorders>
              <w:left w:val="single" w:color="auto" w:sz="4" w:space="0"/>
              <w:bottom w:val="single" w:color="auto" w:sz="4" w:space="0"/>
              <w:right w:val="single" w:color="808080" w:sz="8" w:space="0"/>
            </w:tcBorders>
            <w:shd w:val="clear" w:color="000000" w:fill="FFFFFF"/>
            <w:vAlign w:val="center"/>
          </w:tcPr>
          <w:p w14:paraId="0F82EA42"/>
        </w:tc>
        <w:tc>
          <w:tcPr>
            <w:tcW w:w="1210" w:type="dxa"/>
            <w:vMerge w:val="continue"/>
            <w:tcBorders>
              <w:left w:val="single" w:color="auto" w:sz="4" w:space="0"/>
              <w:bottom w:val="single" w:color="auto" w:sz="4" w:space="0"/>
              <w:right w:val="single" w:color="808080" w:sz="8" w:space="0"/>
            </w:tcBorders>
            <w:shd w:val="clear" w:color="000000" w:fill="FFFFFF"/>
          </w:tcPr>
          <w:p w14:paraId="3F3C23A0"/>
        </w:tc>
        <w:tc>
          <w:tcPr>
            <w:tcW w:w="1985" w:type="dxa"/>
            <w:vMerge w:val="continue"/>
            <w:tcBorders>
              <w:left w:val="single" w:color="auto" w:sz="4" w:space="0"/>
              <w:bottom w:val="single" w:color="auto" w:sz="4" w:space="0"/>
              <w:right w:val="single" w:color="808080" w:sz="8" w:space="0"/>
            </w:tcBorders>
            <w:shd w:val="clear" w:color="000000" w:fill="FFFFFF"/>
          </w:tcPr>
          <w:p w14:paraId="0F068253"/>
        </w:tc>
      </w:tr>
      <w:tr w14:paraId="24A387C1">
        <w:tblPrEx>
          <w:tblCellMar>
            <w:top w:w="0" w:type="dxa"/>
            <w:left w:w="108" w:type="dxa"/>
            <w:bottom w:w="0" w:type="dxa"/>
            <w:right w:w="108" w:type="dxa"/>
          </w:tblCellMar>
        </w:tblPrEx>
        <w:trPr>
          <w:trHeight w:val="240" w:hRule="atLeast"/>
          <w:jc w:val="center"/>
        </w:trPr>
        <w:tc>
          <w:tcPr>
            <w:tcW w:w="1439" w:type="dxa"/>
            <w:vMerge w:val="restart"/>
            <w:tcBorders>
              <w:top w:val="nil"/>
              <w:left w:val="single" w:color="808080" w:sz="8" w:space="0"/>
              <w:right w:val="single" w:color="808080" w:sz="8" w:space="0"/>
            </w:tcBorders>
            <w:shd w:val="clear" w:color="000000" w:fill="FFFFFF"/>
            <w:vAlign w:val="center"/>
          </w:tcPr>
          <w:p w14:paraId="6037275F">
            <w:r>
              <w:rPr>
                <w:rFonts w:hint="eastAsia"/>
              </w:rPr>
              <w:t>4.获得用水用气</w:t>
            </w:r>
          </w:p>
        </w:tc>
        <w:tc>
          <w:tcPr>
            <w:tcW w:w="3260" w:type="dxa"/>
            <w:tcBorders>
              <w:top w:val="nil"/>
              <w:left w:val="nil"/>
              <w:bottom w:val="single" w:color="auto" w:sz="4" w:space="0"/>
              <w:right w:val="single" w:color="auto" w:sz="4" w:space="0"/>
            </w:tcBorders>
            <w:shd w:val="clear" w:color="000000" w:fill="FFFFFF"/>
            <w:vAlign w:val="center"/>
          </w:tcPr>
          <w:p w14:paraId="2E90D675">
            <w:r>
              <w:rPr>
                <w:rFonts w:hint="eastAsia"/>
              </w:rPr>
              <w:t>（十五）4.1流程</w:t>
            </w:r>
          </w:p>
        </w:tc>
        <w:tc>
          <w:tcPr>
            <w:tcW w:w="6946" w:type="dxa"/>
            <w:vMerge w:val="restart"/>
            <w:tcBorders>
              <w:top w:val="nil"/>
              <w:left w:val="single" w:color="auto" w:sz="4" w:space="0"/>
              <w:right w:val="single" w:color="808080" w:sz="8" w:space="0"/>
            </w:tcBorders>
            <w:shd w:val="clear" w:color="000000" w:fill="FFFFFF"/>
            <w:vAlign w:val="center"/>
          </w:tcPr>
          <w:p w14:paraId="1723E63E">
            <w:pPr>
              <w:tabs>
                <w:tab w:val="left" w:pos="720"/>
              </w:tabs>
              <w:autoSpaceDE w:val="0"/>
              <w:autoSpaceDN w:val="0"/>
              <w:adjustRightInd w:val="0"/>
            </w:pPr>
            <w:r>
              <w:rPr>
                <w:rFonts w:hint="eastAsia" w:cs="微软雅黑" w:asciiTheme="minorEastAsia" w:hAnsiTheme="minorEastAsia"/>
                <w:color w:val="000000"/>
                <w:kern w:val="0"/>
                <w:szCs w:val="21"/>
              </w:rPr>
              <w:t>该</w:t>
            </w:r>
            <w:r>
              <w:rPr>
                <w:rFonts w:hint="eastAsia" w:cs="微软雅黑" w:asciiTheme="minorEastAsia" w:hAnsiTheme="minorEastAsia"/>
                <w:color w:val="000000"/>
                <w:kern w:val="0"/>
                <w:szCs w:val="21"/>
                <w:lang w:val="zh-CN"/>
              </w:rPr>
              <w:t>指标衡量企业首次接入用水、天然气的手续、时间、成本等情况</w:t>
            </w:r>
            <w:r>
              <w:rPr>
                <w:rFonts w:cs="微软雅黑" w:asciiTheme="minorEastAsia" w:hAnsiTheme="minorEastAsia"/>
                <w:color w:val="000000"/>
                <w:kern w:val="0"/>
                <w:szCs w:val="21"/>
                <w:lang w:val="zh-CN"/>
              </w:rPr>
              <w:t>，</w:t>
            </w:r>
            <w:r>
              <w:rPr>
                <w:rFonts w:hint="eastAsia" w:cs="微软雅黑" w:asciiTheme="minorEastAsia" w:hAnsiTheme="minorEastAsia"/>
                <w:color w:val="000000"/>
                <w:kern w:val="0"/>
                <w:szCs w:val="21"/>
                <w:lang w:val="zh-CN"/>
              </w:rPr>
              <w:t>环节从用水用气报装申请开始</w:t>
            </w:r>
            <w:r>
              <w:rPr>
                <w:rFonts w:cs="微软雅黑" w:asciiTheme="minorEastAsia" w:hAnsiTheme="minorEastAsia"/>
                <w:color w:val="000000"/>
                <w:kern w:val="0"/>
                <w:szCs w:val="21"/>
                <w:lang w:val="zh-CN"/>
              </w:rPr>
              <w:t>,</w:t>
            </w:r>
            <w:r>
              <w:rPr>
                <w:rFonts w:hint="eastAsia" w:cs="微软雅黑" w:asciiTheme="minorEastAsia" w:hAnsiTheme="minorEastAsia"/>
                <w:color w:val="000000"/>
                <w:kern w:val="0"/>
                <w:szCs w:val="21"/>
                <w:lang w:val="zh-CN"/>
              </w:rPr>
              <w:t>到确定用水用气方案、办理占掘路许可、竣工验收</w:t>
            </w:r>
            <w:r>
              <w:rPr>
                <w:rFonts w:cs="微软雅黑" w:asciiTheme="minorEastAsia" w:hAnsiTheme="minorEastAsia"/>
                <w:color w:val="000000"/>
                <w:kern w:val="0"/>
                <w:szCs w:val="21"/>
                <w:lang w:val="zh-CN"/>
              </w:rPr>
              <w:t>,</w:t>
            </w:r>
            <w:r>
              <w:rPr>
                <w:rFonts w:hint="eastAsia" w:cs="微软雅黑" w:asciiTheme="minorEastAsia" w:hAnsiTheme="minorEastAsia"/>
                <w:color w:val="000000"/>
                <w:kern w:val="0"/>
                <w:szCs w:val="21"/>
                <w:lang w:val="zh-CN"/>
              </w:rPr>
              <w:t>最终完成通水通气截止。</w:t>
            </w:r>
          </w:p>
        </w:tc>
        <w:tc>
          <w:tcPr>
            <w:tcW w:w="1210" w:type="dxa"/>
            <w:vMerge w:val="restart"/>
            <w:tcBorders>
              <w:top w:val="nil"/>
              <w:left w:val="single" w:color="auto" w:sz="4" w:space="0"/>
              <w:right w:val="single" w:color="808080" w:sz="8" w:space="0"/>
            </w:tcBorders>
            <w:shd w:val="clear" w:color="000000" w:fill="FFFFFF"/>
            <w:vAlign w:val="center"/>
          </w:tcPr>
          <w:p w14:paraId="5B805CB2">
            <w:pPr>
              <w:rPr>
                <w:rFonts w:asciiTheme="minorEastAsia" w:hAnsiTheme="minorEastAsia"/>
                <w:sz w:val="18"/>
                <w:szCs w:val="18"/>
              </w:rPr>
            </w:pPr>
            <w:r>
              <w:rPr>
                <w:rFonts w:hint="eastAsia" w:cs="仿宋_GB2312" w:asciiTheme="minorEastAsia" w:hAnsiTheme="minorEastAsia"/>
                <w:sz w:val="18"/>
                <w:szCs w:val="18"/>
              </w:rPr>
              <w:t>市水利湖泊局（用水）、市住建局（用气）</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42B1D045">
            <w:pPr>
              <w:rPr>
                <w:rFonts w:asciiTheme="minorEastAsia" w:hAnsiTheme="minorEastAsia"/>
                <w:szCs w:val="21"/>
              </w:rPr>
            </w:pPr>
            <w:r>
              <w:rPr>
                <w:rFonts w:hint="eastAsia" w:cs="仿宋_GB2312" w:asciiTheme="minorEastAsia" w:hAnsiTheme="minorEastAsia"/>
                <w:szCs w:val="21"/>
              </w:rPr>
              <w:t>市水务集团公司、市安泰天然气公司</w:t>
            </w:r>
          </w:p>
        </w:tc>
      </w:tr>
      <w:tr w14:paraId="33BEA4C2">
        <w:tblPrEx>
          <w:tblCellMar>
            <w:top w:w="0" w:type="dxa"/>
            <w:left w:w="108" w:type="dxa"/>
            <w:bottom w:w="0" w:type="dxa"/>
            <w:right w:w="108" w:type="dxa"/>
          </w:tblCellMar>
        </w:tblPrEx>
        <w:trPr>
          <w:trHeight w:val="198" w:hRule="atLeast"/>
          <w:jc w:val="center"/>
        </w:trPr>
        <w:tc>
          <w:tcPr>
            <w:tcW w:w="1439" w:type="dxa"/>
            <w:vMerge w:val="continue"/>
            <w:tcBorders>
              <w:left w:val="single" w:color="808080" w:sz="8" w:space="0"/>
              <w:right w:val="single" w:color="808080" w:sz="8" w:space="0"/>
            </w:tcBorders>
            <w:shd w:val="clear" w:color="000000" w:fill="FFFFFF"/>
            <w:vAlign w:val="center"/>
          </w:tcPr>
          <w:p w14:paraId="7791BCF7"/>
        </w:tc>
        <w:tc>
          <w:tcPr>
            <w:tcW w:w="3260" w:type="dxa"/>
            <w:tcBorders>
              <w:top w:val="single" w:color="auto" w:sz="4" w:space="0"/>
              <w:left w:val="nil"/>
              <w:bottom w:val="single" w:color="auto" w:sz="4" w:space="0"/>
              <w:right w:val="single" w:color="auto" w:sz="4" w:space="0"/>
            </w:tcBorders>
            <w:shd w:val="clear" w:color="000000" w:fill="FFFFFF"/>
            <w:vAlign w:val="center"/>
          </w:tcPr>
          <w:p w14:paraId="4D5F3FB7">
            <w:r>
              <w:rPr>
                <w:rFonts w:hint="eastAsia"/>
              </w:rPr>
              <w:t>（十六）4.2耗时</w:t>
            </w:r>
          </w:p>
        </w:tc>
        <w:tc>
          <w:tcPr>
            <w:tcW w:w="6946" w:type="dxa"/>
            <w:vMerge w:val="continue"/>
            <w:tcBorders>
              <w:left w:val="single" w:color="auto" w:sz="4" w:space="0"/>
              <w:right w:val="single" w:color="808080" w:sz="8" w:space="0"/>
            </w:tcBorders>
            <w:shd w:val="clear" w:color="000000" w:fill="FFFFFF"/>
          </w:tcPr>
          <w:p w14:paraId="2A9702D9"/>
        </w:tc>
        <w:tc>
          <w:tcPr>
            <w:tcW w:w="1210" w:type="dxa"/>
            <w:vMerge w:val="continue"/>
            <w:tcBorders>
              <w:left w:val="single" w:color="auto" w:sz="4" w:space="0"/>
              <w:right w:val="single" w:color="808080" w:sz="8" w:space="0"/>
            </w:tcBorders>
            <w:shd w:val="clear" w:color="000000" w:fill="FFFFFF"/>
          </w:tcPr>
          <w:p w14:paraId="4267EADB"/>
        </w:tc>
        <w:tc>
          <w:tcPr>
            <w:tcW w:w="1985" w:type="dxa"/>
            <w:vMerge w:val="continue"/>
            <w:tcBorders>
              <w:left w:val="single" w:color="auto" w:sz="4" w:space="0"/>
              <w:right w:val="single" w:color="808080" w:sz="8" w:space="0"/>
            </w:tcBorders>
            <w:shd w:val="clear" w:color="000000" w:fill="FFFFFF"/>
          </w:tcPr>
          <w:p w14:paraId="348BD53C"/>
        </w:tc>
      </w:tr>
      <w:tr w14:paraId="341F836D">
        <w:tblPrEx>
          <w:tblCellMar>
            <w:top w:w="0" w:type="dxa"/>
            <w:left w:w="108" w:type="dxa"/>
            <w:bottom w:w="0" w:type="dxa"/>
            <w:right w:w="108" w:type="dxa"/>
          </w:tblCellMar>
        </w:tblPrEx>
        <w:trPr>
          <w:trHeight w:val="192" w:hRule="atLeast"/>
          <w:jc w:val="center"/>
        </w:trPr>
        <w:tc>
          <w:tcPr>
            <w:tcW w:w="1439" w:type="dxa"/>
            <w:vMerge w:val="continue"/>
            <w:tcBorders>
              <w:left w:val="single" w:color="808080" w:sz="8" w:space="0"/>
              <w:right w:val="single" w:color="808080" w:sz="8" w:space="0"/>
            </w:tcBorders>
            <w:shd w:val="clear" w:color="000000" w:fill="FFFFFF"/>
            <w:vAlign w:val="center"/>
          </w:tcPr>
          <w:p w14:paraId="58057D90"/>
        </w:tc>
        <w:tc>
          <w:tcPr>
            <w:tcW w:w="3260" w:type="dxa"/>
            <w:tcBorders>
              <w:top w:val="single" w:color="auto" w:sz="4" w:space="0"/>
              <w:left w:val="nil"/>
              <w:bottom w:val="single" w:color="auto" w:sz="4" w:space="0"/>
              <w:right w:val="single" w:color="auto" w:sz="4" w:space="0"/>
            </w:tcBorders>
            <w:shd w:val="clear" w:color="000000" w:fill="FFFFFF"/>
            <w:vAlign w:val="center"/>
          </w:tcPr>
          <w:p w14:paraId="020B2705">
            <w:r>
              <w:rPr>
                <w:rFonts w:hint="eastAsia"/>
              </w:rPr>
              <w:t>（十七）4.3费用</w:t>
            </w:r>
          </w:p>
        </w:tc>
        <w:tc>
          <w:tcPr>
            <w:tcW w:w="6946" w:type="dxa"/>
            <w:vMerge w:val="continue"/>
            <w:tcBorders>
              <w:left w:val="single" w:color="auto" w:sz="4" w:space="0"/>
              <w:right w:val="single" w:color="808080" w:sz="8" w:space="0"/>
            </w:tcBorders>
            <w:shd w:val="clear" w:color="000000" w:fill="FFFFFF"/>
          </w:tcPr>
          <w:p w14:paraId="4ED9FE2F"/>
        </w:tc>
        <w:tc>
          <w:tcPr>
            <w:tcW w:w="1210" w:type="dxa"/>
            <w:vMerge w:val="continue"/>
            <w:tcBorders>
              <w:left w:val="single" w:color="auto" w:sz="4" w:space="0"/>
              <w:right w:val="single" w:color="808080" w:sz="8" w:space="0"/>
            </w:tcBorders>
            <w:shd w:val="clear" w:color="000000" w:fill="FFFFFF"/>
          </w:tcPr>
          <w:p w14:paraId="2C70049A"/>
        </w:tc>
        <w:tc>
          <w:tcPr>
            <w:tcW w:w="1985" w:type="dxa"/>
            <w:vMerge w:val="continue"/>
            <w:tcBorders>
              <w:left w:val="single" w:color="auto" w:sz="4" w:space="0"/>
              <w:right w:val="single" w:color="808080" w:sz="8" w:space="0"/>
            </w:tcBorders>
            <w:shd w:val="clear" w:color="000000" w:fill="FFFFFF"/>
          </w:tcPr>
          <w:p w14:paraId="3F09E493"/>
        </w:tc>
      </w:tr>
      <w:tr w14:paraId="47F56AF2">
        <w:tblPrEx>
          <w:tblCellMar>
            <w:top w:w="0" w:type="dxa"/>
            <w:left w:w="108" w:type="dxa"/>
            <w:bottom w:w="0" w:type="dxa"/>
            <w:right w:w="108" w:type="dxa"/>
          </w:tblCellMar>
        </w:tblPrEx>
        <w:trPr>
          <w:trHeight w:val="95" w:hRule="atLeast"/>
          <w:jc w:val="center"/>
        </w:trPr>
        <w:tc>
          <w:tcPr>
            <w:tcW w:w="1439" w:type="dxa"/>
            <w:vMerge w:val="continue"/>
            <w:tcBorders>
              <w:left w:val="single" w:color="808080" w:sz="8" w:space="0"/>
              <w:bottom w:val="single" w:color="auto" w:sz="4" w:space="0"/>
              <w:right w:val="single" w:color="808080" w:sz="8" w:space="0"/>
            </w:tcBorders>
            <w:shd w:val="clear" w:color="000000" w:fill="FFFFFF"/>
            <w:vAlign w:val="center"/>
          </w:tcPr>
          <w:p w14:paraId="4B04A364"/>
        </w:tc>
        <w:tc>
          <w:tcPr>
            <w:tcW w:w="3260" w:type="dxa"/>
            <w:tcBorders>
              <w:top w:val="single" w:color="auto" w:sz="4" w:space="0"/>
              <w:left w:val="nil"/>
              <w:bottom w:val="single" w:color="auto" w:sz="4" w:space="0"/>
              <w:right w:val="single" w:color="auto" w:sz="4" w:space="0"/>
            </w:tcBorders>
            <w:shd w:val="clear" w:color="000000" w:fill="FFFFFF"/>
            <w:vAlign w:val="center"/>
          </w:tcPr>
          <w:p w14:paraId="73A3C682">
            <w:r>
              <w:rPr>
                <w:rFonts w:hint="eastAsia"/>
              </w:rPr>
              <w:t>（十八）4.4水价气价</w:t>
            </w:r>
          </w:p>
        </w:tc>
        <w:tc>
          <w:tcPr>
            <w:tcW w:w="6946" w:type="dxa"/>
            <w:vMerge w:val="continue"/>
            <w:tcBorders>
              <w:left w:val="single" w:color="auto" w:sz="4" w:space="0"/>
              <w:bottom w:val="single" w:color="auto" w:sz="4" w:space="0"/>
              <w:right w:val="single" w:color="808080" w:sz="8" w:space="0"/>
            </w:tcBorders>
            <w:shd w:val="clear" w:color="000000" w:fill="FFFFFF"/>
          </w:tcPr>
          <w:p w14:paraId="379E0C9E"/>
        </w:tc>
        <w:tc>
          <w:tcPr>
            <w:tcW w:w="1210" w:type="dxa"/>
            <w:vMerge w:val="continue"/>
            <w:tcBorders>
              <w:left w:val="single" w:color="auto" w:sz="4" w:space="0"/>
              <w:bottom w:val="single" w:color="auto" w:sz="4" w:space="0"/>
              <w:right w:val="single" w:color="808080" w:sz="8" w:space="0"/>
            </w:tcBorders>
            <w:shd w:val="clear" w:color="000000" w:fill="FFFFFF"/>
          </w:tcPr>
          <w:p w14:paraId="1C7DA78E"/>
        </w:tc>
        <w:tc>
          <w:tcPr>
            <w:tcW w:w="1985" w:type="dxa"/>
            <w:vMerge w:val="continue"/>
            <w:tcBorders>
              <w:left w:val="single" w:color="auto" w:sz="4" w:space="0"/>
              <w:bottom w:val="single" w:color="auto" w:sz="4" w:space="0"/>
              <w:right w:val="single" w:color="808080" w:sz="8" w:space="0"/>
            </w:tcBorders>
            <w:shd w:val="clear" w:color="000000" w:fill="FFFFFF"/>
          </w:tcPr>
          <w:p w14:paraId="38C94FE7"/>
        </w:tc>
      </w:tr>
      <w:tr w14:paraId="793A6711">
        <w:tblPrEx>
          <w:tblCellMar>
            <w:top w:w="0" w:type="dxa"/>
            <w:left w:w="108" w:type="dxa"/>
            <w:bottom w:w="0" w:type="dxa"/>
            <w:right w:w="108" w:type="dxa"/>
          </w:tblCellMar>
        </w:tblPrEx>
        <w:trPr>
          <w:trHeight w:val="732" w:hRule="atLeast"/>
          <w:jc w:val="center"/>
        </w:trPr>
        <w:tc>
          <w:tcPr>
            <w:tcW w:w="1439" w:type="dxa"/>
            <w:vMerge w:val="restart"/>
            <w:tcBorders>
              <w:top w:val="single" w:color="auto" w:sz="4" w:space="0"/>
              <w:left w:val="single" w:color="808080" w:sz="8" w:space="0"/>
              <w:bottom w:val="single" w:color="808080" w:sz="8" w:space="0"/>
              <w:right w:val="single" w:color="808080" w:sz="8" w:space="0"/>
            </w:tcBorders>
            <w:shd w:val="clear" w:color="000000" w:fill="FFFFFF"/>
            <w:vAlign w:val="center"/>
          </w:tcPr>
          <w:p w14:paraId="4BA7E31E">
            <w:r>
              <w:rPr>
                <w:rFonts w:hint="eastAsia"/>
              </w:rPr>
              <w:t>5.登记财产</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622BB223">
            <w:r>
              <w:rPr>
                <w:rFonts w:hint="eastAsia"/>
              </w:rPr>
              <w:t>（十九）5.1流程</w:t>
            </w:r>
            <w:r>
              <w:t xml:space="preserve"> </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496A47EE">
            <w:r>
              <w:rPr>
                <w:rFonts w:hint="eastAsia"/>
              </w:rPr>
              <w:t>该指标衡量一个企业（买方）从另一个企业（卖方）购买一个财产（不动产），并且把此财产的使用权从卖方转移到买方，使买方能使用此财产、把此财产作为贷款抵押、在必要的时候把此财产卖掉的所有手续。</w:t>
            </w:r>
          </w:p>
          <w:p w14:paraId="4DBF52A1">
            <w:r>
              <w:rPr>
                <w:rFonts w:hint="eastAsia"/>
              </w:rPr>
              <w:t>5.1流程，从房源核验开始，到缴税、提交登记申请、缴纳登记费，最终完成领取不动产权证截止。</w:t>
            </w:r>
          </w:p>
          <w:p w14:paraId="63B6415F">
            <w:r>
              <w:rPr>
                <w:rFonts w:hint="eastAsia"/>
              </w:rPr>
              <w:t>5.2耗时及5.3费用，完成上述流程的时间（工作日或小时数）及各项费用。</w:t>
            </w:r>
          </w:p>
          <w:p w14:paraId="4B0F7186">
            <w:r>
              <w:rPr>
                <w:rFonts w:hint="eastAsia"/>
              </w:rPr>
              <w:t>5.4土地管理质量指数，主要围绕基础设施可靠性、信息透明度、地理覆盖范围、土地争议解决四个方面设置问答并且都需要提供相关依据或者支持文件。</w:t>
            </w:r>
          </w:p>
          <w:p w14:paraId="2F67176D">
            <w:r>
              <w:rPr>
                <w:rFonts w:hint="eastAsia"/>
              </w:rPr>
              <w:t>5.5满意度，主要围绕精简优化办理流程、数据共享与公开、清理规范申请证明材料和提升便民服务效率和质量四个主题设置回答并且都需要提供相关依据或者支持文件。</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15AEE2D9">
            <w:pPr>
              <w:rPr>
                <w:rFonts w:asciiTheme="minorEastAsia" w:hAnsiTheme="minorEastAsia"/>
                <w:szCs w:val="21"/>
              </w:rPr>
            </w:pPr>
            <w:r>
              <w:rPr>
                <w:rFonts w:hint="eastAsia" w:cs="仿宋_GB2312" w:asciiTheme="minorEastAsia" w:hAnsiTheme="minorEastAsia"/>
                <w:szCs w:val="21"/>
              </w:rPr>
              <w:t>市自然资源和规划局</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163A8EEE">
            <w:pPr>
              <w:rPr>
                <w:rFonts w:asciiTheme="minorEastAsia" w:hAnsiTheme="minorEastAsia"/>
                <w:szCs w:val="21"/>
              </w:rPr>
            </w:pPr>
            <w:r>
              <w:rPr>
                <w:rFonts w:hint="eastAsia" w:cs="仿宋_GB2312" w:asciiTheme="minorEastAsia" w:hAnsiTheme="minorEastAsia"/>
                <w:szCs w:val="21"/>
              </w:rPr>
              <w:t>市不动产登记中心、市住建局、市税务局、市法院、市司法局等相关单位</w:t>
            </w:r>
          </w:p>
        </w:tc>
      </w:tr>
      <w:tr w14:paraId="33140553">
        <w:tblPrEx>
          <w:tblCellMar>
            <w:top w:w="0" w:type="dxa"/>
            <w:left w:w="108" w:type="dxa"/>
            <w:bottom w:w="0" w:type="dxa"/>
            <w:right w:w="108" w:type="dxa"/>
          </w:tblCellMar>
        </w:tblPrEx>
        <w:trPr>
          <w:trHeight w:val="733"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382F5015"/>
        </w:tc>
        <w:tc>
          <w:tcPr>
            <w:tcW w:w="3260" w:type="dxa"/>
            <w:tcBorders>
              <w:top w:val="single" w:color="auto" w:sz="4" w:space="0"/>
              <w:left w:val="nil"/>
              <w:bottom w:val="single" w:color="auto" w:sz="4" w:space="0"/>
              <w:right w:val="single" w:color="auto" w:sz="4" w:space="0"/>
            </w:tcBorders>
            <w:shd w:val="clear" w:color="000000" w:fill="FFFFFF"/>
            <w:vAlign w:val="center"/>
          </w:tcPr>
          <w:p w14:paraId="4408C0B0">
            <w:r>
              <w:rPr>
                <w:rFonts w:hint="eastAsia"/>
              </w:rPr>
              <w:t>（二十）5.2耗时</w:t>
            </w:r>
          </w:p>
        </w:tc>
        <w:tc>
          <w:tcPr>
            <w:tcW w:w="6946" w:type="dxa"/>
            <w:vMerge w:val="continue"/>
            <w:tcBorders>
              <w:top w:val="nil"/>
              <w:left w:val="single" w:color="auto" w:sz="4" w:space="0"/>
              <w:right w:val="single" w:color="808080" w:sz="8" w:space="0"/>
            </w:tcBorders>
            <w:shd w:val="clear" w:color="000000" w:fill="FFFFFF"/>
          </w:tcPr>
          <w:p w14:paraId="73CDF518"/>
        </w:tc>
        <w:tc>
          <w:tcPr>
            <w:tcW w:w="1210" w:type="dxa"/>
            <w:vMerge w:val="continue"/>
            <w:tcBorders>
              <w:top w:val="nil"/>
              <w:left w:val="single" w:color="auto" w:sz="4" w:space="0"/>
              <w:right w:val="single" w:color="808080" w:sz="8" w:space="0"/>
            </w:tcBorders>
            <w:shd w:val="clear" w:color="000000" w:fill="FFFFFF"/>
          </w:tcPr>
          <w:p w14:paraId="46238183"/>
        </w:tc>
        <w:tc>
          <w:tcPr>
            <w:tcW w:w="1985" w:type="dxa"/>
            <w:vMerge w:val="continue"/>
            <w:tcBorders>
              <w:top w:val="nil"/>
              <w:left w:val="single" w:color="auto" w:sz="4" w:space="0"/>
              <w:right w:val="single" w:color="808080" w:sz="8" w:space="0"/>
            </w:tcBorders>
            <w:shd w:val="clear" w:color="000000" w:fill="FFFFFF"/>
          </w:tcPr>
          <w:p w14:paraId="37B5D004"/>
        </w:tc>
      </w:tr>
      <w:tr w14:paraId="22A50EAC">
        <w:tblPrEx>
          <w:tblCellMar>
            <w:top w:w="0" w:type="dxa"/>
            <w:left w:w="108" w:type="dxa"/>
            <w:bottom w:w="0" w:type="dxa"/>
            <w:right w:w="108" w:type="dxa"/>
          </w:tblCellMar>
        </w:tblPrEx>
        <w:trPr>
          <w:trHeight w:val="733"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21791731"/>
        </w:tc>
        <w:tc>
          <w:tcPr>
            <w:tcW w:w="3260" w:type="dxa"/>
            <w:tcBorders>
              <w:top w:val="single" w:color="auto" w:sz="4" w:space="0"/>
              <w:left w:val="nil"/>
              <w:bottom w:val="single" w:color="auto" w:sz="4" w:space="0"/>
              <w:right w:val="single" w:color="auto" w:sz="4" w:space="0"/>
            </w:tcBorders>
            <w:shd w:val="clear" w:color="000000" w:fill="FFFFFF"/>
            <w:vAlign w:val="center"/>
          </w:tcPr>
          <w:p w14:paraId="1D4A91F1">
            <w:r>
              <w:rPr>
                <w:rFonts w:hint="eastAsia"/>
              </w:rPr>
              <w:t>（二十一）5.3费用</w:t>
            </w:r>
          </w:p>
        </w:tc>
        <w:tc>
          <w:tcPr>
            <w:tcW w:w="6946" w:type="dxa"/>
            <w:vMerge w:val="continue"/>
            <w:tcBorders>
              <w:top w:val="nil"/>
              <w:left w:val="single" w:color="auto" w:sz="4" w:space="0"/>
              <w:right w:val="single" w:color="808080" w:sz="8" w:space="0"/>
            </w:tcBorders>
            <w:shd w:val="clear" w:color="000000" w:fill="FFFFFF"/>
          </w:tcPr>
          <w:p w14:paraId="51830DCD"/>
        </w:tc>
        <w:tc>
          <w:tcPr>
            <w:tcW w:w="1210" w:type="dxa"/>
            <w:vMerge w:val="continue"/>
            <w:tcBorders>
              <w:top w:val="nil"/>
              <w:left w:val="single" w:color="auto" w:sz="4" w:space="0"/>
              <w:right w:val="single" w:color="808080" w:sz="8" w:space="0"/>
            </w:tcBorders>
            <w:shd w:val="clear" w:color="000000" w:fill="FFFFFF"/>
          </w:tcPr>
          <w:p w14:paraId="25786CCF"/>
        </w:tc>
        <w:tc>
          <w:tcPr>
            <w:tcW w:w="1985" w:type="dxa"/>
            <w:vMerge w:val="continue"/>
            <w:tcBorders>
              <w:top w:val="nil"/>
              <w:left w:val="single" w:color="auto" w:sz="4" w:space="0"/>
              <w:right w:val="single" w:color="808080" w:sz="8" w:space="0"/>
            </w:tcBorders>
            <w:shd w:val="clear" w:color="000000" w:fill="FFFFFF"/>
          </w:tcPr>
          <w:p w14:paraId="676CC714"/>
        </w:tc>
      </w:tr>
      <w:tr w14:paraId="501EA6B5">
        <w:tblPrEx>
          <w:tblCellMar>
            <w:top w:w="0" w:type="dxa"/>
            <w:left w:w="108" w:type="dxa"/>
            <w:bottom w:w="0" w:type="dxa"/>
            <w:right w:w="108" w:type="dxa"/>
          </w:tblCellMar>
        </w:tblPrEx>
        <w:trPr>
          <w:trHeight w:val="733"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0BE75F01"/>
        </w:tc>
        <w:tc>
          <w:tcPr>
            <w:tcW w:w="3260" w:type="dxa"/>
            <w:tcBorders>
              <w:top w:val="single" w:color="auto" w:sz="4" w:space="0"/>
              <w:left w:val="nil"/>
              <w:bottom w:val="single" w:color="auto" w:sz="4" w:space="0"/>
              <w:right w:val="single" w:color="auto" w:sz="4" w:space="0"/>
            </w:tcBorders>
            <w:shd w:val="clear" w:color="000000" w:fill="FFFFFF"/>
            <w:vAlign w:val="center"/>
          </w:tcPr>
          <w:p w14:paraId="42CACC40">
            <w:r>
              <w:rPr>
                <w:rFonts w:hint="eastAsia"/>
              </w:rPr>
              <w:t>（二十二）5.4土地管理质量指数</w:t>
            </w:r>
          </w:p>
        </w:tc>
        <w:tc>
          <w:tcPr>
            <w:tcW w:w="6946" w:type="dxa"/>
            <w:vMerge w:val="continue"/>
            <w:tcBorders>
              <w:top w:val="nil"/>
              <w:left w:val="single" w:color="auto" w:sz="4" w:space="0"/>
              <w:bottom w:val="single" w:color="auto" w:sz="4" w:space="0"/>
              <w:right w:val="single" w:color="808080" w:sz="8" w:space="0"/>
            </w:tcBorders>
            <w:shd w:val="clear" w:color="000000" w:fill="FFFFFF"/>
          </w:tcPr>
          <w:p w14:paraId="2E813AC6"/>
        </w:tc>
        <w:tc>
          <w:tcPr>
            <w:tcW w:w="1210" w:type="dxa"/>
            <w:vMerge w:val="continue"/>
            <w:tcBorders>
              <w:top w:val="nil"/>
              <w:left w:val="single" w:color="auto" w:sz="4" w:space="0"/>
              <w:bottom w:val="single" w:color="auto" w:sz="4" w:space="0"/>
              <w:right w:val="single" w:color="808080" w:sz="8" w:space="0"/>
            </w:tcBorders>
            <w:shd w:val="clear" w:color="000000" w:fill="FFFFFF"/>
          </w:tcPr>
          <w:p w14:paraId="38512A23"/>
        </w:tc>
        <w:tc>
          <w:tcPr>
            <w:tcW w:w="1985" w:type="dxa"/>
            <w:vMerge w:val="continue"/>
            <w:tcBorders>
              <w:top w:val="nil"/>
              <w:left w:val="single" w:color="auto" w:sz="4" w:space="0"/>
              <w:bottom w:val="single" w:color="auto" w:sz="4" w:space="0"/>
              <w:right w:val="single" w:color="808080" w:sz="8" w:space="0"/>
            </w:tcBorders>
            <w:shd w:val="clear" w:color="000000" w:fill="FFFFFF"/>
          </w:tcPr>
          <w:p w14:paraId="76DC446F"/>
        </w:tc>
      </w:tr>
      <w:tr w14:paraId="2A5BC9E9">
        <w:tblPrEx>
          <w:tblCellMar>
            <w:top w:w="0" w:type="dxa"/>
            <w:left w:w="108" w:type="dxa"/>
            <w:bottom w:w="0" w:type="dxa"/>
            <w:right w:w="108" w:type="dxa"/>
          </w:tblCellMar>
        </w:tblPrEx>
        <w:trPr>
          <w:trHeight w:val="733"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04DDB2C8"/>
        </w:tc>
        <w:tc>
          <w:tcPr>
            <w:tcW w:w="3260" w:type="dxa"/>
            <w:tcBorders>
              <w:top w:val="single" w:color="auto" w:sz="4" w:space="0"/>
              <w:left w:val="nil"/>
              <w:bottom w:val="single" w:color="808080" w:sz="8" w:space="0"/>
              <w:right w:val="single" w:color="auto" w:sz="4" w:space="0"/>
            </w:tcBorders>
            <w:shd w:val="clear" w:color="000000" w:fill="FFFFFF"/>
            <w:vAlign w:val="center"/>
          </w:tcPr>
          <w:p w14:paraId="4107EFEA">
            <w:r>
              <w:rPr>
                <w:rFonts w:hint="eastAsia"/>
              </w:rPr>
              <w:t>（二十三）5.5满意度</w:t>
            </w:r>
          </w:p>
        </w:tc>
        <w:tc>
          <w:tcPr>
            <w:tcW w:w="6946" w:type="dxa"/>
            <w:vMerge w:val="continue"/>
            <w:tcBorders>
              <w:top w:val="single" w:color="auto" w:sz="4" w:space="0"/>
              <w:left w:val="single" w:color="auto" w:sz="4" w:space="0"/>
              <w:bottom w:val="single" w:color="auto" w:sz="4" w:space="0"/>
              <w:right w:val="single" w:color="808080" w:sz="8" w:space="0"/>
            </w:tcBorders>
            <w:shd w:val="clear" w:color="000000" w:fill="FFFFFF"/>
          </w:tcPr>
          <w:p w14:paraId="74350609"/>
        </w:tc>
        <w:tc>
          <w:tcPr>
            <w:tcW w:w="1210" w:type="dxa"/>
            <w:vMerge w:val="continue"/>
            <w:tcBorders>
              <w:top w:val="single" w:color="auto" w:sz="4" w:space="0"/>
              <w:left w:val="single" w:color="auto" w:sz="4" w:space="0"/>
              <w:bottom w:val="single" w:color="auto" w:sz="4" w:space="0"/>
              <w:right w:val="single" w:color="808080" w:sz="8" w:space="0"/>
            </w:tcBorders>
            <w:shd w:val="clear" w:color="000000" w:fill="FFFFFF"/>
          </w:tcPr>
          <w:p w14:paraId="7F9C4AFE"/>
        </w:tc>
        <w:tc>
          <w:tcPr>
            <w:tcW w:w="1985" w:type="dxa"/>
            <w:vMerge w:val="continue"/>
            <w:tcBorders>
              <w:top w:val="single" w:color="auto" w:sz="4" w:space="0"/>
              <w:left w:val="single" w:color="auto" w:sz="4" w:space="0"/>
              <w:bottom w:val="single" w:color="auto" w:sz="4" w:space="0"/>
              <w:right w:val="single" w:color="808080" w:sz="8" w:space="0"/>
            </w:tcBorders>
            <w:shd w:val="clear" w:color="000000" w:fill="FFFFFF"/>
          </w:tcPr>
          <w:p w14:paraId="17F39073"/>
        </w:tc>
      </w:tr>
      <w:tr w14:paraId="365841AC">
        <w:tblPrEx>
          <w:tblCellMar>
            <w:top w:w="0" w:type="dxa"/>
            <w:left w:w="108" w:type="dxa"/>
            <w:bottom w:w="0" w:type="dxa"/>
            <w:right w:w="108" w:type="dxa"/>
          </w:tblCellMar>
        </w:tblPrEx>
        <w:trPr>
          <w:trHeight w:val="870" w:hRule="atLeast"/>
          <w:jc w:val="center"/>
        </w:trPr>
        <w:tc>
          <w:tcPr>
            <w:tcW w:w="1439" w:type="dxa"/>
            <w:vMerge w:val="restart"/>
            <w:tcBorders>
              <w:top w:val="single" w:color="auto" w:sz="4" w:space="0"/>
              <w:left w:val="single" w:color="808080" w:sz="8" w:space="0"/>
              <w:bottom w:val="single" w:color="808080" w:sz="8" w:space="0"/>
              <w:right w:val="single" w:color="808080" w:sz="8" w:space="0"/>
            </w:tcBorders>
            <w:shd w:val="clear" w:color="000000" w:fill="FFFFFF"/>
            <w:vAlign w:val="center"/>
          </w:tcPr>
          <w:p w14:paraId="73134922">
            <w:r>
              <w:rPr>
                <w:rFonts w:hint="eastAsia"/>
              </w:rPr>
              <w:t>6. 纳税</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00588A14">
            <w:r>
              <w:rPr>
                <w:rFonts w:hint="eastAsia"/>
              </w:rPr>
              <w:t>（二十四）6.1 纳税次数</w:t>
            </w:r>
          </w:p>
        </w:tc>
        <w:tc>
          <w:tcPr>
            <w:tcW w:w="6946" w:type="dxa"/>
            <w:vMerge w:val="restart"/>
            <w:tcBorders>
              <w:top w:val="single" w:color="auto" w:sz="4" w:space="0"/>
              <w:left w:val="single" w:color="auto" w:sz="4" w:space="0"/>
              <w:right w:val="single" w:color="808080" w:sz="8" w:space="0"/>
            </w:tcBorders>
            <w:shd w:val="clear" w:color="000000" w:fill="FFFFFF"/>
          </w:tcPr>
          <w:p w14:paraId="538B31F0">
            <w:r>
              <w:rPr>
                <w:rFonts w:hint="eastAsia"/>
              </w:rPr>
              <w:t>该指标衡量的是一家企业在营商环境评价期间缴纳的各种税项和强制性派款，也衡量因纳税与支付派款以及进行税后合规而产生的行政负担。</w:t>
            </w:r>
          </w:p>
          <w:p w14:paraId="3D64FFFC">
            <w:r>
              <w:rPr>
                <w:rFonts w:hint="eastAsia"/>
              </w:rPr>
              <w:t>6.1 纳税次数，评价期间缴纳的各种税项和强制性派款的次数。</w:t>
            </w:r>
          </w:p>
          <w:p w14:paraId="61D2CDB3">
            <w:r>
              <w:rPr>
                <w:rFonts w:hint="eastAsia"/>
              </w:rPr>
              <w:t>6.2纳税时间，主要为缴纳增值税、企业所得税、个人所得税（企业代扣代缴的部分）、社会保险费以及住房公积金的时间；需考虑纳税次数，是缴纳税费的总时间，不是缴纳一次税费的时间。</w:t>
            </w:r>
          </w:p>
          <w:p w14:paraId="7195641A">
            <w:r>
              <w:rPr>
                <w:rFonts w:hint="eastAsia"/>
              </w:rPr>
              <w:t>6.3总税收和缴费率，为企业缴纳的税费占商业利润的比例，问卷中，増值税只填写缴纳的总额，不需要填写税率；公积金、社保等税费率按最低值。</w:t>
            </w:r>
          </w:p>
          <w:p w14:paraId="6C61A005">
            <w:r>
              <w:rPr>
                <w:rFonts w:hint="eastAsia"/>
              </w:rPr>
              <w:t>6.4报税后流程指数，衡量样本公司在纳税申报之后发生以下四种事项所需要的时间：①填报増值税留抵退税申请；②获得增值税留抵退税；③企业所得税错报后修正；④企业所得税错报审计。</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599439EA">
            <w:pPr>
              <w:jc w:val="center"/>
              <w:rPr>
                <w:rFonts w:asciiTheme="minorEastAsia" w:hAnsiTheme="minorEastAsia"/>
                <w:szCs w:val="21"/>
              </w:rPr>
            </w:pPr>
            <w:r>
              <w:rPr>
                <w:rFonts w:hint="eastAsia" w:cs="仿宋_GB2312" w:asciiTheme="minorEastAsia" w:hAnsiTheme="minorEastAsia"/>
                <w:szCs w:val="21"/>
              </w:rPr>
              <w:t>市税务局</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710A84A9">
            <w:pPr>
              <w:rPr>
                <w:rFonts w:asciiTheme="minorEastAsia" w:hAnsiTheme="minorEastAsia"/>
                <w:szCs w:val="21"/>
              </w:rPr>
            </w:pPr>
            <w:r>
              <w:rPr>
                <w:rFonts w:hint="eastAsia" w:cs="仿宋_GB2312" w:asciiTheme="minorEastAsia" w:hAnsiTheme="minorEastAsia"/>
                <w:szCs w:val="21"/>
              </w:rPr>
              <w:t>市财政局、市人社局、市医保局、市住房公积</w:t>
            </w:r>
            <w:r>
              <w:rPr>
                <w:rFonts w:hint="eastAsia" w:cs="仿宋_GB2312" w:asciiTheme="minorEastAsia" w:hAnsiTheme="minorEastAsia"/>
                <w:szCs w:val="21"/>
                <w:lang w:val="en-US" w:eastAsia="zh-CN"/>
              </w:rPr>
              <w:t>金</w:t>
            </w:r>
            <w:bookmarkStart w:id="0" w:name="_GoBack"/>
            <w:bookmarkEnd w:id="0"/>
            <w:r>
              <w:rPr>
                <w:rFonts w:hint="eastAsia" w:cs="仿宋_GB2312" w:asciiTheme="minorEastAsia" w:hAnsiTheme="minorEastAsia"/>
                <w:szCs w:val="21"/>
              </w:rPr>
              <w:t>中心等相关单位</w:t>
            </w:r>
          </w:p>
        </w:tc>
      </w:tr>
      <w:tr w14:paraId="6DF20349">
        <w:tblPrEx>
          <w:tblCellMar>
            <w:top w:w="0" w:type="dxa"/>
            <w:left w:w="108" w:type="dxa"/>
            <w:bottom w:w="0" w:type="dxa"/>
            <w:right w:w="108" w:type="dxa"/>
          </w:tblCellMar>
        </w:tblPrEx>
        <w:trPr>
          <w:trHeight w:val="870" w:hRule="atLeast"/>
          <w:jc w:val="center"/>
        </w:trPr>
        <w:tc>
          <w:tcPr>
            <w:tcW w:w="1439" w:type="dxa"/>
            <w:vMerge w:val="continue"/>
            <w:tcBorders>
              <w:top w:val="single" w:color="auto" w:sz="4" w:space="0"/>
              <w:left w:val="single" w:color="808080" w:sz="8" w:space="0"/>
              <w:bottom w:val="single" w:color="808080" w:sz="8" w:space="0"/>
              <w:right w:val="single" w:color="808080" w:sz="8" w:space="0"/>
            </w:tcBorders>
            <w:shd w:val="clear" w:color="000000" w:fill="FFFFFF"/>
            <w:vAlign w:val="center"/>
          </w:tcPr>
          <w:p w14:paraId="20D83938"/>
        </w:tc>
        <w:tc>
          <w:tcPr>
            <w:tcW w:w="3260" w:type="dxa"/>
            <w:tcBorders>
              <w:top w:val="single" w:color="auto" w:sz="4" w:space="0"/>
              <w:left w:val="nil"/>
              <w:bottom w:val="single" w:color="auto" w:sz="4" w:space="0"/>
              <w:right w:val="single" w:color="auto" w:sz="4" w:space="0"/>
            </w:tcBorders>
            <w:shd w:val="clear" w:color="000000" w:fill="FFFFFF"/>
            <w:vAlign w:val="center"/>
          </w:tcPr>
          <w:p w14:paraId="27F78646">
            <w:r>
              <w:rPr>
                <w:rFonts w:hint="eastAsia"/>
              </w:rPr>
              <w:t>（二十五）6.2纳税时间</w:t>
            </w:r>
          </w:p>
        </w:tc>
        <w:tc>
          <w:tcPr>
            <w:tcW w:w="6946" w:type="dxa"/>
            <w:vMerge w:val="continue"/>
            <w:tcBorders>
              <w:top w:val="single" w:color="auto" w:sz="4" w:space="0"/>
              <w:left w:val="single" w:color="auto" w:sz="4" w:space="0"/>
              <w:right w:val="single" w:color="808080" w:sz="8" w:space="0"/>
            </w:tcBorders>
            <w:shd w:val="clear" w:color="000000" w:fill="FFFFFF"/>
          </w:tcPr>
          <w:p w14:paraId="57B2724A"/>
        </w:tc>
        <w:tc>
          <w:tcPr>
            <w:tcW w:w="1210" w:type="dxa"/>
            <w:vMerge w:val="continue"/>
            <w:tcBorders>
              <w:top w:val="single" w:color="auto" w:sz="4" w:space="0"/>
              <w:left w:val="single" w:color="auto" w:sz="4" w:space="0"/>
              <w:right w:val="single" w:color="808080" w:sz="8" w:space="0"/>
            </w:tcBorders>
            <w:shd w:val="clear" w:color="000000" w:fill="FFFFFF"/>
          </w:tcPr>
          <w:p w14:paraId="030095BA">
            <w:pPr>
              <w:jc w:val="center"/>
            </w:pPr>
          </w:p>
        </w:tc>
        <w:tc>
          <w:tcPr>
            <w:tcW w:w="1985" w:type="dxa"/>
            <w:vMerge w:val="continue"/>
            <w:tcBorders>
              <w:top w:val="single" w:color="auto" w:sz="4" w:space="0"/>
              <w:left w:val="single" w:color="auto" w:sz="4" w:space="0"/>
              <w:right w:val="single" w:color="808080" w:sz="8" w:space="0"/>
            </w:tcBorders>
            <w:shd w:val="clear" w:color="000000" w:fill="FFFFFF"/>
          </w:tcPr>
          <w:p w14:paraId="181E3DA5"/>
        </w:tc>
      </w:tr>
      <w:tr w14:paraId="2E51C7D8">
        <w:tblPrEx>
          <w:tblCellMar>
            <w:top w:w="0" w:type="dxa"/>
            <w:left w:w="108" w:type="dxa"/>
            <w:bottom w:w="0" w:type="dxa"/>
            <w:right w:w="108" w:type="dxa"/>
          </w:tblCellMar>
        </w:tblPrEx>
        <w:trPr>
          <w:trHeight w:val="870" w:hRule="atLeast"/>
          <w:jc w:val="center"/>
        </w:trPr>
        <w:tc>
          <w:tcPr>
            <w:tcW w:w="1439" w:type="dxa"/>
            <w:vMerge w:val="continue"/>
            <w:tcBorders>
              <w:top w:val="single" w:color="auto" w:sz="4" w:space="0"/>
              <w:left w:val="single" w:color="808080" w:sz="8" w:space="0"/>
              <w:bottom w:val="single" w:color="808080" w:sz="8" w:space="0"/>
              <w:right w:val="single" w:color="808080" w:sz="8" w:space="0"/>
            </w:tcBorders>
            <w:shd w:val="clear" w:color="000000" w:fill="FFFFFF"/>
            <w:vAlign w:val="center"/>
          </w:tcPr>
          <w:p w14:paraId="3F6E80C1"/>
        </w:tc>
        <w:tc>
          <w:tcPr>
            <w:tcW w:w="3260" w:type="dxa"/>
            <w:tcBorders>
              <w:top w:val="single" w:color="auto" w:sz="4" w:space="0"/>
              <w:left w:val="nil"/>
              <w:bottom w:val="single" w:color="auto" w:sz="4" w:space="0"/>
              <w:right w:val="single" w:color="auto" w:sz="4" w:space="0"/>
            </w:tcBorders>
            <w:shd w:val="clear" w:color="000000" w:fill="FFFFFF"/>
            <w:vAlign w:val="center"/>
          </w:tcPr>
          <w:p w14:paraId="270FC28F">
            <w:r>
              <w:rPr>
                <w:rFonts w:hint="eastAsia"/>
              </w:rPr>
              <w:t>（二十六）6.3 总税收和缴费率</w:t>
            </w:r>
          </w:p>
        </w:tc>
        <w:tc>
          <w:tcPr>
            <w:tcW w:w="6946" w:type="dxa"/>
            <w:vMerge w:val="continue"/>
            <w:tcBorders>
              <w:top w:val="single" w:color="auto" w:sz="4" w:space="0"/>
              <w:left w:val="single" w:color="auto" w:sz="4" w:space="0"/>
              <w:right w:val="single" w:color="808080" w:sz="8" w:space="0"/>
            </w:tcBorders>
            <w:shd w:val="clear" w:color="000000" w:fill="FFFFFF"/>
          </w:tcPr>
          <w:p w14:paraId="059F8194"/>
        </w:tc>
        <w:tc>
          <w:tcPr>
            <w:tcW w:w="1210" w:type="dxa"/>
            <w:vMerge w:val="continue"/>
            <w:tcBorders>
              <w:top w:val="single" w:color="auto" w:sz="4" w:space="0"/>
              <w:left w:val="single" w:color="auto" w:sz="4" w:space="0"/>
              <w:right w:val="single" w:color="808080" w:sz="8" w:space="0"/>
            </w:tcBorders>
            <w:shd w:val="clear" w:color="000000" w:fill="FFFFFF"/>
          </w:tcPr>
          <w:p w14:paraId="2AA7705B">
            <w:pPr>
              <w:jc w:val="center"/>
            </w:pPr>
          </w:p>
        </w:tc>
        <w:tc>
          <w:tcPr>
            <w:tcW w:w="1985" w:type="dxa"/>
            <w:vMerge w:val="continue"/>
            <w:tcBorders>
              <w:top w:val="single" w:color="auto" w:sz="4" w:space="0"/>
              <w:left w:val="single" w:color="auto" w:sz="4" w:space="0"/>
              <w:right w:val="single" w:color="808080" w:sz="8" w:space="0"/>
            </w:tcBorders>
            <w:shd w:val="clear" w:color="000000" w:fill="FFFFFF"/>
          </w:tcPr>
          <w:p w14:paraId="4629C9DA"/>
        </w:tc>
      </w:tr>
      <w:tr w14:paraId="447366D5">
        <w:tblPrEx>
          <w:tblCellMar>
            <w:top w:w="0" w:type="dxa"/>
            <w:left w:w="108" w:type="dxa"/>
            <w:bottom w:w="0" w:type="dxa"/>
            <w:right w:w="108" w:type="dxa"/>
          </w:tblCellMar>
        </w:tblPrEx>
        <w:trPr>
          <w:trHeight w:val="870" w:hRule="atLeast"/>
          <w:jc w:val="center"/>
        </w:trPr>
        <w:tc>
          <w:tcPr>
            <w:tcW w:w="1439" w:type="dxa"/>
            <w:vMerge w:val="continue"/>
            <w:tcBorders>
              <w:top w:val="single" w:color="auto" w:sz="4" w:space="0"/>
              <w:left w:val="single" w:color="808080" w:sz="8" w:space="0"/>
              <w:bottom w:val="single" w:color="808080" w:sz="8" w:space="0"/>
              <w:right w:val="single" w:color="808080" w:sz="8" w:space="0"/>
            </w:tcBorders>
            <w:shd w:val="clear" w:color="000000" w:fill="FFFFFF"/>
            <w:vAlign w:val="center"/>
          </w:tcPr>
          <w:p w14:paraId="32897742"/>
        </w:tc>
        <w:tc>
          <w:tcPr>
            <w:tcW w:w="3260" w:type="dxa"/>
            <w:tcBorders>
              <w:top w:val="single" w:color="auto" w:sz="4" w:space="0"/>
              <w:left w:val="nil"/>
              <w:bottom w:val="single" w:color="auto" w:sz="4" w:space="0"/>
              <w:right w:val="single" w:color="auto" w:sz="4" w:space="0"/>
            </w:tcBorders>
            <w:shd w:val="clear" w:color="000000" w:fill="FFFFFF"/>
            <w:vAlign w:val="center"/>
          </w:tcPr>
          <w:p w14:paraId="09266051">
            <w:r>
              <w:rPr>
                <w:rFonts w:hint="eastAsia"/>
              </w:rPr>
              <w:t>（二十七）6.4 报税后流程指数</w:t>
            </w:r>
          </w:p>
        </w:tc>
        <w:tc>
          <w:tcPr>
            <w:tcW w:w="6946" w:type="dxa"/>
            <w:vMerge w:val="continue"/>
            <w:tcBorders>
              <w:top w:val="single" w:color="auto" w:sz="4" w:space="0"/>
              <w:left w:val="single" w:color="auto" w:sz="4" w:space="0"/>
              <w:right w:val="single" w:color="808080" w:sz="8" w:space="0"/>
            </w:tcBorders>
            <w:shd w:val="clear" w:color="000000" w:fill="FFFFFF"/>
          </w:tcPr>
          <w:p w14:paraId="6C5F493F"/>
        </w:tc>
        <w:tc>
          <w:tcPr>
            <w:tcW w:w="1210" w:type="dxa"/>
            <w:vMerge w:val="continue"/>
            <w:tcBorders>
              <w:top w:val="single" w:color="auto" w:sz="4" w:space="0"/>
              <w:left w:val="single" w:color="auto" w:sz="4" w:space="0"/>
              <w:right w:val="single" w:color="808080" w:sz="8" w:space="0"/>
            </w:tcBorders>
            <w:shd w:val="clear" w:color="000000" w:fill="FFFFFF"/>
          </w:tcPr>
          <w:p w14:paraId="0FDB7F04">
            <w:pPr>
              <w:jc w:val="center"/>
            </w:pPr>
          </w:p>
        </w:tc>
        <w:tc>
          <w:tcPr>
            <w:tcW w:w="1985" w:type="dxa"/>
            <w:vMerge w:val="continue"/>
            <w:tcBorders>
              <w:top w:val="single" w:color="auto" w:sz="4" w:space="0"/>
              <w:left w:val="single" w:color="auto" w:sz="4" w:space="0"/>
              <w:right w:val="single" w:color="808080" w:sz="8" w:space="0"/>
            </w:tcBorders>
            <w:shd w:val="clear" w:color="000000" w:fill="FFFFFF"/>
          </w:tcPr>
          <w:p w14:paraId="648EA31D"/>
        </w:tc>
      </w:tr>
      <w:tr w14:paraId="1BF85C41">
        <w:tblPrEx>
          <w:tblCellMar>
            <w:top w:w="0" w:type="dxa"/>
            <w:left w:w="108" w:type="dxa"/>
            <w:bottom w:w="0" w:type="dxa"/>
            <w:right w:w="108" w:type="dxa"/>
          </w:tblCellMar>
        </w:tblPrEx>
        <w:trPr>
          <w:trHeight w:val="467" w:hRule="atLeast"/>
          <w:jc w:val="center"/>
        </w:trPr>
        <w:tc>
          <w:tcPr>
            <w:tcW w:w="1439" w:type="dxa"/>
            <w:vMerge w:val="restart"/>
            <w:tcBorders>
              <w:top w:val="nil"/>
              <w:left w:val="single" w:color="808080" w:sz="8" w:space="0"/>
              <w:bottom w:val="single" w:color="808080" w:sz="8" w:space="0"/>
              <w:right w:val="single" w:color="808080" w:sz="8" w:space="0"/>
            </w:tcBorders>
            <w:shd w:val="clear" w:color="000000" w:fill="FFFFFF"/>
            <w:vAlign w:val="center"/>
          </w:tcPr>
          <w:p w14:paraId="41F104FE">
            <w:r>
              <w:rPr>
                <w:rFonts w:hint="eastAsia"/>
              </w:rPr>
              <w:t>7. 跨境贸易</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78361D39">
            <w:r>
              <w:rPr>
                <w:rFonts w:hint="eastAsia"/>
              </w:rPr>
              <w:t>（二十八）7.1 出口边境审核耗时</w:t>
            </w:r>
          </w:p>
        </w:tc>
        <w:tc>
          <w:tcPr>
            <w:tcW w:w="6946" w:type="dxa"/>
            <w:vMerge w:val="restart"/>
            <w:tcBorders>
              <w:top w:val="single" w:color="auto" w:sz="4" w:space="0"/>
              <w:left w:val="single" w:color="auto" w:sz="4" w:space="0"/>
              <w:right w:val="single" w:color="808080" w:sz="8" w:space="0"/>
            </w:tcBorders>
            <w:shd w:val="clear" w:color="000000" w:fill="FFFFFF"/>
          </w:tcPr>
          <w:p w14:paraId="013DFBAB">
            <w:r>
              <w:rPr>
                <w:rFonts w:hint="eastAsia"/>
              </w:rPr>
              <w:t>该指标衡量的是进岀口货物物流过程的时间和费用。</w:t>
            </w:r>
          </w:p>
          <w:p w14:paraId="7ADEA4D3">
            <w:r>
              <w:rPr>
                <w:rFonts w:hint="eastAsia"/>
              </w:rPr>
              <w:t>7.1、7.2、7.5、7.6边境合规（海关实施的手续、处理与港口/边境操作手续），衡量港口或边界排队等待时间、海关清关称重时间、报关行费用等。边界合规的时间和成本，取决于边界合规程序的发生地、程序的要求者和执行者，以及检查进行的可能性。</w:t>
            </w:r>
          </w:p>
          <w:p w14:paraId="2DBDEE49">
            <w:r>
              <w:rPr>
                <w:rFonts w:hint="eastAsia"/>
              </w:rPr>
              <w:t>7.3、7.4、7.7、7.8单证审核所耗时间和费用，包括获取单证（如获得发放和盖章的文件）、准备单证（如收集信息以完成报关单或原产地证明）、处理单证（如等待有关部门签发植物检疫证书）、展示单证（如向港口部门出示港口码头收据）、提交单证（如人工或以电子方式提交报关单）的时间和费用。</w:t>
            </w:r>
          </w:p>
          <w:p w14:paraId="35FD806E">
            <w:r>
              <w:rPr>
                <w:rFonts w:hint="eastAsia"/>
              </w:rPr>
              <w:t>7.9满意度（便利度），主要围绕相关文件实施情况来衡量跨境贸易的便利程度，所有问题均为选择“是否”类的指数问题或者多选题，填报人根据当地具体情况如实填写问卷，并上传相应政策文件等。</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12D35450">
            <w:pPr>
              <w:jc w:val="center"/>
              <w:rPr>
                <w:rFonts w:asciiTheme="minorEastAsia" w:hAnsiTheme="minorEastAsia"/>
                <w:szCs w:val="21"/>
              </w:rPr>
            </w:pPr>
            <w:r>
              <w:rPr>
                <w:rFonts w:hint="eastAsia" w:cs="仿宋_GB2312" w:asciiTheme="minorEastAsia" w:hAnsiTheme="minorEastAsia"/>
                <w:szCs w:val="21"/>
              </w:rPr>
              <w:t>市商务局</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6906E98D">
            <w:pPr>
              <w:rPr>
                <w:rFonts w:asciiTheme="minorEastAsia" w:hAnsiTheme="minorEastAsia"/>
                <w:szCs w:val="21"/>
              </w:rPr>
            </w:pPr>
            <w:r>
              <w:rPr>
                <w:rFonts w:hint="eastAsia" w:cs="仿宋_GB2312" w:asciiTheme="minorEastAsia" w:hAnsiTheme="minorEastAsia"/>
                <w:szCs w:val="21"/>
              </w:rPr>
              <w:t>鄂州海关、市市场监管局等相关单位</w:t>
            </w:r>
          </w:p>
        </w:tc>
      </w:tr>
      <w:tr w14:paraId="12417058">
        <w:tblPrEx>
          <w:tblCellMar>
            <w:top w:w="0" w:type="dxa"/>
            <w:left w:w="108" w:type="dxa"/>
            <w:bottom w:w="0" w:type="dxa"/>
            <w:right w:w="108" w:type="dxa"/>
          </w:tblCellMar>
        </w:tblPrEx>
        <w:trPr>
          <w:trHeight w:val="468"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2B8F1C04"/>
        </w:tc>
        <w:tc>
          <w:tcPr>
            <w:tcW w:w="3260" w:type="dxa"/>
            <w:tcBorders>
              <w:top w:val="single" w:color="auto" w:sz="4" w:space="0"/>
              <w:left w:val="nil"/>
              <w:bottom w:val="single" w:color="auto" w:sz="4" w:space="0"/>
              <w:right w:val="single" w:color="auto" w:sz="4" w:space="0"/>
            </w:tcBorders>
            <w:shd w:val="clear" w:color="000000" w:fill="FFFFFF"/>
            <w:vAlign w:val="center"/>
          </w:tcPr>
          <w:p w14:paraId="179AAE79">
            <w:r>
              <w:rPr>
                <w:rFonts w:hint="eastAsia"/>
              </w:rPr>
              <w:t>（二十九）7.2 出口边境审核费用</w:t>
            </w:r>
          </w:p>
        </w:tc>
        <w:tc>
          <w:tcPr>
            <w:tcW w:w="6946" w:type="dxa"/>
            <w:vMerge w:val="continue"/>
            <w:tcBorders>
              <w:top w:val="single" w:color="auto" w:sz="4" w:space="0"/>
              <w:left w:val="single" w:color="auto" w:sz="4" w:space="0"/>
              <w:right w:val="single" w:color="808080" w:sz="8" w:space="0"/>
            </w:tcBorders>
            <w:shd w:val="clear" w:color="000000" w:fill="FFFFFF"/>
          </w:tcPr>
          <w:p w14:paraId="27BC900C"/>
        </w:tc>
        <w:tc>
          <w:tcPr>
            <w:tcW w:w="1210" w:type="dxa"/>
            <w:vMerge w:val="continue"/>
            <w:tcBorders>
              <w:top w:val="single" w:color="auto" w:sz="4" w:space="0"/>
              <w:left w:val="single" w:color="auto" w:sz="4" w:space="0"/>
              <w:right w:val="single" w:color="808080" w:sz="8" w:space="0"/>
            </w:tcBorders>
            <w:shd w:val="clear" w:color="000000" w:fill="FFFFFF"/>
          </w:tcPr>
          <w:p w14:paraId="19F69E10"/>
        </w:tc>
        <w:tc>
          <w:tcPr>
            <w:tcW w:w="1985" w:type="dxa"/>
            <w:vMerge w:val="continue"/>
            <w:tcBorders>
              <w:top w:val="single" w:color="auto" w:sz="4" w:space="0"/>
              <w:left w:val="single" w:color="auto" w:sz="4" w:space="0"/>
              <w:right w:val="single" w:color="808080" w:sz="8" w:space="0"/>
            </w:tcBorders>
            <w:shd w:val="clear" w:color="000000" w:fill="FFFFFF"/>
          </w:tcPr>
          <w:p w14:paraId="07BBEEA9"/>
        </w:tc>
      </w:tr>
      <w:tr w14:paraId="2A320AAC">
        <w:tblPrEx>
          <w:tblCellMar>
            <w:top w:w="0" w:type="dxa"/>
            <w:left w:w="108" w:type="dxa"/>
            <w:bottom w:w="0" w:type="dxa"/>
            <w:right w:w="108" w:type="dxa"/>
          </w:tblCellMar>
        </w:tblPrEx>
        <w:trPr>
          <w:trHeight w:val="467"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32930E97"/>
        </w:tc>
        <w:tc>
          <w:tcPr>
            <w:tcW w:w="3260" w:type="dxa"/>
            <w:tcBorders>
              <w:top w:val="single" w:color="auto" w:sz="4" w:space="0"/>
              <w:left w:val="nil"/>
              <w:bottom w:val="single" w:color="auto" w:sz="4" w:space="0"/>
              <w:right w:val="single" w:color="auto" w:sz="4" w:space="0"/>
            </w:tcBorders>
            <w:shd w:val="clear" w:color="000000" w:fill="FFFFFF"/>
            <w:vAlign w:val="center"/>
          </w:tcPr>
          <w:p w14:paraId="23CBE8B3">
            <w:r>
              <w:rPr>
                <w:rFonts w:hint="eastAsia"/>
              </w:rPr>
              <w:t>（三十）7.3 出口单证审核耗时</w:t>
            </w:r>
          </w:p>
        </w:tc>
        <w:tc>
          <w:tcPr>
            <w:tcW w:w="6946" w:type="dxa"/>
            <w:vMerge w:val="continue"/>
            <w:tcBorders>
              <w:top w:val="single" w:color="auto" w:sz="4" w:space="0"/>
              <w:left w:val="single" w:color="auto" w:sz="4" w:space="0"/>
              <w:right w:val="single" w:color="808080" w:sz="8" w:space="0"/>
            </w:tcBorders>
            <w:shd w:val="clear" w:color="000000" w:fill="FFFFFF"/>
          </w:tcPr>
          <w:p w14:paraId="73A3DFAF"/>
        </w:tc>
        <w:tc>
          <w:tcPr>
            <w:tcW w:w="1210" w:type="dxa"/>
            <w:vMerge w:val="continue"/>
            <w:tcBorders>
              <w:top w:val="single" w:color="auto" w:sz="4" w:space="0"/>
              <w:left w:val="single" w:color="auto" w:sz="4" w:space="0"/>
              <w:right w:val="single" w:color="808080" w:sz="8" w:space="0"/>
            </w:tcBorders>
            <w:shd w:val="clear" w:color="000000" w:fill="FFFFFF"/>
          </w:tcPr>
          <w:p w14:paraId="25021C64"/>
        </w:tc>
        <w:tc>
          <w:tcPr>
            <w:tcW w:w="1985" w:type="dxa"/>
            <w:vMerge w:val="continue"/>
            <w:tcBorders>
              <w:top w:val="single" w:color="auto" w:sz="4" w:space="0"/>
              <w:left w:val="single" w:color="auto" w:sz="4" w:space="0"/>
              <w:right w:val="single" w:color="808080" w:sz="8" w:space="0"/>
            </w:tcBorders>
            <w:shd w:val="clear" w:color="000000" w:fill="FFFFFF"/>
          </w:tcPr>
          <w:p w14:paraId="781D9C2E"/>
        </w:tc>
      </w:tr>
      <w:tr w14:paraId="5155CAD7">
        <w:tblPrEx>
          <w:tblCellMar>
            <w:top w:w="0" w:type="dxa"/>
            <w:left w:w="108" w:type="dxa"/>
            <w:bottom w:w="0" w:type="dxa"/>
            <w:right w:w="108" w:type="dxa"/>
          </w:tblCellMar>
        </w:tblPrEx>
        <w:trPr>
          <w:trHeight w:val="468"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572C5311"/>
        </w:tc>
        <w:tc>
          <w:tcPr>
            <w:tcW w:w="3260" w:type="dxa"/>
            <w:tcBorders>
              <w:top w:val="single" w:color="auto" w:sz="4" w:space="0"/>
              <w:left w:val="nil"/>
              <w:bottom w:val="single" w:color="auto" w:sz="4" w:space="0"/>
              <w:right w:val="single" w:color="auto" w:sz="4" w:space="0"/>
            </w:tcBorders>
            <w:shd w:val="clear" w:color="000000" w:fill="FFFFFF"/>
            <w:vAlign w:val="center"/>
          </w:tcPr>
          <w:p w14:paraId="2A82EE54">
            <w:r>
              <w:rPr>
                <w:rFonts w:hint="eastAsia"/>
              </w:rPr>
              <w:t>（三十一）7.4 出口单证审核费用</w:t>
            </w:r>
          </w:p>
        </w:tc>
        <w:tc>
          <w:tcPr>
            <w:tcW w:w="6946" w:type="dxa"/>
            <w:vMerge w:val="continue"/>
            <w:tcBorders>
              <w:top w:val="single" w:color="auto" w:sz="4" w:space="0"/>
              <w:left w:val="single" w:color="auto" w:sz="4" w:space="0"/>
              <w:right w:val="single" w:color="808080" w:sz="8" w:space="0"/>
            </w:tcBorders>
            <w:shd w:val="clear" w:color="000000" w:fill="FFFFFF"/>
          </w:tcPr>
          <w:p w14:paraId="1687F613"/>
        </w:tc>
        <w:tc>
          <w:tcPr>
            <w:tcW w:w="1210" w:type="dxa"/>
            <w:vMerge w:val="continue"/>
            <w:tcBorders>
              <w:top w:val="single" w:color="auto" w:sz="4" w:space="0"/>
              <w:left w:val="single" w:color="auto" w:sz="4" w:space="0"/>
              <w:right w:val="single" w:color="808080" w:sz="8" w:space="0"/>
            </w:tcBorders>
            <w:shd w:val="clear" w:color="000000" w:fill="FFFFFF"/>
          </w:tcPr>
          <w:p w14:paraId="75C70652"/>
        </w:tc>
        <w:tc>
          <w:tcPr>
            <w:tcW w:w="1985" w:type="dxa"/>
            <w:vMerge w:val="continue"/>
            <w:tcBorders>
              <w:top w:val="single" w:color="auto" w:sz="4" w:space="0"/>
              <w:left w:val="single" w:color="auto" w:sz="4" w:space="0"/>
              <w:right w:val="single" w:color="808080" w:sz="8" w:space="0"/>
            </w:tcBorders>
            <w:shd w:val="clear" w:color="000000" w:fill="FFFFFF"/>
          </w:tcPr>
          <w:p w14:paraId="0DA38FFE"/>
        </w:tc>
      </w:tr>
      <w:tr w14:paraId="1E8DAE85">
        <w:tblPrEx>
          <w:tblCellMar>
            <w:top w:w="0" w:type="dxa"/>
            <w:left w:w="108" w:type="dxa"/>
            <w:bottom w:w="0" w:type="dxa"/>
            <w:right w:w="108" w:type="dxa"/>
          </w:tblCellMar>
        </w:tblPrEx>
        <w:trPr>
          <w:trHeight w:val="467"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078D3473"/>
        </w:tc>
        <w:tc>
          <w:tcPr>
            <w:tcW w:w="3260" w:type="dxa"/>
            <w:tcBorders>
              <w:top w:val="single" w:color="auto" w:sz="4" w:space="0"/>
              <w:left w:val="nil"/>
              <w:bottom w:val="single" w:color="auto" w:sz="4" w:space="0"/>
              <w:right w:val="single" w:color="auto" w:sz="4" w:space="0"/>
            </w:tcBorders>
            <w:shd w:val="clear" w:color="000000" w:fill="FFFFFF"/>
            <w:vAlign w:val="center"/>
          </w:tcPr>
          <w:p w14:paraId="0FA56BFB">
            <w:r>
              <w:rPr>
                <w:rFonts w:hint="eastAsia"/>
              </w:rPr>
              <w:t>（三十二）7.5 进口边境审核耗时</w:t>
            </w:r>
          </w:p>
        </w:tc>
        <w:tc>
          <w:tcPr>
            <w:tcW w:w="6946" w:type="dxa"/>
            <w:vMerge w:val="continue"/>
            <w:tcBorders>
              <w:top w:val="single" w:color="auto" w:sz="4" w:space="0"/>
              <w:left w:val="single" w:color="auto" w:sz="4" w:space="0"/>
              <w:right w:val="single" w:color="808080" w:sz="8" w:space="0"/>
            </w:tcBorders>
            <w:shd w:val="clear" w:color="000000" w:fill="FFFFFF"/>
          </w:tcPr>
          <w:p w14:paraId="3F1BE87E"/>
        </w:tc>
        <w:tc>
          <w:tcPr>
            <w:tcW w:w="1210" w:type="dxa"/>
            <w:vMerge w:val="continue"/>
            <w:tcBorders>
              <w:top w:val="single" w:color="auto" w:sz="4" w:space="0"/>
              <w:left w:val="single" w:color="auto" w:sz="4" w:space="0"/>
              <w:right w:val="single" w:color="808080" w:sz="8" w:space="0"/>
            </w:tcBorders>
            <w:shd w:val="clear" w:color="000000" w:fill="FFFFFF"/>
          </w:tcPr>
          <w:p w14:paraId="766629C1"/>
        </w:tc>
        <w:tc>
          <w:tcPr>
            <w:tcW w:w="1985" w:type="dxa"/>
            <w:vMerge w:val="continue"/>
            <w:tcBorders>
              <w:top w:val="single" w:color="auto" w:sz="4" w:space="0"/>
              <w:left w:val="single" w:color="auto" w:sz="4" w:space="0"/>
              <w:right w:val="single" w:color="808080" w:sz="8" w:space="0"/>
            </w:tcBorders>
            <w:shd w:val="clear" w:color="000000" w:fill="FFFFFF"/>
          </w:tcPr>
          <w:p w14:paraId="35AA7CD2"/>
        </w:tc>
      </w:tr>
      <w:tr w14:paraId="175AF2D7">
        <w:tblPrEx>
          <w:tblCellMar>
            <w:top w:w="0" w:type="dxa"/>
            <w:left w:w="108" w:type="dxa"/>
            <w:bottom w:w="0" w:type="dxa"/>
            <w:right w:w="108" w:type="dxa"/>
          </w:tblCellMar>
        </w:tblPrEx>
        <w:trPr>
          <w:trHeight w:val="468"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149B2A87"/>
        </w:tc>
        <w:tc>
          <w:tcPr>
            <w:tcW w:w="3260" w:type="dxa"/>
            <w:tcBorders>
              <w:top w:val="single" w:color="auto" w:sz="4" w:space="0"/>
              <w:left w:val="nil"/>
              <w:bottom w:val="single" w:color="auto" w:sz="4" w:space="0"/>
              <w:right w:val="single" w:color="auto" w:sz="4" w:space="0"/>
            </w:tcBorders>
            <w:shd w:val="clear" w:color="000000" w:fill="FFFFFF"/>
            <w:vAlign w:val="center"/>
          </w:tcPr>
          <w:p w14:paraId="7714F8B0">
            <w:r>
              <w:rPr>
                <w:rFonts w:hint="eastAsia"/>
              </w:rPr>
              <w:t>（三十三）7.6 进口边境审核费用</w:t>
            </w:r>
          </w:p>
        </w:tc>
        <w:tc>
          <w:tcPr>
            <w:tcW w:w="6946" w:type="dxa"/>
            <w:vMerge w:val="continue"/>
            <w:tcBorders>
              <w:top w:val="single" w:color="auto" w:sz="4" w:space="0"/>
              <w:left w:val="single" w:color="auto" w:sz="4" w:space="0"/>
              <w:right w:val="single" w:color="808080" w:sz="8" w:space="0"/>
            </w:tcBorders>
            <w:shd w:val="clear" w:color="000000" w:fill="FFFFFF"/>
          </w:tcPr>
          <w:p w14:paraId="4CB9A5F7"/>
        </w:tc>
        <w:tc>
          <w:tcPr>
            <w:tcW w:w="1210" w:type="dxa"/>
            <w:vMerge w:val="continue"/>
            <w:tcBorders>
              <w:top w:val="single" w:color="auto" w:sz="4" w:space="0"/>
              <w:left w:val="single" w:color="auto" w:sz="4" w:space="0"/>
              <w:right w:val="single" w:color="808080" w:sz="8" w:space="0"/>
            </w:tcBorders>
            <w:shd w:val="clear" w:color="000000" w:fill="FFFFFF"/>
          </w:tcPr>
          <w:p w14:paraId="2B55F54E"/>
        </w:tc>
        <w:tc>
          <w:tcPr>
            <w:tcW w:w="1985" w:type="dxa"/>
            <w:vMerge w:val="continue"/>
            <w:tcBorders>
              <w:top w:val="single" w:color="auto" w:sz="4" w:space="0"/>
              <w:left w:val="single" w:color="auto" w:sz="4" w:space="0"/>
              <w:right w:val="single" w:color="808080" w:sz="8" w:space="0"/>
            </w:tcBorders>
            <w:shd w:val="clear" w:color="000000" w:fill="FFFFFF"/>
          </w:tcPr>
          <w:p w14:paraId="5B8AC0BB"/>
        </w:tc>
      </w:tr>
      <w:tr w14:paraId="2D063D87">
        <w:tblPrEx>
          <w:tblCellMar>
            <w:top w:w="0" w:type="dxa"/>
            <w:left w:w="108" w:type="dxa"/>
            <w:bottom w:w="0" w:type="dxa"/>
            <w:right w:w="108" w:type="dxa"/>
          </w:tblCellMar>
        </w:tblPrEx>
        <w:trPr>
          <w:trHeight w:val="467"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3AAB452F"/>
        </w:tc>
        <w:tc>
          <w:tcPr>
            <w:tcW w:w="3260" w:type="dxa"/>
            <w:tcBorders>
              <w:top w:val="single" w:color="auto" w:sz="4" w:space="0"/>
              <w:left w:val="nil"/>
              <w:bottom w:val="single" w:color="auto" w:sz="4" w:space="0"/>
              <w:right w:val="single" w:color="auto" w:sz="4" w:space="0"/>
            </w:tcBorders>
            <w:shd w:val="clear" w:color="000000" w:fill="FFFFFF"/>
            <w:vAlign w:val="center"/>
          </w:tcPr>
          <w:p w14:paraId="08B6DF30">
            <w:r>
              <w:rPr>
                <w:rFonts w:hint="eastAsia"/>
              </w:rPr>
              <w:t>（三十四）7.7 进口单证审核耗时</w:t>
            </w:r>
          </w:p>
        </w:tc>
        <w:tc>
          <w:tcPr>
            <w:tcW w:w="6946" w:type="dxa"/>
            <w:vMerge w:val="continue"/>
            <w:tcBorders>
              <w:top w:val="single" w:color="auto" w:sz="4" w:space="0"/>
              <w:left w:val="single" w:color="auto" w:sz="4" w:space="0"/>
              <w:right w:val="single" w:color="808080" w:sz="8" w:space="0"/>
            </w:tcBorders>
            <w:shd w:val="clear" w:color="000000" w:fill="FFFFFF"/>
          </w:tcPr>
          <w:p w14:paraId="75FAFE4A"/>
        </w:tc>
        <w:tc>
          <w:tcPr>
            <w:tcW w:w="1210" w:type="dxa"/>
            <w:vMerge w:val="continue"/>
            <w:tcBorders>
              <w:top w:val="single" w:color="auto" w:sz="4" w:space="0"/>
              <w:left w:val="single" w:color="auto" w:sz="4" w:space="0"/>
              <w:right w:val="single" w:color="808080" w:sz="8" w:space="0"/>
            </w:tcBorders>
            <w:shd w:val="clear" w:color="000000" w:fill="FFFFFF"/>
          </w:tcPr>
          <w:p w14:paraId="6A33F82C"/>
        </w:tc>
        <w:tc>
          <w:tcPr>
            <w:tcW w:w="1985" w:type="dxa"/>
            <w:vMerge w:val="continue"/>
            <w:tcBorders>
              <w:left w:val="single" w:color="auto" w:sz="4" w:space="0"/>
              <w:right w:val="single" w:color="808080" w:sz="8" w:space="0"/>
            </w:tcBorders>
            <w:shd w:val="clear" w:color="000000" w:fill="FFFFFF"/>
          </w:tcPr>
          <w:p w14:paraId="6EF29955"/>
        </w:tc>
      </w:tr>
      <w:tr w14:paraId="41A40D47">
        <w:tblPrEx>
          <w:tblCellMar>
            <w:top w:w="0" w:type="dxa"/>
            <w:left w:w="108" w:type="dxa"/>
            <w:bottom w:w="0" w:type="dxa"/>
            <w:right w:w="108" w:type="dxa"/>
          </w:tblCellMar>
        </w:tblPrEx>
        <w:trPr>
          <w:trHeight w:val="468"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5D389964"/>
        </w:tc>
        <w:tc>
          <w:tcPr>
            <w:tcW w:w="3260" w:type="dxa"/>
            <w:tcBorders>
              <w:top w:val="single" w:color="auto" w:sz="4" w:space="0"/>
              <w:left w:val="nil"/>
              <w:bottom w:val="single" w:color="auto" w:sz="4" w:space="0"/>
              <w:right w:val="single" w:color="auto" w:sz="4" w:space="0"/>
            </w:tcBorders>
            <w:shd w:val="clear" w:color="000000" w:fill="FFFFFF"/>
            <w:vAlign w:val="center"/>
          </w:tcPr>
          <w:p w14:paraId="73406B1E">
            <w:r>
              <w:rPr>
                <w:rFonts w:hint="eastAsia"/>
              </w:rPr>
              <w:t>（三十五）7.8 进口单证审核费用</w:t>
            </w:r>
          </w:p>
        </w:tc>
        <w:tc>
          <w:tcPr>
            <w:tcW w:w="6946" w:type="dxa"/>
            <w:vMerge w:val="continue"/>
            <w:tcBorders>
              <w:top w:val="single" w:color="auto" w:sz="4" w:space="0"/>
              <w:left w:val="single" w:color="auto" w:sz="4" w:space="0"/>
              <w:right w:val="single" w:color="808080" w:sz="8" w:space="0"/>
            </w:tcBorders>
            <w:shd w:val="clear" w:color="000000" w:fill="FFFFFF"/>
          </w:tcPr>
          <w:p w14:paraId="67066342"/>
        </w:tc>
        <w:tc>
          <w:tcPr>
            <w:tcW w:w="1210" w:type="dxa"/>
            <w:vMerge w:val="continue"/>
            <w:tcBorders>
              <w:top w:val="single" w:color="auto" w:sz="4" w:space="0"/>
              <w:left w:val="single" w:color="auto" w:sz="4" w:space="0"/>
              <w:right w:val="single" w:color="808080" w:sz="8" w:space="0"/>
            </w:tcBorders>
            <w:shd w:val="clear" w:color="000000" w:fill="FFFFFF"/>
          </w:tcPr>
          <w:p w14:paraId="5CC6276D"/>
        </w:tc>
        <w:tc>
          <w:tcPr>
            <w:tcW w:w="1985" w:type="dxa"/>
            <w:vMerge w:val="continue"/>
            <w:tcBorders>
              <w:left w:val="single" w:color="auto" w:sz="4" w:space="0"/>
              <w:right w:val="single" w:color="808080" w:sz="8" w:space="0"/>
            </w:tcBorders>
            <w:shd w:val="clear" w:color="000000" w:fill="FFFFFF"/>
          </w:tcPr>
          <w:p w14:paraId="424282BD"/>
        </w:tc>
      </w:tr>
      <w:tr w14:paraId="46E3EB3B">
        <w:tblPrEx>
          <w:tblCellMar>
            <w:top w:w="0" w:type="dxa"/>
            <w:left w:w="108" w:type="dxa"/>
            <w:bottom w:w="0" w:type="dxa"/>
            <w:right w:w="108" w:type="dxa"/>
          </w:tblCellMar>
        </w:tblPrEx>
        <w:trPr>
          <w:trHeight w:val="468"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26294489"/>
        </w:tc>
        <w:tc>
          <w:tcPr>
            <w:tcW w:w="3260" w:type="dxa"/>
            <w:tcBorders>
              <w:top w:val="single" w:color="auto" w:sz="4" w:space="0"/>
              <w:left w:val="nil"/>
              <w:bottom w:val="single" w:color="auto" w:sz="4" w:space="0"/>
              <w:right w:val="single" w:color="auto" w:sz="4" w:space="0"/>
            </w:tcBorders>
            <w:shd w:val="clear" w:color="000000" w:fill="FFFFFF"/>
            <w:vAlign w:val="center"/>
          </w:tcPr>
          <w:p w14:paraId="31D57BF0">
            <w:r>
              <w:rPr>
                <w:rFonts w:hint="eastAsia"/>
              </w:rPr>
              <w:t>（三十六）7.9满意度</w:t>
            </w:r>
          </w:p>
        </w:tc>
        <w:tc>
          <w:tcPr>
            <w:tcW w:w="6946" w:type="dxa"/>
            <w:vMerge w:val="continue"/>
            <w:tcBorders>
              <w:top w:val="single" w:color="auto" w:sz="4" w:space="0"/>
              <w:left w:val="single" w:color="auto" w:sz="4" w:space="0"/>
              <w:bottom w:val="single" w:color="auto" w:sz="4" w:space="0"/>
              <w:right w:val="single" w:color="808080" w:sz="8" w:space="0"/>
            </w:tcBorders>
            <w:shd w:val="clear" w:color="000000" w:fill="FFFFFF"/>
          </w:tcPr>
          <w:p w14:paraId="535C1786"/>
        </w:tc>
        <w:tc>
          <w:tcPr>
            <w:tcW w:w="1210" w:type="dxa"/>
            <w:vMerge w:val="continue"/>
            <w:tcBorders>
              <w:top w:val="single" w:color="auto" w:sz="4" w:space="0"/>
              <w:left w:val="single" w:color="auto" w:sz="4" w:space="0"/>
              <w:bottom w:val="single" w:color="auto" w:sz="4" w:space="0"/>
              <w:right w:val="single" w:color="808080" w:sz="8" w:space="0"/>
            </w:tcBorders>
            <w:shd w:val="clear" w:color="000000" w:fill="FFFFFF"/>
          </w:tcPr>
          <w:p w14:paraId="11B04BFA"/>
        </w:tc>
        <w:tc>
          <w:tcPr>
            <w:tcW w:w="1985" w:type="dxa"/>
            <w:vMerge w:val="continue"/>
            <w:tcBorders>
              <w:left w:val="single" w:color="auto" w:sz="4" w:space="0"/>
              <w:bottom w:val="single" w:color="auto" w:sz="4" w:space="0"/>
              <w:right w:val="single" w:color="808080" w:sz="8" w:space="0"/>
            </w:tcBorders>
            <w:shd w:val="clear" w:color="000000" w:fill="FFFFFF"/>
          </w:tcPr>
          <w:p w14:paraId="4FFD6C0D"/>
        </w:tc>
      </w:tr>
      <w:tr w14:paraId="1B696A23">
        <w:tblPrEx>
          <w:tblCellMar>
            <w:top w:w="0" w:type="dxa"/>
            <w:left w:w="108" w:type="dxa"/>
            <w:bottom w:w="0" w:type="dxa"/>
            <w:right w:w="108" w:type="dxa"/>
          </w:tblCellMar>
        </w:tblPrEx>
        <w:trPr>
          <w:trHeight w:val="838" w:hRule="atLeast"/>
          <w:jc w:val="center"/>
        </w:trPr>
        <w:tc>
          <w:tcPr>
            <w:tcW w:w="1439" w:type="dxa"/>
            <w:vMerge w:val="restart"/>
            <w:tcBorders>
              <w:top w:val="single" w:color="auto" w:sz="4" w:space="0"/>
              <w:left w:val="single" w:color="808080" w:sz="8" w:space="0"/>
              <w:right w:val="single" w:color="808080" w:sz="8" w:space="0"/>
            </w:tcBorders>
            <w:shd w:val="clear" w:color="000000" w:fill="FFFFFF"/>
            <w:vAlign w:val="center"/>
          </w:tcPr>
          <w:p w14:paraId="17FE06CE">
            <w:r>
              <w:rPr>
                <w:rFonts w:hint="eastAsia"/>
              </w:rPr>
              <w:t>8. 办理破产</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6CCC780C">
            <w:pPr>
              <w:rPr>
                <w:rFonts w:asciiTheme="minorEastAsia" w:hAnsiTheme="minorEastAsia"/>
                <w:szCs w:val="21"/>
              </w:rPr>
            </w:pPr>
            <w:r>
              <w:rPr>
                <w:rFonts w:hint="eastAsia"/>
              </w:rPr>
              <w:t>（三十七）8.1</w:t>
            </w:r>
            <w:r>
              <w:rPr>
                <w:rFonts w:hint="eastAsia" w:cs="仿宋_GB2312" w:asciiTheme="minorEastAsia" w:hAnsiTheme="minorEastAsia"/>
                <w:szCs w:val="21"/>
              </w:rPr>
              <w:t>收回债务所需时间</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56FBA2A6">
            <w:r>
              <w:rPr>
                <w:rFonts w:hint="eastAsia"/>
              </w:rPr>
              <w:t>该指标衡量的是国内企业破产程序的时间、成本和结果，以及适用于清算和重组程序的法律框架。</w:t>
            </w:r>
          </w:p>
          <w:p w14:paraId="75FB9039">
            <w:r>
              <w:rPr>
                <w:rFonts w:hint="eastAsia"/>
              </w:rPr>
              <w:t>8.1债权人（银行）收回债务（贷款）所需时间，指从该企业违约到归还债权人（银行）部分或全部款项的时间。</w:t>
            </w:r>
          </w:p>
          <w:p w14:paraId="5FC7B74D">
            <w:r>
              <w:rPr>
                <w:rFonts w:hint="eastAsia"/>
              </w:rPr>
              <w:t>8.2收回债务所需成本，包括破产司法成本和资产成本。</w:t>
            </w:r>
          </w:p>
          <w:p w14:paraId="39C6C18B">
            <w:r>
              <w:rPr>
                <w:rFonts w:hint="eastAsia"/>
              </w:rPr>
              <w:t>8.3债权人（银行）回收率，指银行通过破产清算方式收回的资金占银行贷款的比例（需扣除破产司法成本、资产成本）。</w:t>
            </w:r>
          </w:p>
          <w:p w14:paraId="02511CB8">
            <w:r>
              <w:rPr>
                <w:rFonts w:hint="eastAsia"/>
              </w:rPr>
              <w:t>8.4破产法律框架质量指数，衡量的是破产法律体系中破产程序启动、债务人资产管理、债权人参与程度等情况。</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60519BE9">
            <w:pPr>
              <w:jc w:val="center"/>
              <w:rPr>
                <w:rFonts w:asciiTheme="minorEastAsia" w:hAnsiTheme="minorEastAsia"/>
                <w:szCs w:val="21"/>
              </w:rPr>
            </w:pPr>
            <w:r>
              <w:rPr>
                <w:rFonts w:hint="eastAsia" w:cs="仿宋_GB2312" w:asciiTheme="minorEastAsia" w:hAnsiTheme="minorEastAsia"/>
                <w:szCs w:val="21"/>
              </w:rPr>
              <w:t>市法院</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3309F01C">
            <w:pPr>
              <w:rPr>
                <w:rFonts w:asciiTheme="minorEastAsia" w:hAnsiTheme="minorEastAsia"/>
                <w:szCs w:val="21"/>
              </w:rPr>
            </w:pPr>
            <w:r>
              <w:rPr>
                <w:rFonts w:hint="eastAsia" w:cs="仿宋_GB2312" w:asciiTheme="minorEastAsia" w:hAnsiTheme="minorEastAsia"/>
                <w:szCs w:val="21"/>
              </w:rPr>
              <w:t>市司法局等相关单位</w:t>
            </w:r>
          </w:p>
        </w:tc>
      </w:tr>
      <w:tr w14:paraId="1ACED6C8">
        <w:tblPrEx>
          <w:tblCellMar>
            <w:top w:w="0" w:type="dxa"/>
            <w:left w:w="108" w:type="dxa"/>
            <w:bottom w:w="0" w:type="dxa"/>
            <w:right w:w="108" w:type="dxa"/>
          </w:tblCellMar>
        </w:tblPrEx>
        <w:trPr>
          <w:trHeight w:val="838" w:hRule="atLeast"/>
          <w:jc w:val="center"/>
        </w:trPr>
        <w:tc>
          <w:tcPr>
            <w:tcW w:w="1439" w:type="dxa"/>
            <w:vMerge w:val="continue"/>
            <w:tcBorders>
              <w:left w:val="single" w:color="808080" w:sz="8" w:space="0"/>
              <w:right w:val="single" w:color="808080" w:sz="8" w:space="0"/>
            </w:tcBorders>
            <w:shd w:val="clear" w:color="000000" w:fill="FFFFFF"/>
            <w:vAlign w:val="center"/>
          </w:tcPr>
          <w:p w14:paraId="3DBE62EF"/>
        </w:tc>
        <w:tc>
          <w:tcPr>
            <w:tcW w:w="3260" w:type="dxa"/>
            <w:tcBorders>
              <w:top w:val="single" w:color="auto" w:sz="4" w:space="0"/>
              <w:left w:val="nil"/>
              <w:bottom w:val="single" w:color="auto" w:sz="4" w:space="0"/>
              <w:right w:val="single" w:color="auto" w:sz="4" w:space="0"/>
            </w:tcBorders>
            <w:shd w:val="clear" w:color="000000" w:fill="FFFFFF"/>
            <w:vAlign w:val="center"/>
          </w:tcPr>
          <w:p w14:paraId="0E0489C4">
            <w:pPr>
              <w:rPr>
                <w:rFonts w:asciiTheme="minorEastAsia" w:hAnsiTheme="minorEastAsia"/>
                <w:szCs w:val="21"/>
              </w:rPr>
            </w:pPr>
            <w:r>
              <w:rPr>
                <w:rFonts w:hint="eastAsia"/>
              </w:rPr>
              <w:t>（三十八）8.2</w:t>
            </w:r>
            <w:r>
              <w:rPr>
                <w:rFonts w:hint="eastAsia" w:cs="仿宋_GB2312" w:asciiTheme="minorEastAsia" w:hAnsiTheme="minorEastAsia"/>
                <w:szCs w:val="21"/>
              </w:rPr>
              <w:t>收回债务所需成本</w:t>
            </w:r>
          </w:p>
        </w:tc>
        <w:tc>
          <w:tcPr>
            <w:tcW w:w="6946" w:type="dxa"/>
            <w:vMerge w:val="continue"/>
            <w:tcBorders>
              <w:left w:val="single" w:color="auto" w:sz="4" w:space="0"/>
              <w:right w:val="single" w:color="808080" w:sz="8" w:space="0"/>
            </w:tcBorders>
            <w:shd w:val="clear" w:color="000000" w:fill="FFFFFF"/>
            <w:vAlign w:val="center"/>
          </w:tcPr>
          <w:p w14:paraId="71FD475B"/>
        </w:tc>
        <w:tc>
          <w:tcPr>
            <w:tcW w:w="1210" w:type="dxa"/>
            <w:vMerge w:val="continue"/>
            <w:tcBorders>
              <w:left w:val="single" w:color="auto" w:sz="4" w:space="0"/>
              <w:right w:val="single" w:color="808080" w:sz="8" w:space="0"/>
            </w:tcBorders>
            <w:shd w:val="clear" w:color="000000" w:fill="FFFFFF"/>
          </w:tcPr>
          <w:p w14:paraId="29BE4E16"/>
        </w:tc>
        <w:tc>
          <w:tcPr>
            <w:tcW w:w="1985" w:type="dxa"/>
            <w:vMerge w:val="continue"/>
            <w:tcBorders>
              <w:left w:val="single" w:color="auto" w:sz="4" w:space="0"/>
              <w:right w:val="single" w:color="808080" w:sz="8" w:space="0"/>
            </w:tcBorders>
            <w:shd w:val="clear" w:color="000000" w:fill="FFFFFF"/>
          </w:tcPr>
          <w:p w14:paraId="458DE147"/>
        </w:tc>
      </w:tr>
      <w:tr w14:paraId="6B451EF5">
        <w:tblPrEx>
          <w:tblCellMar>
            <w:top w:w="0" w:type="dxa"/>
            <w:left w:w="108" w:type="dxa"/>
            <w:bottom w:w="0" w:type="dxa"/>
            <w:right w:w="108" w:type="dxa"/>
          </w:tblCellMar>
        </w:tblPrEx>
        <w:trPr>
          <w:trHeight w:val="838" w:hRule="atLeast"/>
          <w:jc w:val="center"/>
        </w:trPr>
        <w:tc>
          <w:tcPr>
            <w:tcW w:w="1439" w:type="dxa"/>
            <w:vMerge w:val="continue"/>
            <w:tcBorders>
              <w:left w:val="single" w:color="808080" w:sz="8" w:space="0"/>
              <w:right w:val="single" w:color="808080" w:sz="8" w:space="0"/>
            </w:tcBorders>
            <w:shd w:val="clear" w:color="000000" w:fill="FFFFFF"/>
            <w:vAlign w:val="center"/>
          </w:tcPr>
          <w:p w14:paraId="40E81FF5"/>
        </w:tc>
        <w:tc>
          <w:tcPr>
            <w:tcW w:w="3260" w:type="dxa"/>
            <w:tcBorders>
              <w:top w:val="single" w:color="auto" w:sz="4" w:space="0"/>
              <w:left w:val="nil"/>
              <w:bottom w:val="single" w:color="auto" w:sz="4" w:space="0"/>
              <w:right w:val="single" w:color="auto" w:sz="4" w:space="0"/>
            </w:tcBorders>
            <w:shd w:val="clear" w:color="000000" w:fill="FFFFFF"/>
            <w:vAlign w:val="center"/>
          </w:tcPr>
          <w:p w14:paraId="6BB83F0F">
            <w:pPr>
              <w:rPr>
                <w:rFonts w:asciiTheme="minorEastAsia" w:hAnsiTheme="minorEastAsia"/>
                <w:szCs w:val="21"/>
              </w:rPr>
            </w:pPr>
            <w:r>
              <w:rPr>
                <w:rFonts w:hint="eastAsia"/>
              </w:rPr>
              <w:t>（三十九）8.3</w:t>
            </w:r>
            <w:r>
              <w:rPr>
                <w:rFonts w:hint="eastAsia" w:cs="仿宋_GB2312" w:asciiTheme="minorEastAsia" w:hAnsiTheme="minorEastAsia"/>
                <w:szCs w:val="21"/>
              </w:rPr>
              <w:t>债权人回收率</w:t>
            </w:r>
          </w:p>
        </w:tc>
        <w:tc>
          <w:tcPr>
            <w:tcW w:w="6946" w:type="dxa"/>
            <w:vMerge w:val="continue"/>
            <w:tcBorders>
              <w:left w:val="single" w:color="auto" w:sz="4" w:space="0"/>
              <w:right w:val="single" w:color="808080" w:sz="8" w:space="0"/>
            </w:tcBorders>
            <w:shd w:val="clear" w:color="000000" w:fill="FFFFFF"/>
            <w:vAlign w:val="center"/>
          </w:tcPr>
          <w:p w14:paraId="24B62322"/>
        </w:tc>
        <w:tc>
          <w:tcPr>
            <w:tcW w:w="1210" w:type="dxa"/>
            <w:vMerge w:val="continue"/>
            <w:tcBorders>
              <w:left w:val="single" w:color="auto" w:sz="4" w:space="0"/>
              <w:right w:val="single" w:color="808080" w:sz="8" w:space="0"/>
            </w:tcBorders>
            <w:shd w:val="clear" w:color="000000" w:fill="FFFFFF"/>
          </w:tcPr>
          <w:p w14:paraId="0338E7B0"/>
        </w:tc>
        <w:tc>
          <w:tcPr>
            <w:tcW w:w="1985" w:type="dxa"/>
            <w:vMerge w:val="continue"/>
            <w:tcBorders>
              <w:left w:val="single" w:color="auto" w:sz="4" w:space="0"/>
              <w:right w:val="single" w:color="808080" w:sz="8" w:space="0"/>
            </w:tcBorders>
            <w:shd w:val="clear" w:color="000000" w:fill="FFFFFF"/>
          </w:tcPr>
          <w:p w14:paraId="7B8E4A0A"/>
        </w:tc>
      </w:tr>
      <w:tr w14:paraId="1496939E">
        <w:tblPrEx>
          <w:tblCellMar>
            <w:top w:w="0" w:type="dxa"/>
            <w:left w:w="108" w:type="dxa"/>
            <w:bottom w:w="0" w:type="dxa"/>
            <w:right w:w="108" w:type="dxa"/>
          </w:tblCellMar>
        </w:tblPrEx>
        <w:trPr>
          <w:trHeight w:val="838" w:hRule="atLeast"/>
          <w:jc w:val="center"/>
        </w:trPr>
        <w:tc>
          <w:tcPr>
            <w:tcW w:w="1439" w:type="dxa"/>
            <w:vMerge w:val="continue"/>
            <w:tcBorders>
              <w:left w:val="single" w:color="808080" w:sz="8" w:space="0"/>
              <w:bottom w:val="single" w:color="808080" w:sz="8" w:space="0"/>
              <w:right w:val="single" w:color="808080" w:sz="8" w:space="0"/>
            </w:tcBorders>
            <w:shd w:val="clear" w:color="000000" w:fill="FFFFFF"/>
            <w:vAlign w:val="center"/>
          </w:tcPr>
          <w:p w14:paraId="3EAC8645"/>
        </w:tc>
        <w:tc>
          <w:tcPr>
            <w:tcW w:w="3260" w:type="dxa"/>
            <w:tcBorders>
              <w:top w:val="single" w:color="auto" w:sz="4" w:space="0"/>
              <w:left w:val="nil"/>
              <w:bottom w:val="single" w:color="auto" w:sz="4" w:space="0"/>
              <w:right w:val="single" w:color="auto" w:sz="4" w:space="0"/>
            </w:tcBorders>
            <w:shd w:val="clear" w:color="000000" w:fill="FFFFFF"/>
            <w:vAlign w:val="center"/>
          </w:tcPr>
          <w:p w14:paraId="747548A8">
            <w:r>
              <w:rPr>
                <w:rFonts w:hint="eastAsia"/>
              </w:rPr>
              <w:t>（四十）8.4 破产法律框架的质量指数</w:t>
            </w:r>
          </w:p>
        </w:tc>
        <w:tc>
          <w:tcPr>
            <w:tcW w:w="6946" w:type="dxa"/>
            <w:vMerge w:val="continue"/>
            <w:tcBorders>
              <w:left w:val="single" w:color="auto" w:sz="4" w:space="0"/>
              <w:right w:val="single" w:color="808080" w:sz="8" w:space="0"/>
            </w:tcBorders>
            <w:shd w:val="clear" w:color="000000" w:fill="FFFFFF"/>
            <w:vAlign w:val="center"/>
          </w:tcPr>
          <w:p w14:paraId="6D0606F2"/>
        </w:tc>
        <w:tc>
          <w:tcPr>
            <w:tcW w:w="1210" w:type="dxa"/>
            <w:vMerge w:val="continue"/>
            <w:tcBorders>
              <w:left w:val="single" w:color="auto" w:sz="4" w:space="0"/>
              <w:right w:val="single" w:color="808080" w:sz="8" w:space="0"/>
            </w:tcBorders>
            <w:shd w:val="clear" w:color="000000" w:fill="FFFFFF"/>
          </w:tcPr>
          <w:p w14:paraId="0257A6A7"/>
        </w:tc>
        <w:tc>
          <w:tcPr>
            <w:tcW w:w="1985" w:type="dxa"/>
            <w:vMerge w:val="continue"/>
            <w:tcBorders>
              <w:left w:val="single" w:color="auto" w:sz="4" w:space="0"/>
              <w:right w:val="single" w:color="808080" w:sz="8" w:space="0"/>
            </w:tcBorders>
            <w:shd w:val="clear" w:color="000000" w:fill="FFFFFF"/>
          </w:tcPr>
          <w:p w14:paraId="29ABDF1E"/>
        </w:tc>
      </w:tr>
      <w:tr w14:paraId="734B588F">
        <w:tblPrEx>
          <w:tblCellMar>
            <w:top w:w="0" w:type="dxa"/>
            <w:left w:w="108" w:type="dxa"/>
            <w:bottom w:w="0" w:type="dxa"/>
            <w:right w:w="108" w:type="dxa"/>
          </w:tblCellMar>
        </w:tblPrEx>
        <w:trPr>
          <w:trHeight w:val="1139" w:hRule="atLeast"/>
          <w:jc w:val="center"/>
        </w:trPr>
        <w:tc>
          <w:tcPr>
            <w:tcW w:w="1439" w:type="dxa"/>
            <w:vMerge w:val="restart"/>
            <w:tcBorders>
              <w:top w:val="nil"/>
              <w:left w:val="single" w:color="808080" w:sz="8" w:space="0"/>
              <w:bottom w:val="single" w:color="808080" w:sz="8" w:space="0"/>
              <w:right w:val="single" w:color="808080" w:sz="8" w:space="0"/>
            </w:tcBorders>
            <w:shd w:val="clear" w:color="000000" w:fill="FFFFFF"/>
            <w:vAlign w:val="center"/>
          </w:tcPr>
          <w:p w14:paraId="41EBB932">
            <w:r>
              <w:rPr>
                <w:rFonts w:hint="eastAsia"/>
              </w:rPr>
              <w:t>9. 获得信贷</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5F50A807">
            <w:pPr>
              <w:rPr>
                <w:rFonts w:asciiTheme="minorEastAsia" w:hAnsiTheme="minorEastAsia"/>
                <w:szCs w:val="21"/>
              </w:rPr>
            </w:pPr>
            <w:r>
              <w:rPr>
                <w:rFonts w:hint="eastAsia"/>
              </w:rPr>
              <w:t>（四十一）9.1</w:t>
            </w:r>
            <w:r>
              <w:rPr>
                <w:rFonts w:hint="eastAsia" w:cs="仿宋_GB2312" w:asciiTheme="minorEastAsia" w:hAnsiTheme="minorEastAsia"/>
                <w:szCs w:val="21"/>
              </w:rPr>
              <w:t>合法权利度指数</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199EACBC">
            <w:r>
              <w:rPr>
                <w:rFonts w:hint="eastAsia"/>
              </w:rPr>
              <w:t>该指标衡量的是担保交易中借方和贷方的合法权利、信贷信息的数据等情况。</w:t>
            </w:r>
          </w:p>
          <w:p w14:paraId="24C404BA">
            <w:r>
              <w:rPr>
                <w:rFonts w:hint="eastAsia"/>
              </w:rPr>
              <w:t>9.1合法权利度指数，主要衡量的是《担保法》和《破产法》中保护债权人和债务人权利，并以此为借贷提供便利的程度。</w:t>
            </w:r>
          </w:p>
          <w:p w14:paraId="5FC91D90">
            <w:r>
              <w:rPr>
                <w:rFonts w:hint="eastAsia"/>
              </w:rPr>
              <w:t>9.2信用信息深度指数，衡量的是影响信贷信息覆盖面、范围和开放程度的规则和做法。</w:t>
            </w:r>
          </w:p>
          <w:p w14:paraId="1878609D">
            <w:r>
              <w:rPr>
                <w:rFonts w:hint="eastAsia"/>
              </w:rPr>
              <w:t>9.3征信机构覆盖面，衡量的是征信机构中个人和企业的征信数据情况。</w:t>
            </w:r>
          </w:p>
          <w:p w14:paraId="1E25B6A7">
            <w:r>
              <w:rPr>
                <w:rFonts w:hint="eastAsia"/>
              </w:rPr>
              <w:t>9.4企业融资</w:t>
            </w:r>
            <w:r>
              <w:rPr>
                <w:rFonts w:hint="eastAsia" w:cs="仿宋_GB2312" w:asciiTheme="minorEastAsia" w:hAnsiTheme="minorEastAsia"/>
                <w:szCs w:val="21"/>
              </w:rPr>
              <w:t>便利度（</w:t>
            </w:r>
            <w:r>
              <w:rPr>
                <w:rFonts w:hint="eastAsia"/>
              </w:rPr>
              <w:t>满意度），主要评价企业申贷获得率、出台融资支持政策、提供创新型金融产品等情况，评价企业融资的便利程度。</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2C1E29E4">
            <w:pPr>
              <w:rPr>
                <w:rFonts w:asciiTheme="minorEastAsia" w:hAnsiTheme="minorEastAsia"/>
                <w:szCs w:val="21"/>
              </w:rPr>
            </w:pPr>
            <w:r>
              <w:rPr>
                <w:rFonts w:hint="eastAsia" w:cs="仿宋_GB2312" w:asciiTheme="minorEastAsia" w:hAnsiTheme="minorEastAsia"/>
                <w:szCs w:val="21"/>
              </w:rPr>
              <w:t>市地方金融工作局</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66F57C43">
            <w:pPr>
              <w:rPr>
                <w:rFonts w:asciiTheme="minorEastAsia" w:hAnsiTheme="minorEastAsia"/>
                <w:szCs w:val="21"/>
              </w:rPr>
            </w:pPr>
            <w:r>
              <w:rPr>
                <w:rFonts w:hint="eastAsia" w:cs="仿宋_GB2312" w:asciiTheme="minorEastAsia" w:hAnsiTheme="minorEastAsia"/>
                <w:szCs w:val="21"/>
              </w:rPr>
              <w:t>鄂州银保监分局、人行鄂州市中心支行、市发改委、市财政局、市税务局等相关单位</w:t>
            </w:r>
          </w:p>
        </w:tc>
      </w:tr>
      <w:tr w14:paraId="40B0A8B4">
        <w:tblPrEx>
          <w:tblCellMar>
            <w:top w:w="0" w:type="dxa"/>
            <w:left w:w="108" w:type="dxa"/>
            <w:bottom w:w="0" w:type="dxa"/>
            <w:right w:w="108" w:type="dxa"/>
          </w:tblCellMar>
        </w:tblPrEx>
        <w:trPr>
          <w:trHeight w:val="1139"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7E531D29"/>
        </w:tc>
        <w:tc>
          <w:tcPr>
            <w:tcW w:w="3260" w:type="dxa"/>
            <w:tcBorders>
              <w:top w:val="single" w:color="auto" w:sz="4" w:space="0"/>
              <w:left w:val="nil"/>
              <w:bottom w:val="single" w:color="auto" w:sz="4" w:space="0"/>
              <w:right w:val="single" w:color="auto" w:sz="4" w:space="0"/>
            </w:tcBorders>
            <w:shd w:val="clear" w:color="000000" w:fill="FFFFFF"/>
            <w:vAlign w:val="center"/>
          </w:tcPr>
          <w:p w14:paraId="4A23C921">
            <w:pPr>
              <w:rPr>
                <w:rFonts w:asciiTheme="minorEastAsia" w:hAnsiTheme="minorEastAsia"/>
                <w:szCs w:val="21"/>
              </w:rPr>
            </w:pPr>
            <w:r>
              <w:rPr>
                <w:rFonts w:hint="eastAsia"/>
              </w:rPr>
              <w:t>（四十二）9.2</w:t>
            </w:r>
            <w:r>
              <w:rPr>
                <w:rFonts w:hint="eastAsia" w:cs="仿宋_GB2312" w:asciiTheme="minorEastAsia" w:hAnsiTheme="minorEastAsia"/>
                <w:szCs w:val="21"/>
              </w:rPr>
              <w:t>信用信息深度指数</w:t>
            </w:r>
          </w:p>
        </w:tc>
        <w:tc>
          <w:tcPr>
            <w:tcW w:w="6946" w:type="dxa"/>
            <w:vMerge w:val="continue"/>
            <w:tcBorders>
              <w:top w:val="single" w:color="auto" w:sz="4" w:space="0"/>
              <w:left w:val="single" w:color="auto" w:sz="4" w:space="0"/>
              <w:right w:val="single" w:color="808080" w:sz="8" w:space="0"/>
            </w:tcBorders>
            <w:shd w:val="clear" w:color="000000" w:fill="FFFFFF"/>
          </w:tcPr>
          <w:p w14:paraId="71ECA771"/>
        </w:tc>
        <w:tc>
          <w:tcPr>
            <w:tcW w:w="1210" w:type="dxa"/>
            <w:vMerge w:val="continue"/>
            <w:tcBorders>
              <w:top w:val="single" w:color="auto" w:sz="4" w:space="0"/>
              <w:left w:val="single" w:color="auto" w:sz="4" w:space="0"/>
              <w:right w:val="single" w:color="808080" w:sz="8" w:space="0"/>
            </w:tcBorders>
            <w:shd w:val="clear" w:color="000000" w:fill="FFFFFF"/>
          </w:tcPr>
          <w:p w14:paraId="3C0B91C3"/>
        </w:tc>
        <w:tc>
          <w:tcPr>
            <w:tcW w:w="1985" w:type="dxa"/>
            <w:vMerge w:val="continue"/>
            <w:tcBorders>
              <w:left w:val="single" w:color="auto" w:sz="4" w:space="0"/>
              <w:right w:val="single" w:color="808080" w:sz="8" w:space="0"/>
            </w:tcBorders>
            <w:shd w:val="clear" w:color="000000" w:fill="FFFFFF"/>
          </w:tcPr>
          <w:p w14:paraId="16AA03DF"/>
        </w:tc>
      </w:tr>
      <w:tr w14:paraId="3E0F0CAD">
        <w:tblPrEx>
          <w:tblCellMar>
            <w:top w:w="0" w:type="dxa"/>
            <w:left w:w="108" w:type="dxa"/>
            <w:bottom w:w="0" w:type="dxa"/>
            <w:right w:w="108" w:type="dxa"/>
          </w:tblCellMar>
        </w:tblPrEx>
        <w:trPr>
          <w:trHeight w:val="1139"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6F6C30F6"/>
        </w:tc>
        <w:tc>
          <w:tcPr>
            <w:tcW w:w="3260" w:type="dxa"/>
            <w:tcBorders>
              <w:top w:val="single" w:color="auto" w:sz="4" w:space="0"/>
              <w:left w:val="nil"/>
              <w:bottom w:val="single" w:color="auto" w:sz="4" w:space="0"/>
              <w:right w:val="single" w:color="auto" w:sz="4" w:space="0"/>
            </w:tcBorders>
            <w:shd w:val="clear" w:color="000000" w:fill="FFFFFF"/>
            <w:vAlign w:val="center"/>
          </w:tcPr>
          <w:p w14:paraId="20F98B66">
            <w:pPr>
              <w:rPr>
                <w:rFonts w:asciiTheme="minorEastAsia" w:hAnsiTheme="minorEastAsia"/>
                <w:szCs w:val="21"/>
              </w:rPr>
            </w:pPr>
            <w:r>
              <w:rPr>
                <w:rFonts w:hint="eastAsia"/>
              </w:rPr>
              <w:t>（四十三）9.3</w:t>
            </w:r>
            <w:r>
              <w:rPr>
                <w:rFonts w:hint="eastAsia" w:cs="仿宋_GB2312" w:asciiTheme="minorEastAsia" w:hAnsiTheme="minorEastAsia"/>
                <w:szCs w:val="21"/>
              </w:rPr>
              <w:t>征信机构覆盖面</w:t>
            </w:r>
          </w:p>
        </w:tc>
        <w:tc>
          <w:tcPr>
            <w:tcW w:w="6946" w:type="dxa"/>
            <w:vMerge w:val="continue"/>
            <w:tcBorders>
              <w:top w:val="single" w:color="auto" w:sz="4" w:space="0"/>
              <w:left w:val="single" w:color="auto" w:sz="4" w:space="0"/>
              <w:right w:val="single" w:color="808080" w:sz="8" w:space="0"/>
            </w:tcBorders>
            <w:shd w:val="clear" w:color="000000" w:fill="FFFFFF"/>
          </w:tcPr>
          <w:p w14:paraId="5E20158F"/>
        </w:tc>
        <w:tc>
          <w:tcPr>
            <w:tcW w:w="1210" w:type="dxa"/>
            <w:vMerge w:val="continue"/>
            <w:tcBorders>
              <w:top w:val="single" w:color="auto" w:sz="4" w:space="0"/>
              <w:left w:val="single" w:color="auto" w:sz="4" w:space="0"/>
              <w:right w:val="single" w:color="808080" w:sz="8" w:space="0"/>
            </w:tcBorders>
            <w:shd w:val="clear" w:color="000000" w:fill="FFFFFF"/>
          </w:tcPr>
          <w:p w14:paraId="7703A8D9"/>
        </w:tc>
        <w:tc>
          <w:tcPr>
            <w:tcW w:w="1985" w:type="dxa"/>
            <w:vMerge w:val="continue"/>
            <w:tcBorders>
              <w:left w:val="single" w:color="auto" w:sz="4" w:space="0"/>
              <w:right w:val="single" w:color="808080" w:sz="8" w:space="0"/>
            </w:tcBorders>
            <w:shd w:val="clear" w:color="000000" w:fill="FFFFFF"/>
          </w:tcPr>
          <w:p w14:paraId="2FCB54F1"/>
        </w:tc>
      </w:tr>
      <w:tr w14:paraId="6E3F76BB">
        <w:tblPrEx>
          <w:tblCellMar>
            <w:top w:w="0" w:type="dxa"/>
            <w:left w:w="108" w:type="dxa"/>
            <w:bottom w:w="0" w:type="dxa"/>
            <w:right w:w="108" w:type="dxa"/>
          </w:tblCellMar>
        </w:tblPrEx>
        <w:trPr>
          <w:trHeight w:val="1139"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27BEB96C"/>
        </w:tc>
        <w:tc>
          <w:tcPr>
            <w:tcW w:w="3260" w:type="dxa"/>
            <w:tcBorders>
              <w:top w:val="single" w:color="auto" w:sz="4" w:space="0"/>
              <w:left w:val="nil"/>
              <w:bottom w:val="single" w:color="auto" w:sz="4" w:space="0"/>
              <w:right w:val="single" w:color="auto" w:sz="4" w:space="0"/>
            </w:tcBorders>
            <w:shd w:val="clear" w:color="000000" w:fill="FFFFFF"/>
            <w:vAlign w:val="center"/>
          </w:tcPr>
          <w:p w14:paraId="4715BD56">
            <w:pPr>
              <w:rPr>
                <w:rFonts w:asciiTheme="minorEastAsia" w:hAnsiTheme="minorEastAsia"/>
                <w:szCs w:val="21"/>
              </w:rPr>
            </w:pPr>
            <w:r>
              <w:rPr>
                <w:rFonts w:hint="eastAsia"/>
              </w:rPr>
              <w:t>（四十四）9.4</w:t>
            </w:r>
            <w:r>
              <w:rPr>
                <w:rFonts w:hint="eastAsia" w:cs="仿宋_GB2312" w:asciiTheme="minorEastAsia" w:hAnsiTheme="minorEastAsia"/>
                <w:szCs w:val="21"/>
              </w:rPr>
              <w:t>企业融资便利度（满意度）</w:t>
            </w:r>
          </w:p>
        </w:tc>
        <w:tc>
          <w:tcPr>
            <w:tcW w:w="6946" w:type="dxa"/>
            <w:vMerge w:val="continue"/>
            <w:tcBorders>
              <w:top w:val="single" w:color="auto" w:sz="4" w:space="0"/>
              <w:left w:val="single" w:color="auto" w:sz="4" w:space="0"/>
              <w:bottom w:val="single" w:color="auto" w:sz="4" w:space="0"/>
              <w:right w:val="single" w:color="808080" w:sz="8" w:space="0"/>
            </w:tcBorders>
            <w:shd w:val="clear" w:color="000000" w:fill="FFFFFF"/>
          </w:tcPr>
          <w:p w14:paraId="2DE8E7ED"/>
        </w:tc>
        <w:tc>
          <w:tcPr>
            <w:tcW w:w="1210" w:type="dxa"/>
            <w:vMerge w:val="continue"/>
            <w:tcBorders>
              <w:top w:val="single" w:color="auto" w:sz="4" w:space="0"/>
              <w:left w:val="single" w:color="auto" w:sz="4" w:space="0"/>
              <w:bottom w:val="single" w:color="auto" w:sz="4" w:space="0"/>
              <w:right w:val="single" w:color="808080" w:sz="8" w:space="0"/>
            </w:tcBorders>
            <w:shd w:val="clear" w:color="000000" w:fill="FFFFFF"/>
          </w:tcPr>
          <w:p w14:paraId="01C992B8"/>
        </w:tc>
        <w:tc>
          <w:tcPr>
            <w:tcW w:w="1985" w:type="dxa"/>
            <w:vMerge w:val="continue"/>
            <w:tcBorders>
              <w:left w:val="single" w:color="auto" w:sz="4" w:space="0"/>
              <w:bottom w:val="single" w:color="auto" w:sz="4" w:space="0"/>
              <w:right w:val="single" w:color="808080" w:sz="8" w:space="0"/>
            </w:tcBorders>
            <w:shd w:val="clear" w:color="000000" w:fill="FFFFFF"/>
          </w:tcPr>
          <w:p w14:paraId="18920582"/>
        </w:tc>
      </w:tr>
      <w:tr w14:paraId="3A0EF3EA">
        <w:tblPrEx>
          <w:tblCellMar>
            <w:top w:w="0" w:type="dxa"/>
            <w:left w:w="108" w:type="dxa"/>
            <w:bottom w:w="0" w:type="dxa"/>
            <w:right w:w="108" w:type="dxa"/>
          </w:tblCellMar>
        </w:tblPrEx>
        <w:trPr>
          <w:trHeight w:val="1127" w:hRule="atLeast"/>
          <w:jc w:val="center"/>
        </w:trPr>
        <w:tc>
          <w:tcPr>
            <w:tcW w:w="1439" w:type="dxa"/>
            <w:vMerge w:val="restart"/>
            <w:tcBorders>
              <w:top w:val="single" w:color="auto" w:sz="4" w:space="0"/>
              <w:left w:val="single" w:color="808080" w:sz="8" w:space="0"/>
              <w:bottom w:val="single" w:color="808080" w:sz="8" w:space="0"/>
              <w:right w:val="single" w:color="808080" w:sz="8" w:space="0"/>
            </w:tcBorders>
            <w:shd w:val="clear" w:color="000000" w:fill="FFFFFF"/>
            <w:vAlign w:val="center"/>
          </w:tcPr>
          <w:p w14:paraId="71711EB1">
            <w:r>
              <w:rPr>
                <w:rFonts w:hint="eastAsia"/>
              </w:rPr>
              <w:t>10. 保护中小投资者</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6B6CB209">
            <w:r>
              <w:rPr>
                <w:rFonts w:hint="eastAsia"/>
              </w:rPr>
              <w:t>（四十五）10.1 信息披露透明度</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3B646AAF">
            <w:r>
              <w:rPr>
                <w:rFonts w:hint="eastAsia"/>
              </w:rPr>
              <w:t>该指标衡量的是在利益冲突的情况下少数持股者受到的保护，以及在公司治理结构中股份持有人的权利。</w:t>
            </w:r>
          </w:p>
          <w:p w14:paraId="138B0F25">
            <w:r>
              <w:rPr>
                <w:rFonts w:hint="eastAsia"/>
              </w:rPr>
              <w:t>10.1信息披露透明度，主要考察的是一个上市公司在发生关联交易时，批准关联交易、外部机构审查关联交易、利益冲突披露、关联交易条款和年度报告披露等方面的相关内容。</w:t>
            </w:r>
          </w:p>
          <w:p w14:paraId="2D27364C">
            <w:r>
              <w:rPr>
                <w:rFonts w:hint="eastAsia"/>
              </w:rPr>
              <w:t>10.2董事责任程度，主要考察的是一个上市公司在发生关联交易时，股东派生诉讼、关联交易发起者的责任承担、审批机构的责任承担、赔偿损失、利润返还、罚款、监禁或取消任职资格以及撤销关联交易等方面的相关内容。</w:t>
            </w:r>
          </w:p>
          <w:p w14:paraId="3E15E204">
            <w:r>
              <w:rPr>
                <w:rFonts w:hint="eastAsia"/>
              </w:rPr>
              <w:t>10.3诉讼便利度，主要考察的是一个上市公司在发生关联交易后，如果向关联交易发起人提起诉讼，股东是否有权进行诉前文件检查和获取相关文件、被告是否要提供法律未规定的文件、股东能否直接质询被告和证人、举证标准以及诉讼费等方面的内容。</w:t>
            </w:r>
          </w:p>
          <w:p w14:paraId="43DDDCA8">
            <w:r>
              <w:rPr>
                <w:rFonts w:hint="eastAsia"/>
              </w:rPr>
              <w:t>10.4股东权利，主要考察的是一个公司在出售资产、股东大会、发行新股、新股优先购买权、外部审计师的招聘和解聘、更改股票股权、増加新股东以及出售股份意愿表达等方面的相关内容。</w:t>
            </w:r>
          </w:p>
          <w:p w14:paraId="3E03973E">
            <w:r>
              <w:rPr>
                <w:rFonts w:hint="eastAsia"/>
              </w:rPr>
              <w:t>10.5所有权和管理控制，主要考察的是董事会主席、董事会成员、独立审计委员会、收购要约、分配股利、收购股份和公司僵局等方面的相关内容。</w:t>
            </w:r>
          </w:p>
          <w:p w14:paraId="55B6B7EF">
            <w:r>
              <w:rPr>
                <w:rFonts w:hint="eastAsia"/>
              </w:rPr>
              <w:t>10.6公司透明度，主要考察的是股东直接或间接利益披露、信息披露、薪酬披露、股东大会的召开、通知和提议、年度财务报表审计以及审计报告披露等方面的相关内容。</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14182F88">
            <w:pPr>
              <w:jc w:val="center"/>
              <w:rPr>
                <w:rFonts w:asciiTheme="minorEastAsia" w:hAnsiTheme="minorEastAsia"/>
                <w:szCs w:val="21"/>
              </w:rPr>
            </w:pPr>
            <w:r>
              <w:rPr>
                <w:rFonts w:hint="eastAsia" w:cs="仿宋_GB2312" w:asciiTheme="minorEastAsia" w:hAnsiTheme="minorEastAsia"/>
                <w:szCs w:val="21"/>
              </w:rPr>
              <w:t>市法院</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5F4B3E18">
            <w:r>
              <w:rPr>
                <w:rFonts w:hint="eastAsia" w:cs="仿宋_GB2312" w:asciiTheme="minorEastAsia" w:hAnsiTheme="minorEastAsia"/>
                <w:szCs w:val="21"/>
              </w:rPr>
              <w:t>市司法局等相关单位</w:t>
            </w:r>
          </w:p>
        </w:tc>
      </w:tr>
      <w:tr w14:paraId="4E8127CB">
        <w:tblPrEx>
          <w:tblCellMar>
            <w:top w:w="0" w:type="dxa"/>
            <w:left w:w="108" w:type="dxa"/>
            <w:bottom w:w="0" w:type="dxa"/>
            <w:right w:w="108" w:type="dxa"/>
          </w:tblCellMar>
        </w:tblPrEx>
        <w:trPr>
          <w:trHeight w:val="1127"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47C88256"/>
        </w:tc>
        <w:tc>
          <w:tcPr>
            <w:tcW w:w="3260" w:type="dxa"/>
            <w:tcBorders>
              <w:top w:val="single" w:color="auto" w:sz="4" w:space="0"/>
              <w:left w:val="nil"/>
              <w:bottom w:val="single" w:color="auto" w:sz="4" w:space="0"/>
              <w:right w:val="single" w:color="auto" w:sz="4" w:space="0"/>
            </w:tcBorders>
            <w:shd w:val="clear" w:color="000000" w:fill="FFFFFF"/>
            <w:vAlign w:val="center"/>
          </w:tcPr>
          <w:p w14:paraId="1A7DCF5B">
            <w:r>
              <w:rPr>
                <w:rFonts w:hint="eastAsia"/>
              </w:rPr>
              <w:t>（四十六）10.2 董事责任程度</w:t>
            </w:r>
          </w:p>
        </w:tc>
        <w:tc>
          <w:tcPr>
            <w:tcW w:w="6946" w:type="dxa"/>
            <w:vMerge w:val="continue"/>
            <w:tcBorders>
              <w:top w:val="single" w:color="auto" w:sz="4" w:space="0"/>
              <w:left w:val="single" w:color="auto" w:sz="4" w:space="0"/>
              <w:right w:val="single" w:color="808080" w:sz="8" w:space="0"/>
            </w:tcBorders>
            <w:shd w:val="clear" w:color="000000" w:fill="FFFFFF"/>
          </w:tcPr>
          <w:p w14:paraId="07CA6515"/>
        </w:tc>
        <w:tc>
          <w:tcPr>
            <w:tcW w:w="1210" w:type="dxa"/>
            <w:vMerge w:val="continue"/>
            <w:tcBorders>
              <w:top w:val="single" w:color="auto" w:sz="4" w:space="0"/>
              <w:left w:val="single" w:color="auto" w:sz="4" w:space="0"/>
              <w:right w:val="single" w:color="808080" w:sz="8" w:space="0"/>
            </w:tcBorders>
            <w:shd w:val="clear" w:color="000000" w:fill="FFFFFF"/>
          </w:tcPr>
          <w:p w14:paraId="470DAD24"/>
        </w:tc>
        <w:tc>
          <w:tcPr>
            <w:tcW w:w="1985" w:type="dxa"/>
            <w:vMerge w:val="continue"/>
            <w:tcBorders>
              <w:top w:val="single" w:color="auto" w:sz="4" w:space="0"/>
              <w:left w:val="single" w:color="auto" w:sz="4" w:space="0"/>
              <w:right w:val="single" w:color="808080" w:sz="8" w:space="0"/>
            </w:tcBorders>
            <w:shd w:val="clear" w:color="000000" w:fill="FFFFFF"/>
          </w:tcPr>
          <w:p w14:paraId="5471937A"/>
        </w:tc>
      </w:tr>
      <w:tr w14:paraId="6E239D7A">
        <w:tblPrEx>
          <w:tblCellMar>
            <w:top w:w="0" w:type="dxa"/>
            <w:left w:w="108" w:type="dxa"/>
            <w:bottom w:w="0" w:type="dxa"/>
            <w:right w:w="108" w:type="dxa"/>
          </w:tblCellMar>
        </w:tblPrEx>
        <w:trPr>
          <w:trHeight w:val="1128"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7DEEDF33"/>
        </w:tc>
        <w:tc>
          <w:tcPr>
            <w:tcW w:w="3260" w:type="dxa"/>
            <w:tcBorders>
              <w:top w:val="single" w:color="auto" w:sz="4" w:space="0"/>
              <w:left w:val="nil"/>
              <w:bottom w:val="single" w:color="auto" w:sz="4" w:space="0"/>
              <w:right w:val="single" w:color="auto" w:sz="4" w:space="0"/>
            </w:tcBorders>
            <w:shd w:val="clear" w:color="000000" w:fill="FFFFFF"/>
            <w:vAlign w:val="center"/>
          </w:tcPr>
          <w:p w14:paraId="5BAB574D">
            <w:r>
              <w:rPr>
                <w:rFonts w:hint="eastAsia"/>
              </w:rPr>
              <w:t>（四十七）10.3 诉讼便利度</w:t>
            </w:r>
          </w:p>
        </w:tc>
        <w:tc>
          <w:tcPr>
            <w:tcW w:w="6946" w:type="dxa"/>
            <w:vMerge w:val="continue"/>
            <w:tcBorders>
              <w:top w:val="single" w:color="auto" w:sz="4" w:space="0"/>
              <w:left w:val="single" w:color="auto" w:sz="4" w:space="0"/>
              <w:right w:val="single" w:color="808080" w:sz="8" w:space="0"/>
            </w:tcBorders>
            <w:shd w:val="clear" w:color="000000" w:fill="FFFFFF"/>
          </w:tcPr>
          <w:p w14:paraId="3A8923BB"/>
        </w:tc>
        <w:tc>
          <w:tcPr>
            <w:tcW w:w="1210" w:type="dxa"/>
            <w:vMerge w:val="continue"/>
            <w:tcBorders>
              <w:top w:val="single" w:color="auto" w:sz="4" w:space="0"/>
              <w:left w:val="single" w:color="auto" w:sz="4" w:space="0"/>
              <w:right w:val="single" w:color="808080" w:sz="8" w:space="0"/>
            </w:tcBorders>
            <w:shd w:val="clear" w:color="000000" w:fill="FFFFFF"/>
          </w:tcPr>
          <w:p w14:paraId="347D5EF4"/>
        </w:tc>
        <w:tc>
          <w:tcPr>
            <w:tcW w:w="1985" w:type="dxa"/>
            <w:vMerge w:val="continue"/>
            <w:tcBorders>
              <w:top w:val="single" w:color="auto" w:sz="4" w:space="0"/>
              <w:left w:val="single" w:color="auto" w:sz="4" w:space="0"/>
              <w:right w:val="single" w:color="808080" w:sz="8" w:space="0"/>
            </w:tcBorders>
            <w:shd w:val="clear" w:color="000000" w:fill="FFFFFF"/>
          </w:tcPr>
          <w:p w14:paraId="4BEA4F9E"/>
        </w:tc>
      </w:tr>
      <w:tr w14:paraId="73761722">
        <w:tblPrEx>
          <w:tblCellMar>
            <w:top w:w="0" w:type="dxa"/>
            <w:left w:w="108" w:type="dxa"/>
            <w:bottom w:w="0" w:type="dxa"/>
            <w:right w:w="108" w:type="dxa"/>
          </w:tblCellMar>
        </w:tblPrEx>
        <w:trPr>
          <w:trHeight w:val="1127"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383EE1DF"/>
        </w:tc>
        <w:tc>
          <w:tcPr>
            <w:tcW w:w="3260" w:type="dxa"/>
            <w:tcBorders>
              <w:top w:val="single" w:color="auto" w:sz="4" w:space="0"/>
              <w:left w:val="nil"/>
              <w:bottom w:val="single" w:color="auto" w:sz="4" w:space="0"/>
              <w:right w:val="single" w:color="auto" w:sz="4" w:space="0"/>
            </w:tcBorders>
            <w:shd w:val="clear" w:color="000000" w:fill="FFFFFF"/>
            <w:vAlign w:val="center"/>
          </w:tcPr>
          <w:p w14:paraId="2611BC17">
            <w:r>
              <w:rPr>
                <w:rFonts w:hint="eastAsia"/>
              </w:rPr>
              <w:t>（四十八）10.4 股东权利</w:t>
            </w:r>
          </w:p>
        </w:tc>
        <w:tc>
          <w:tcPr>
            <w:tcW w:w="6946" w:type="dxa"/>
            <w:vMerge w:val="continue"/>
            <w:tcBorders>
              <w:top w:val="single" w:color="auto" w:sz="4" w:space="0"/>
              <w:left w:val="single" w:color="auto" w:sz="4" w:space="0"/>
              <w:right w:val="single" w:color="808080" w:sz="8" w:space="0"/>
            </w:tcBorders>
            <w:shd w:val="clear" w:color="000000" w:fill="FFFFFF"/>
          </w:tcPr>
          <w:p w14:paraId="3D025799"/>
        </w:tc>
        <w:tc>
          <w:tcPr>
            <w:tcW w:w="1210" w:type="dxa"/>
            <w:vMerge w:val="continue"/>
            <w:tcBorders>
              <w:top w:val="single" w:color="auto" w:sz="4" w:space="0"/>
              <w:left w:val="single" w:color="auto" w:sz="4" w:space="0"/>
              <w:right w:val="single" w:color="808080" w:sz="8" w:space="0"/>
            </w:tcBorders>
            <w:shd w:val="clear" w:color="000000" w:fill="FFFFFF"/>
          </w:tcPr>
          <w:p w14:paraId="04A79560"/>
        </w:tc>
        <w:tc>
          <w:tcPr>
            <w:tcW w:w="1985" w:type="dxa"/>
            <w:vMerge w:val="continue"/>
            <w:tcBorders>
              <w:top w:val="single" w:color="auto" w:sz="4" w:space="0"/>
              <w:left w:val="single" w:color="auto" w:sz="4" w:space="0"/>
              <w:right w:val="single" w:color="808080" w:sz="8" w:space="0"/>
            </w:tcBorders>
            <w:shd w:val="clear" w:color="000000" w:fill="FFFFFF"/>
          </w:tcPr>
          <w:p w14:paraId="41F40CD7"/>
        </w:tc>
      </w:tr>
      <w:tr w14:paraId="64AB1912">
        <w:tblPrEx>
          <w:tblCellMar>
            <w:top w:w="0" w:type="dxa"/>
            <w:left w:w="108" w:type="dxa"/>
            <w:bottom w:w="0" w:type="dxa"/>
            <w:right w:w="108" w:type="dxa"/>
          </w:tblCellMar>
        </w:tblPrEx>
        <w:trPr>
          <w:trHeight w:val="1127"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74C6C924"/>
        </w:tc>
        <w:tc>
          <w:tcPr>
            <w:tcW w:w="3260" w:type="dxa"/>
            <w:tcBorders>
              <w:top w:val="single" w:color="auto" w:sz="4" w:space="0"/>
              <w:left w:val="nil"/>
              <w:bottom w:val="single" w:color="auto" w:sz="4" w:space="0"/>
              <w:right w:val="single" w:color="auto" w:sz="4" w:space="0"/>
            </w:tcBorders>
            <w:shd w:val="clear" w:color="000000" w:fill="FFFFFF"/>
            <w:vAlign w:val="center"/>
          </w:tcPr>
          <w:p w14:paraId="72621983">
            <w:r>
              <w:rPr>
                <w:rFonts w:hint="eastAsia"/>
              </w:rPr>
              <w:t>（四十九）10.5 所有权和管理控制</w:t>
            </w:r>
          </w:p>
        </w:tc>
        <w:tc>
          <w:tcPr>
            <w:tcW w:w="6946" w:type="dxa"/>
            <w:vMerge w:val="continue"/>
            <w:tcBorders>
              <w:top w:val="single" w:color="auto" w:sz="4" w:space="0"/>
              <w:left w:val="single" w:color="auto" w:sz="4" w:space="0"/>
              <w:right w:val="single" w:color="808080" w:sz="8" w:space="0"/>
            </w:tcBorders>
            <w:shd w:val="clear" w:color="000000" w:fill="FFFFFF"/>
          </w:tcPr>
          <w:p w14:paraId="28B1CBCC"/>
        </w:tc>
        <w:tc>
          <w:tcPr>
            <w:tcW w:w="1210" w:type="dxa"/>
            <w:vMerge w:val="continue"/>
            <w:tcBorders>
              <w:top w:val="single" w:color="auto" w:sz="4" w:space="0"/>
              <w:left w:val="single" w:color="auto" w:sz="4" w:space="0"/>
              <w:right w:val="single" w:color="808080" w:sz="8" w:space="0"/>
            </w:tcBorders>
            <w:shd w:val="clear" w:color="000000" w:fill="FFFFFF"/>
          </w:tcPr>
          <w:p w14:paraId="05AE721E"/>
        </w:tc>
        <w:tc>
          <w:tcPr>
            <w:tcW w:w="1985" w:type="dxa"/>
            <w:vMerge w:val="continue"/>
            <w:tcBorders>
              <w:top w:val="single" w:color="auto" w:sz="4" w:space="0"/>
              <w:left w:val="single" w:color="auto" w:sz="4" w:space="0"/>
              <w:right w:val="single" w:color="808080" w:sz="8" w:space="0"/>
            </w:tcBorders>
            <w:shd w:val="clear" w:color="000000" w:fill="FFFFFF"/>
          </w:tcPr>
          <w:p w14:paraId="2382DE27"/>
        </w:tc>
      </w:tr>
      <w:tr w14:paraId="0874F9C7">
        <w:tblPrEx>
          <w:tblCellMar>
            <w:top w:w="0" w:type="dxa"/>
            <w:left w:w="108" w:type="dxa"/>
            <w:bottom w:w="0" w:type="dxa"/>
            <w:right w:w="108" w:type="dxa"/>
          </w:tblCellMar>
        </w:tblPrEx>
        <w:trPr>
          <w:trHeight w:val="2191" w:hRule="atLeast"/>
          <w:jc w:val="center"/>
        </w:trPr>
        <w:tc>
          <w:tcPr>
            <w:tcW w:w="1439" w:type="dxa"/>
            <w:vMerge w:val="continue"/>
            <w:tcBorders>
              <w:top w:val="nil"/>
              <w:left w:val="single" w:color="808080" w:sz="8" w:space="0"/>
              <w:bottom w:val="single" w:color="808080" w:sz="8" w:space="0"/>
              <w:right w:val="single" w:color="808080" w:sz="8" w:space="0"/>
            </w:tcBorders>
            <w:shd w:val="clear" w:color="000000" w:fill="FFFFFF"/>
            <w:vAlign w:val="center"/>
          </w:tcPr>
          <w:p w14:paraId="77C56945"/>
        </w:tc>
        <w:tc>
          <w:tcPr>
            <w:tcW w:w="3260" w:type="dxa"/>
            <w:tcBorders>
              <w:top w:val="single" w:color="auto" w:sz="4" w:space="0"/>
              <w:left w:val="nil"/>
              <w:bottom w:val="single" w:color="auto" w:sz="4" w:space="0"/>
              <w:right w:val="single" w:color="auto" w:sz="4" w:space="0"/>
            </w:tcBorders>
            <w:shd w:val="clear" w:color="000000" w:fill="FFFFFF"/>
            <w:vAlign w:val="center"/>
          </w:tcPr>
          <w:p w14:paraId="2079D086">
            <w:r>
              <w:rPr>
                <w:rFonts w:hint="eastAsia"/>
              </w:rPr>
              <w:t>（五十）10.6 公司透明度</w:t>
            </w:r>
          </w:p>
        </w:tc>
        <w:tc>
          <w:tcPr>
            <w:tcW w:w="6946" w:type="dxa"/>
            <w:vMerge w:val="continue"/>
            <w:tcBorders>
              <w:top w:val="single" w:color="auto" w:sz="4" w:space="0"/>
              <w:left w:val="single" w:color="auto" w:sz="4" w:space="0"/>
              <w:bottom w:val="single" w:color="auto" w:sz="4" w:space="0"/>
              <w:right w:val="single" w:color="808080" w:sz="8" w:space="0"/>
            </w:tcBorders>
            <w:shd w:val="clear" w:color="000000" w:fill="FFFFFF"/>
          </w:tcPr>
          <w:p w14:paraId="19E7D2DA"/>
        </w:tc>
        <w:tc>
          <w:tcPr>
            <w:tcW w:w="1210" w:type="dxa"/>
            <w:vMerge w:val="continue"/>
            <w:tcBorders>
              <w:top w:val="single" w:color="auto" w:sz="4" w:space="0"/>
              <w:left w:val="single" w:color="auto" w:sz="4" w:space="0"/>
              <w:bottom w:val="single" w:color="auto" w:sz="4" w:space="0"/>
              <w:right w:val="single" w:color="808080" w:sz="8" w:space="0"/>
            </w:tcBorders>
            <w:shd w:val="clear" w:color="000000" w:fill="FFFFFF"/>
          </w:tcPr>
          <w:p w14:paraId="2CD6B82C"/>
        </w:tc>
        <w:tc>
          <w:tcPr>
            <w:tcW w:w="1985" w:type="dxa"/>
            <w:vMerge w:val="continue"/>
            <w:tcBorders>
              <w:top w:val="single" w:color="auto" w:sz="4" w:space="0"/>
              <w:left w:val="single" w:color="auto" w:sz="4" w:space="0"/>
              <w:bottom w:val="single" w:color="auto" w:sz="4" w:space="0"/>
              <w:right w:val="single" w:color="808080" w:sz="8" w:space="0"/>
            </w:tcBorders>
            <w:shd w:val="clear" w:color="000000" w:fill="FFFFFF"/>
          </w:tcPr>
          <w:p w14:paraId="0B24C6EF"/>
        </w:tc>
      </w:tr>
      <w:tr w14:paraId="646826F3">
        <w:tblPrEx>
          <w:tblCellMar>
            <w:top w:w="0" w:type="dxa"/>
            <w:left w:w="108" w:type="dxa"/>
            <w:bottom w:w="0" w:type="dxa"/>
            <w:right w:w="108" w:type="dxa"/>
          </w:tblCellMar>
        </w:tblPrEx>
        <w:trPr>
          <w:trHeight w:val="818" w:hRule="atLeast"/>
          <w:jc w:val="center"/>
        </w:trPr>
        <w:tc>
          <w:tcPr>
            <w:tcW w:w="1439" w:type="dxa"/>
            <w:vMerge w:val="restart"/>
            <w:tcBorders>
              <w:top w:val="single" w:color="auto" w:sz="4" w:space="0"/>
              <w:left w:val="single" w:color="808080" w:sz="8" w:space="0"/>
              <w:bottom w:val="single" w:color="808080" w:sz="8" w:space="0"/>
              <w:right w:val="single" w:color="808080" w:sz="8" w:space="0"/>
            </w:tcBorders>
            <w:shd w:val="clear" w:color="000000" w:fill="FFFFFF"/>
            <w:vAlign w:val="center"/>
          </w:tcPr>
          <w:p w14:paraId="02903E42">
            <w:r>
              <w:rPr>
                <w:rFonts w:hint="eastAsia"/>
              </w:rPr>
              <w:t>11. 合同执行</w:t>
            </w:r>
          </w:p>
        </w:tc>
        <w:tc>
          <w:tcPr>
            <w:tcW w:w="3260" w:type="dxa"/>
            <w:tcBorders>
              <w:top w:val="single" w:color="auto" w:sz="4" w:space="0"/>
              <w:left w:val="nil"/>
              <w:bottom w:val="single" w:color="auto" w:sz="4" w:space="0"/>
              <w:right w:val="single" w:color="auto" w:sz="4" w:space="0"/>
            </w:tcBorders>
            <w:shd w:val="clear" w:color="000000" w:fill="FFFFFF"/>
            <w:vAlign w:val="center"/>
          </w:tcPr>
          <w:p w14:paraId="069ADF9C">
            <w:r>
              <w:rPr>
                <w:rFonts w:hint="eastAsia"/>
              </w:rPr>
              <w:t>（五十一）11.1 解决商业纠纷的耗时</w:t>
            </w:r>
          </w:p>
        </w:tc>
        <w:tc>
          <w:tcPr>
            <w:tcW w:w="6946" w:type="dxa"/>
            <w:vMerge w:val="restart"/>
            <w:tcBorders>
              <w:top w:val="single" w:color="auto" w:sz="4" w:space="0"/>
              <w:left w:val="single" w:color="auto" w:sz="4" w:space="0"/>
              <w:right w:val="single" w:color="808080" w:sz="8" w:space="0"/>
            </w:tcBorders>
            <w:shd w:val="clear" w:color="000000" w:fill="FFFFFF"/>
            <w:vAlign w:val="center"/>
          </w:tcPr>
          <w:p w14:paraId="005D4B60">
            <w:r>
              <w:rPr>
                <w:rFonts w:hint="eastAsia"/>
              </w:rPr>
              <w:t>该指标衡量解决一起商业纠纷所耗费的时间、成本和司法程序质量指数。</w:t>
            </w:r>
          </w:p>
          <w:p w14:paraId="53B7F137">
            <w:r>
              <w:rPr>
                <w:rFonts w:hint="eastAsia"/>
              </w:rPr>
              <w:t>11.1解决商业纠纷的耗时，包括立案申请和送达、审理和判决、执行判决三个阶段。所需的办理时间一般以自然日计算。</w:t>
            </w:r>
          </w:p>
          <w:p w14:paraId="1DF81F8D">
            <w:r>
              <w:rPr>
                <w:rFonts w:hint="eastAsia"/>
              </w:rPr>
              <w:t>11.2解决商业纠纷的费用，主要考察的是商业纠纷诉讼中诉讼成本、执行费用和律师费等各种费用的支出情况和构成情况。</w:t>
            </w:r>
          </w:p>
          <w:p w14:paraId="2E63994E">
            <w:r>
              <w:rPr>
                <w:rFonts w:hint="eastAsia"/>
              </w:rPr>
              <w:t>11.3司法程序质量指数，其可分为基本法律框架和法律质量评价两个方面。</w:t>
            </w:r>
          </w:p>
        </w:tc>
        <w:tc>
          <w:tcPr>
            <w:tcW w:w="1210" w:type="dxa"/>
            <w:vMerge w:val="restart"/>
            <w:tcBorders>
              <w:top w:val="single" w:color="auto" w:sz="4" w:space="0"/>
              <w:left w:val="single" w:color="auto" w:sz="4" w:space="0"/>
              <w:right w:val="single" w:color="808080" w:sz="8" w:space="0"/>
            </w:tcBorders>
            <w:shd w:val="clear" w:color="000000" w:fill="FFFFFF"/>
            <w:vAlign w:val="center"/>
          </w:tcPr>
          <w:p w14:paraId="793FF40F">
            <w:pPr>
              <w:jc w:val="center"/>
              <w:rPr>
                <w:rFonts w:asciiTheme="minorEastAsia" w:hAnsiTheme="minorEastAsia"/>
                <w:szCs w:val="21"/>
              </w:rPr>
            </w:pPr>
            <w:r>
              <w:rPr>
                <w:rFonts w:hint="eastAsia" w:cs="仿宋_GB2312" w:asciiTheme="minorEastAsia" w:hAnsiTheme="minorEastAsia"/>
                <w:szCs w:val="21"/>
              </w:rPr>
              <w:t>市法院</w:t>
            </w:r>
          </w:p>
        </w:tc>
        <w:tc>
          <w:tcPr>
            <w:tcW w:w="1985" w:type="dxa"/>
            <w:vMerge w:val="restart"/>
            <w:tcBorders>
              <w:top w:val="single" w:color="auto" w:sz="4" w:space="0"/>
              <w:left w:val="single" w:color="auto" w:sz="4" w:space="0"/>
              <w:right w:val="single" w:color="808080" w:sz="8" w:space="0"/>
            </w:tcBorders>
            <w:shd w:val="clear" w:color="000000" w:fill="FFFFFF"/>
            <w:vAlign w:val="center"/>
          </w:tcPr>
          <w:p w14:paraId="557B0188">
            <w:r>
              <w:rPr>
                <w:rFonts w:hint="eastAsia" w:cs="仿宋_GB2312" w:asciiTheme="minorEastAsia" w:hAnsiTheme="minorEastAsia"/>
                <w:szCs w:val="21"/>
              </w:rPr>
              <w:t>市司法局等相关单位</w:t>
            </w:r>
          </w:p>
        </w:tc>
      </w:tr>
      <w:tr w14:paraId="27904352">
        <w:tblPrEx>
          <w:tblCellMar>
            <w:top w:w="0" w:type="dxa"/>
            <w:left w:w="108" w:type="dxa"/>
            <w:bottom w:w="0" w:type="dxa"/>
            <w:right w:w="108" w:type="dxa"/>
          </w:tblCellMar>
        </w:tblPrEx>
        <w:trPr>
          <w:trHeight w:val="819" w:hRule="atLeast"/>
          <w:jc w:val="center"/>
        </w:trPr>
        <w:tc>
          <w:tcPr>
            <w:tcW w:w="1439" w:type="dxa"/>
            <w:vMerge w:val="continue"/>
            <w:tcBorders>
              <w:top w:val="single" w:color="auto" w:sz="4" w:space="0"/>
              <w:left w:val="single" w:color="808080" w:sz="8" w:space="0"/>
              <w:bottom w:val="single" w:color="808080" w:sz="8" w:space="0"/>
              <w:right w:val="single" w:color="808080" w:sz="8" w:space="0"/>
            </w:tcBorders>
            <w:shd w:val="clear" w:color="000000" w:fill="FFFFFF"/>
            <w:vAlign w:val="center"/>
          </w:tcPr>
          <w:p w14:paraId="2AC2B663"/>
        </w:tc>
        <w:tc>
          <w:tcPr>
            <w:tcW w:w="3260" w:type="dxa"/>
            <w:tcBorders>
              <w:top w:val="single" w:color="auto" w:sz="4" w:space="0"/>
              <w:left w:val="nil"/>
              <w:bottom w:val="single" w:color="auto" w:sz="4" w:space="0"/>
              <w:right w:val="single" w:color="auto" w:sz="4" w:space="0"/>
            </w:tcBorders>
            <w:shd w:val="clear" w:color="000000" w:fill="FFFFFF"/>
            <w:vAlign w:val="center"/>
          </w:tcPr>
          <w:p w14:paraId="42E61A90">
            <w:r>
              <w:rPr>
                <w:rFonts w:hint="eastAsia"/>
              </w:rPr>
              <w:t>（五十二）11.2 解决商业纠纷的费用（占索赔金额比 %）</w:t>
            </w:r>
          </w:p>
        </w:tc>
        <w:tc>
          <w:tcPr>
            <w:tcW w:w="6946" w:type="dxa"/>
            <w:vMerge w:val="continue"/>
            <w:tcBorders>
              <w:top w:val="single" w:color="auto" w:sz="4" w:space="0"/>
              <w:left w:val="single" w:color="auto" w:sz="4" w:space="0"/>
              <w:right w:val="single" w:color="808080" w:sz="8" w:space="0"/>
            </w:tcBorders>
            <w:shd w:val="clear" w:color="000000" w:fill="FFFFFF"/>
          </w:tcPr>
          <w:p w14:paraId="19F8D466"/>
        </w:tc>
        <w:tc>
          <w:tcPr>
            <w:tcW w:w="1210" w:type="dxa"/>
            <w:vMerge w:val="continue"/>
            <w:tcBorders>
              <w:top w:val="single" w:color="auto" w:sz="4" w:space="0"/>
              <w:left w:val="single" w:color="auto" w:sz="4" w:space="0"/>
              <w:right w:val="single" w:color="808080" w:sz="8" w:space="0"/>
            </w:tcBorders>
            <w:shd w:val="clear" w:color="000000" w:fill="FFFFFF"/>
          </w:tcPr>
          <w:p w14:paraId="0A1565D8"/>
        </w:tc>
        <w:tc>
          <w:tcPr>
            <w:tcW w:w="1985" w:type="dxa"/>
            <w:vMerge w:val="continue"/>
            <w:tcBorders>
              <w:top w:val="single" w:color="auto" w:sz="4" w:space="0"/>
              <w:left w:val="single" w:color="auto" w:sz="4" w:space="0"/>
              <w:right w:val="single" w:color="808080" w:sz="8" w:space="0"/>
            </w:tcBorders>
            <w:shd w:val="clear" w:color="000000" w:fill="FFFFFF"/>
          </w:tcPr>
          <w:p w14:paraId="24C8CE1A"/>
        </w:tc>
      </w:tr>
      <w:tr w14:paraId="745BC584">
        <w:tblPrEx>
          <w:tblCellMar>
            <w:top w:w="0" w:type="dxa"/>
            <w:left w:w="108" w:type="dxa"/>
            <w:bottom w:w="0" w:type="dxa"/>
            <w:right w:w="108" w:type="dxa"/>
          </w:tblCellMar>
        </w:tblPrEx>
        <w:trPr>
          <w:trHeight w:val="716" w:hRule="atLeast"/>
          <w:jc w:val="center"/>
        </w:trPr>
        <w:tc>
          <w:tcPr>
            <w:tcW w:w="1439" w:type="dxa"/>
            <w:vMerge w:val="continue"/>
            <w:tcBorders>
              <w:top w:val="single" w:color="auto" w:sz="4" w:space="0"/>
              <w:left w:val="single" w:color="808080" w:sz="8" w:space="0"/>
              <w:bottom w:val="single" w:color="808080" w:sz="8" w:space="0"/>
              <w:right w:val="single" w:color="808080" w:sz="8" w:space="0"/>
            </w:tcBorders>
            <w:shd w:val="clear" w:color="000000" w:fill="FFFFFF"/>
            <w:vAlign w:val="center"/>
          </w:tcPr>
          <w:p w14:paraId="48444A40"/>
        </w:tc>
        <w:tc>
          <w:tcPr>
            <w:tcW w:w="3260" w:type="dxa"/>
            <w:tcBorders>
              <w:top w:val="single" w:color="auto" w:sz="4" w:space="0"/>
              <w:left w:val="nil"/>
              <w:bottom w:val="single" w:color="auto" w:sz="4" w:space="0"/>
              <w:right w:val="single" w:color="auto" w:sz="4" w:space="0"/>
            </w:tcBorders>
            <w:shd w:val="clear" w:color="000000" w:fill="FFFFFF"/>
            <w:vAlign w:val="center"/>
          </w:tcPr>
          <w:p w14:paraId="56FAF17D">
            <w:r>
              <w:rPr>
                <w:rFonts w:hint="eastAsia"/>
              </w:rPr>
              <w:t>（五十三）11.3 司法程序的质量指数</w:t>
            </w:r>
          </w:p>
        </w:tc>
        <w:tc>
          <w:tcPr>
            <w:tcW w:w="6946" w:type="dxa"/>
            <w:vMerge w:val="continue"/>
            <w:tcBorders>
              <w:top w:val="single" w:color="auto" w:sz="4" w:space="0"/>
              <w:left w:val="single" w:color="auto" w:sz="4" w:space="0"/>
              <w:bottom w:val="single" w:color="auto" w:sz="4" w:space="0"/>
              <w:right w:val="single" w:color="808080" w:sz="8" w:space="0"/>
            </w:tcBorders>
            <w:shd w:val="clear" w:color="000000" w:fill="FFFFFF"/>
          </w:tcPr>
          <w:p w14:paraId="0D0DC37B"/>
        </w:tc>
        <w:tc>
          <w:tcPr>
            <w:tcW w:w="1210" w:type="dxa"/>
            <w:vMerge w:val="continue"/>
            <w:tcBorders>
              <w:top w:val="single" w:color="auto" w:sz="4" w:space="0"/>
              <w:left w:val="single" w:color="auto" w:sz="4" w:space="0"/>
              <w:bottom w:val="single" w:color="auto" w:sz="4" w:space="0"/>
              <w:right w:val="single" w:color="808080" w:sz="8" w:space="0"/>
            </w:tcBorders>
            <w:shd w:val="clear" w:color="000000" w:fill="FFFFFF"/>
          </w:tcPr>
          <w:p w14:paraId="2617E3B5"/>
        </w:tc>
        <w:tc>
          <w:tcPr>
            <w:tcW w:w="1985" w:type="dxa"/>
            <w:vMerge w:val="continue"/>
            <w:tcBorders>
              <w:left w:val="single" w:color="auto" w:sz="4" w:space="0"/>
              <w:bottom w:val="single" w:color="auto" w:sz="4" w:space="0"/>
              <w:right w:val="single" w:color="808080" w:sz="8" w:space="0"/>
            </w:tcBorders>
            <w:shd w:val="clear" w:color="000000" w:fill="FFFFFF"/>
          </w:tcPr>
          <w:p w14:paraId="7234F02E"/>
        </w:tc>
      </w:tr>
      <w:tr w14:paraId="7957DE95">
        <w:tblPrEx>
          <w:tblCellMar>
            <w:top w:w="0" w:type="dxa"/>
            <w:left w:w="108" w:type="dxa"/>
            <w:bottom w:w="0" w:type="dxa"/>
            <w:right w:w="108" w:type="dxa"/>
          </w:tblCellMar>
        </w:tblPrEx>
        <w:trPr>
          <w:trHeight w:val="550" w:hRule="atLeast"/>
          <w:jc w:val="center"/>
        </w:trPr>
        <w:tc>
          <w:tcPr>
            <w:tcW w:w="1439" w:type="dxa"/>
            <w:vMerge w:val="restart"/>
            <w:tcBorders>
              <w:top w:val="nil"/>
              <w:left w:val="single" w:color="808080" w:sz="8" w:space="0"/>
              <w:right w:val="single" w:color="808080" w:sz="8" w:space="0"/>
            </w:tcBorders>
            <w:shd w:val="clear" w:color="auto" w:fill="auto"/>
            <w:vAlign w:val="center"/>
          </w:tcPr>
          <w:p w14:paraId="263F4ABC">
            <w:pPr>
              <w:jc w:val="center"/>
            </w:pPr>
            <w:r>
              <w:rPr>
                <w:rFonts w:hint="eastAsia"/>
              </w:rPr>
              <w:t>12.政府采购及招标投标</w:t>
            </w:r>
          </w:p>
        </w:tc>
        <w:tc>
          <w:tcPr>
            <w:tcW w:w="3260" w:type="dxa"/>
            <w:tcBorders>
              <w:top w:val="nil"/>
              <w:left w:val="nil"/>
              <w:bottom w:val="single" w:color="auto" w:sz="4" w:space="0"/>
              <w:right w:val="single" w:color="auto" w:sz="4" w:space="0"/>
            </w:tcBorders>
            <w:shd w:val="clear" w:color="auto" w:fill="auto"/>
            <w:vAlign w:val="center"/>
          </w:tcPr>
          <w:p w14:paraId="11544F30">
            <w:r>
              <w:rPr>
                <w:rFonts w:hint="eastAsia"/>
              </w:rPr>
              <w:t>（五十四）12.1</w:t>
            </w:r>
            <w:r>
              <w:rPr>
                <w:rFonts w:hint="eastAsia" w:cs="仿宋_GB2312" w:asciiTheme="minorEastAsia" w:hAnsiTheme="minorEastAsia"/>
                <w:szCs w:val="21"/>
              </w:rPr>
              <w:t>电子化采购及互联网+招标投标</w:t>
            </w:r>
          </w:p>
        </w:tc>
        <w:tc>
          <w:tcPr>
            <w:tcW w:w="6946" w:type="dxa"/>
            <w:vMerge w:val="restart"/>
            <w:tcBorders>
              <w:top w:val="single" w:color="auto" w:sz="4" w:space="0"/>
              <w:left w:val="single" w:color="auto" w:sz="4" w:space="0"/>
              <w:right w:val="single" w:color="808080" w:sz="8" w:space="0"/>
            </w:tcBorders>
          </w:tcPr>
          <w:p w14:paraId="68AA26D4">
            <w:r>
              <w:rPr>
                <w:rFonts w:hint="eastAsia"/>
              </w:rPr>
              <w:t>政府采购及招标投标指标衡量釆购、招投标流程规范性、企业进入采购、招投标市场的难易程度以及采购平台建设、投诉机制等情况。</w:t>
            </w:r>
          </w:p>
          <w:p w14:paraId="430BD601">
            <w:r>
              <w:rPr>
                <w:rFonts w:hint="eastAsia"/>
              </w:rPr>
              <w:t>12.1电子化采购及互联网+招标投标，主要展现电子平台功能，考察政府电子采购平台和招标投标平台的建设情况和功能，主要为交易平台市场化、公共服务平台体系、电子化行政监管以及互联互通和资源共享四个方面。</w:t>
            </w:r>
          </w:p>
          <w:p w14:paraId="69B86446">
            <w:r>
              <w:rPr>
                <w:rFonts w:hint="eastAsia"/>
              </w:rPr>
              <w:t>12.2政府采购流程管理，主要考察分包、公开招标、投标保证金、招标结果公布以及采购文件是否免费发放等方面的相关内容。</w:t>
            </w:r>
          </w:p>
          <w:p w14:paraId="1F22719A">
            <w:r>
              <w:rPr>
                <w:rFonts w:hint="eastAsia"/>
              </w:rPr>
              <w:t>12.3采购结果质量和外地企业中标率，主要考察采购过程中的招标要求、异议的提出、评标委员会构成、非价格评估标准和外地企业中标数量等方面的相关内容。</w:t>
            </w:r>
          </w:p>
          <w:p w14:paraId="6FD82C3B">
            <w:r>
              <w:rPr>
                <w:rFonts w:hint="eastAsia"/>
              </w:rPr>
              <w:t>12.4履约担保及竞争公开，主要考察履约保证金的提交形式和投标保证金的退还等方面的相关内容。</w:t>
            </w:r>
          </w:p>
          <w:p w14:paraId="4DEE5EEF">
            <w:r>
              <w:rPr>
                <w:rFonts w:hint="eastAsia"/>
              </w:rPr>
              <w:t>12.5工程交付于费用支付，主要考察的是预先支付费用、付款期限、履约验收、工程质量保质期以及分包商责任等方面的相关内容。</w:t>
            </w:r>
          </w:p>
          <w:p w14:paraId="228E39FB">
            <w:r>
              <w:rPr>
                <w:rFonts w:hint="eastAsia"/>
              </w:rPr>
              <w:t>12.6</w:t>
            </w:r>
            <w:r>
              <w:rPr>
                <w:rFonts w:hint="eastAsia" w:cs="仿宋_GB2312" w:asciiTheme="minorEastAsia" w:hAnsiTheme="minorEastAsia"/>
                <w:szCs w:val="21"/>
              </w:rPr>
              <w:t>采</w:t>
            </w:r>
            <w:r>
              <w:rPr>
                <w:rFonts w:hint="eastAsia"/>
              </w:rPr>
              <w:t>购监督与投诉渠道，主要考察的是投诉受理机制、投诉证明材料、审查耗时、决定受理期限、投诉至完成调查耗时、被调查人签字确认、投诉人和被投诉人质证、处理决定的内容以及投诉事件归档整理、保存等方面的相关内容。</w:t>
            </w:r>
          </w:p>
        </w:tc>
        <w:tc>
          <w:tcPr>
            <w:tcW w:w="1210" w:type="dxa"/>
            <w:vMerge w:val="restart"/>
            <w:tcBorders>
              <w:top w:val="single" w:color="auto" w:sz="4" w:space="0"/>
              <w:left w:val="single" w:color="auto" w:sz="4" w:space="0"/>
              <w:right w:val="single" w:color="808080" w:sz="8" w:space="0"/>
            </w:tcBorders>
            <w:vAlign w:val="center"/>
          </w:tcPr>
          <w:p w14:paraId="30455778">
            <w:pPr>
              <w:rPr>
                <w:rFonts w:asciiTheme="minorEastAsia" w:hAnsiTheme="minorEastAsia"/>
                <w:szCs w:val="21"/>
              </w:rPr>
            </w:pPr>
            <w:r>
              <w:rPr>
                <w:rFonts w:hint="eastAsia" w:cs="仿宋_GB2312" w:asciiTheme="minorEastAsia" w:hAnsiTheme="minorEastAsia"/>
                <w:szCs w:val="21"/>
              </w:rPr>
              <w:t>市财政局、市行政审批局（市公共资源交易监管局）、市公共资源交易中心（市政府采购中心）按各自职责负责，市财政局负责总体协调</w:t>
            </w:r>
          </w:p>
        </w:tc>
        <w:tc>
          <w:tcPr>
            <w:tcW w:w="1985" w:type="dxa"/>
            <w:vMerge w:val="restart"/>
            <w:tcBorders>
              <w:top w:val="single" w:color="auto" w:sz="4" w:space="0"/>
              <w:left w:val="single" w:color="auto" w:sz="4" w:space="0"/>
              <w:right w:val="single" w:color="808080" w:sz="8" w:space="0"/>
            </w:tcBorders>
            <w:vAlign w:val="center"/>
          </w:tcPr>
          <w:p w14:paraId="2C09986A">
            <w:pPr>
              <w:rPr>
                <w:rFonts w:asciiTheme="minorEastAsia" w:hAnsiTheme="minorEastAsia"/>
                <w:szCs w:val="21"/>
              </w:rPr>
            </w:pPr>
            <w:r>
              <w:rPr>
                <w:rFonts w:hint="eastAsia" w:asciiTheme="minorEastAsia" w:hAnsiTheme="minorEastAsia"/>
                <w:szCs w:val="21"/>
              </w:rPr>
              <w:t>涉及相关案例的采购单位</w:t>
            </w:r>
          </w:p>
        </w:tc>
      </w:tr>
      <w:tr w14:paraId="14CD4E0F">
        <w:tblPrEx>
          <w:tblCellMar>
            <w:top w:w="0" w:type="dxa"/>
            <w:left w:w="108" w:type="dxa"/>
            <w:bottom w:w="0" w:type="dxa"/>
            <w:right w:w="108" w:type="dxa"/>
          </w:tblCellMar>
        </w:tblPrEx>
        <w:trPr>
          <w:trHeight w:val="928" w:hRule="atLeast"/>
          <w:jc w:val="center"/>
        </w:trPr>
        <w:tc>
          <w:tcPr>
            <w:tcW w:w="1439" w:type="dxa"/>
            <w:vMerge w:val="continue"/>
            <w:tcBorders>
              <w:top w:val="nil"/>
              <w:left w:val="single" w:color="808080" w:sz="8" w:space="0"/>
              <w:right w:val="single" w:color="808080" w:sz="8" w:space="0"/>
            </w:tcBorders>
            <w:shd w:val="clear" w:color="auto" w:fill="auto"/>
            <w:vAlign w:val="bottom"/>
          </w:tcPr>
          <w:p w14:paraId="3BBDA13B"/>
        </w:tc>
        <w:tc>
          <w:tcPr>
            <w:tcW w:w="3260" w:type="dxa"/>
            <w:tcBorders>
              <w:top w:val="single" w:color="auto" w:sz="4" w:space="0"/>
              <w:left w:val="nil"/>
              <w:bottom w:val="single" w:color="auto" w:sz="4" w:space="0"/>
              <w:right w:val="single" w:color="auto" w:sz="4" w:space="0"/>
            </w:tcBorders>
            <w:shd w:val="clear" w:color="auto" w:fill="auto"/>
            <w:vAlign w:val="center"/>
          </w:tcPr>
          <w:p w14:paraId="12861213">
            <w:r>
              <w:rPr>
                <w:rFonts w:hint="eastAsia"/>
              </w:rPr>
              <w:t>（五十五）12.2</w:t>
            </w:r>
            <w:r>
              <w:rPr>
                <w:rFonts w:hint="eastAsia" w:cs="仿宋_GB2312" w:asciiTheme="minorEastAsia" w:hAnsiTheme="minorEastAsia"/>
                <w:szCs w:val="21"/>
              </w:rPr>
              <w:t>政府采购流程管理</w:t>
            </w:r>
          </w:p>
        </w:tc>
        <w:tc>
          <w:tcPr>
            <w:tcW w:w="6946" w:type="dxa"/>
            <w:vMerge w:val="continue"/>
            <w:tcBorders>
              <w:left w:val="single" w:color="auto" w:sz="4" w:space="0"/>
              <w:right w:val="single" w:color="808080" w:sz="8" w:space="0"/>
            </w:tcBorders>
          </w:tcPr>
          <w:p w14:paraId="2B0ACBEE"/>
        </w:tc>
        <w:tc>
          <w:tcPr>
            <w:tcW w:w="1210" w:type="dxa"/>
            <w:vMerge w:val="continue"/>
            <w:tcBorders>
              <w:left w:val="single" w:color="auto" w:sz="4" w:space="0"/>
              <w:right w:val="single" w:color="808080" w:sz="8" w:space="0"/>
            </w:tcBorders>
          </w:tcPr>
          <w:p w14:paraId="1586168E"/>
        </w:tc>
        <w:tc>
          <w:tcPr>
            <w:tcW w:w="1985" w:type="dxa"/>
            <w:vMerge w:val="continue"/>
            <w:tcBorders>
              <w:left w:val="single" w:color="auto" w:sz="4" w:space="0"/>
              <w:right w:val="single" w:color="808080" w:sz="8" w:space="0"/>
            </w:tcBorders>
          </w:tcPr>
          <w:p w14:paraId="1DCD5880"/>
        </w:tc>
      </w:tr>
      <w:tr w14:paraId="652F42FA">
        <w:tblPrEx>
          <w:tblCellMar>
            <w:top w:w="0" w:type="dxa"/>
            <w:left w:w="108" w:type="dxa"/>
            <w:bottom w:w="0" w:type="dxa"/>
            <w:right w:w="108" w:type="dxa"/>
          </w:tblCellMar>
        </w:tblPrEx>
        <w:trPr>
          <w:trHeight w:val="928" w:hRule="atLeast"/>
          <w:jc w:val="center"/>
        </w:trPr>
        <w:tc>
          <w:tcPr>
            <w:tcW w:w="1439" w:type="dxa"/>
            <w:vMerge w:val="continue"/>
            <w:tcBorders>
              <w:top w:val="nil"/>
              <w:left w:val="single" w:color="808080" w:sz="8" w:space="0"/>
              <w:right w:val="single" w:color="808080" w:sz="8" w:space="0"/>
            </w:tcBorders>
            <w:shd w:val="clear" w:color="auto" w:fill="auto"/>
            <w:vAlign w:val="bottom"/>
          </w:tcPr>
          <w:p w14:paraId="598CB3F3"/>
        </w:tc>
        <w:tc>
          <w:tcPr>
            <w:tcW w:w="3260" w:type="dxa"/>
            <w:tcBorders>
              <w:top w:val="single" w:color="auto" w:sz="4" w:space="0"/>
              <w:left w:val="nil"/>
              <w:bottom w:val="single" w:color="auto" w:sz="4" w:space="0"/>
              <w:right w:val="single" w:color="auto" w:sz="4" w:space="0"/>
            </w:tcBorders>
            <w:shd w:val="clear" w:color="auto" w:fill="auto"/>
            <w:vAlign w:val="center"/>
          </w:tcPr>
          <w:p w14:paraId="2EDCC06D">
            <w:r>
              <w:rPr>
                <w:rFonts w:hint="eastAsia"/>
              </w:rPr>
              <w:t>（五十六）12.3</w:t>
            </w:r>
            <w:r>
              <w:rPr>
                <w:rFonts w:hint="eastAsia" w:cs="仿宋_GB2312" w:asciiTheme="minorEastAsia" w:hAnsiTheme="minorEastAsia"/>
                <w:szCs w:val="21"/>
              </w:rPr>
              <w:t>采购结果质量及外地企业中标率</w:t>
            </w:r>
          </w:p>
        </w:tc>
        <w:tc>
          <w:tcPr>
            <w:tcW w:w="6946" w:type="dxa"/>
            <w:vMerge w:val="continue"/>
            <w:tcBorders>
              <w:left w:val="single" w:color="auto" w:sz="4" w:space="0"/>
              <w:right w:val="single" w:color="808080" w:sz="8" w:space="0"/>
            </w:tcBorders>
          </w:tcPr>
          <w:p w14:paraId="0F76F457"/>
        </w:tc>
        <w:tc>
          <w:tcPr>
            <w:tcW w:w="1210" w:type="dxa"/>
            <w:vMerge w:val="continue"/>
            <w:tcBorders>
              <w:left w:val="single" w:color="auto" w:sz="4" w:space="0"/>
              <w:right w:val="single" w:color="808080" w:sz="8" w:space="0"/>
            </w:tcBorders>
          </w:tcPr>
          <w:p w14:paraId="797B6597"/>
        </w:tc>
        <w:tc>
          <w:tcPr>
            <w:tcW w:w="1985" w:type="dxa"/>
            <w:vMerge w:val="continue"/>
            <w:tcBorders>
              <w:left w:val="single" w:color="auto" w:sz="4" w:space="0"/>
              <w:right w:val="single" w:color="808080" w:sz="8" w:space="0"/>
            </w:tcBorders>
          </w:tcPr>
          <w:p w14:paraId="0CBA198F"/>
        </w:tc>
      </w:tr>
      <w:tr w14:paraId="5016BC49">
        <w:tblPrEx>
          <w:tblCellMar>
            <w:top w:w="0" w:type="dxa"/>
            <w:left w:w="108" w:type="dxa"/>
            <w:bottom w:w="0" w:type="dxa"/>
            <w:right w:w="108" w:type="dxa"/>
          </w:tblCellMar>
        </w:tblPrEx>
        <w:trPr>
          <w:trHeight w:val="927" w:hRule="atLeast"/>
          <w:jc w:val="center"/>
        </w:trPr>
        <w:tc>
          <w:tcPr>
            <w:tcW w:w="1439" w:type="dxa"/>
            <w:vMerge w:val="continue"/>
            <w:tcBorders>
              <w:top w:val="nil"/>
              <w:left w:val="single" w:color="808080" w:sz="8" w:space="0"/>
              <w:right w:val="single" w:color="808080" w:sz="8" w:space="0"/>
            </w:tcBorders>
            <w:shd w:val="clear" w:color="auto" w:fill="auto"/>
            <w:vAlign w:val="bottom"/>
          </w:tcPr>
          <w:p w14:paraId="06755940"/>
        </w:tc>
        <w:tc>
          <w:tcPr>
            <w:tcW w:w="3260" w:type="dxa"/>
            <w:tcBorders>
              <w:top w:val="single" w:color="auto" w:sz="4" w:space="0"/>
              <w:left w:val="nil"/>
              <w:bottom w:val="single" w:color="auto" w:sz="4" w:space="0"/>
              <w:right w:val="single" w:color="auto" w:sz="4" w:space="0"/>
            </w:tcBorders>
            <w:shd w:val="clear" w:color="auto" w:fill="auto"/>
            <w:vAlign w:val="center"/>
          </w:tcPr>
          <w:p w14:paraId="11F7817E">
            <w:r>
              <w:rPr>
                <w:rFonts w:hint="eastAsia"/>
              </w:rPr>
              <w:t>（五十七）12.4</w:t>
            </w:r>
            <w:r>
              <w:rPr>
                <w:rFonts w:hint="eastAsia" w:cs="仿宋_GB2312" w:asciiTheme="minorEastAsia" w:hAnsiTheme="minorEastAsia"/>
                <w:szCs w:val="21"/>
              </w:rPr>
              <w:t>履约担保及竞争公开</w:t>
            </w:r>
          </w:p>
        </w:tc>
        <w:tc>
          <w:tcPr>
            <w:tcW w:w="6946" w:type="dxa"/>
            <w:vMerge w:val="continue"/>
            <w:tcBorders>
              <w:left w:val="single" w:color="auto" w:sz="4" w:space="0"/>
              <w:right w:val="single" w:color="808080" w:sz="8" w:space="0"/>
            </w:tcBorders>
          </w:tcPr>
          <w:p w14:paraId="42797A5B"/>
        </w:tc>
        <w:tc>
          <w:tcPr>
            <w:tcW w:w="1210" w:type="dxa"/>
            <w:vMerge w:val="continue"/>
            <w:tcBorders>
              <w:left w:val="single" w:color="auto" w:sz="4" w:space="0"/>
              <w:right w:val="single" w:color="808080" w:sz="8" w:space="0"/>
            </w:tcBorders>
          </w:tcPr>
          <w:p w14:paraId="75CA8C72"/>
        </w:tc>
        <w:tc>
          <w:tcPr>
            <w:tcW w:w="1985" w:type="dxa"/>
            <w:vMerge w:val="continue"/>
            <w:tcBorders>
              <w:left w:val="single" w:color="auto" w:sz="4" w:space="0"/>
              <w:right w:val="single" w:color="808080" w:sz="8" w:space="0"/>
            </w:tcBorders>
          </w:tcPr>
          <w:p w14:paraId="78F9BEC8"/>
        </w:tc>
      </w:tr>
      <w:tr w14:paraId="3C4A77BC">
        <w:tblPrEx>
          <w:tblCellMar>
            <w:top w:w="0" w:type="dxa"/>
            <w:left w:w="108" w:type="dxa"/>
            <w:bottom w:w="0" w:type="dxa"/>
            <w:right w:w="108" w:type="dxa"/>
          </w:tblCellMar>
        </w:tblPrEx>
        <w:trPr>
          <w:trHeight w:val="928" w:hRule="atLeast"/>
          <w:jc w:val="center"/>
        </w:trPr>
        <w:tc>
          <w:tcPr>
            <w:tcW w:w="1439" w:type="dxa"/>
            <w:vMerge w:val="continue"/>
            <w:tcBorders>
              <w:top w:val="nil"/>
              <w:left w:val="single" w:color="808080" w:sz="8" w:space="0"/>
              <w:right w:val="single" w:color="808080" w:sz="8" w:space="0"/>
            </w:tcBorders>
            <w:shd w:val="clear" w:color="auto" w:fill="auto"/>
            <w:vAlign w:val="bottom"/>
          </w:tcPr>
          <w:p w14:paraId="3BADB99F"/>
        </w:tc>
        <w:tc>
          <w:tcPr>
            <w:tcW w:w="3260" w:type="dxa"/>
            <w:tcBorders>
              <w:top w:val="single" w:color="auto" w:sz="4" w:space="0"/>
              <w:left w:val="nil"/>
              <w:bottom w:val="single" w:color="auto" w:sz="4" w:space="0"/>
              <w:right w:val="single" w:color="auto" w:sz="4" w:space="0"/>
            </w:tcBorders>
            <w:shd w:val="clear" w:color="auto" w:fill="auto"/>
            <w:vAlign w:val="center"/>
          </w:tcPr>
          <w:p w14:paraId="05F3AF2A">
            <w:r>
              <w:rPr>
                <w:rFonts w:hint="eastAsia"/>
              </w:rPr>
              <w:t>（五十八）12.5</w:t>
            </w:r>
            <w:r>
              <w:rPr>
                <w:rFonts w:hint="eastAsia" w:cs="仿宋_GB2312" w:asciiTheme="minorEastAsia" w:hAnsiTheme="minorEastAsia"/>
                <w:szCs w:val="21"/>
              </w:rPr>
              <w:t>工程交付与费用支付</w:t>
            </w:r>
          </w:p>
        </w:tc>
        <w:tc>
          <w:tcPr>
            <w:tcW w:w="6946" w:type="dxa"/>
            <w:vMerge w:val="continue"/>
            <w:tcBorders>
              <w:left w:val="single" w:color="auto" w:sz="4" w:space="0"/>
              <w:right w:val="single" w:color="808080" w:sz="8" w:space="0"/>
            </w:tcBorders>
          </w:tcPr>
          <w:p w14:paraId="3E822A3D"/>
        </w:tc>
        <w:tc>
          <w:tcPr>
            <w:tcW w:w="1210" w:type="dxa"/>
            <w:vMerge w:val="continue"/>
            <w:tcBorders>
              <w:left w:val="single" w:color="auto" w:sz="4" w:space="0"/>
              <w:right w:val="single" w:color="808080" w:sz="8" w:space="0"/>
            </w:tcBorders>
          </w:tcPr>
          <w:p w14:paraId="686A35C7"/>
        </w:tc>
        <w:tc>
          <w:tcPr>
            <w:tcW w:w="1985" w:type="dxa"/>
            <w:vMerge w:val="continue"/>
            <w:tcBorders>
              <w:left w:val="single" w:color="auto" w:sz="4" w:space="0"/>
              <w:right w:val="single" w:color="808080" w:sz="8" w:space="0"/>
            </w:tcBorders>
          </w:tcPr>
          <w:p w14:paraId="3863A645"/>
        </w:tc>
      </w:tr>
      <w:tr w14:paraId="09062DF8">
        <w:tblPrEx>
          <w:tblCellMar>
            <w:top w:w="0" w:type="dxa"/>
            <w:left w:w="108" w:type="dxa"/>
            <w:bottom w:w="0" w:type="dxa"/>
            <w:right w:w="108" w:type="dxa"/>
          </w:tblCellMar>
        </w:tblPrEx>
        <w:trPr>
          <w:trHeight w:val="928" w:hRule="atLeast"/>
          <w:jc w:val="center"/>
        </w:trPr>
        <w:tc>
          <w:tcPr>
            <w:tcW w:w="1439" w:type="dxa"/>
            <w:vMerge w:val="continue"/>
            <w:tcBorders>
              <w:top w:val="nil"/>
              <w:left w:val="single" w:color="808080" w:sz="8" w:space="0"/>
              <w:bottom w:val="single" w:color="auto" w:sz="4" w:space="0"/>
              <w:right w:val="single" w:color="808080" w:sz="8" w:space="0"/>
            </w:tcBorders>
            <w:shd w:val="clear" w:color="auto" w:fill="auto"/>
            <w:vAlign w:val="bottom"/>
          </w:tcPr>
          <w:p w14:paraId="691E625E"/>
        </w:tc>
        <w:tc>
          <w:tcPr>
            <w:tcW w:w="3260" w:type="dxa"/>
            <w:tcBorders>
              <w:top w:val="single" w:color="auto" w:sz="4" w:space="0"/>
              <w:left w:val="nil"/>
              <w:bottom w:val="single" w:color="auto" w:sz="4" w:space="0"/>
              <w:right w:val="single" w:color="auto" w:sz="4" w:space="0"/>
            </w:tcBorders>
            <w:shd w:val="clear" w:color="auto" w:fill="auto"/>
            <w:vAlign w:val="center"/>
          </w:tcPr>
          <w:p w14:paraId="714386C6">
            <w:r>
              <w:rPr>
                <w:rFonts w:hint="eastAsia"/>
              </w:rPr>
              <w:t>（五十九）12.6</w:t>
            </w:r>
            <w:r>
              <w:rPr>
                <w:rFonts w:hint="eastAsia" w:cs="仿宋_GB2312" w:asciiTheme="minorEastAsia" w:hAnsiTheme="minorEastAsia"/>
                <w:szCs w:val="21"/>
              </w:rPr>
              <w:t>采购监督与投诉渠道</w:t>
            </w:r>
          </w:p>
        </w:tc>
        <w:tc>
          <w:tcPr>
            <w:tcW w:w="6946" w:type="dxa"/>
            <w:vMerge w:val="continue"/>
            <w:tcBorders>
              <w:left w:val="single" w:color="auto" w:sz="4" w:space="0"/>
              <w:bottom w:val="single" w:color="auto" w:sz="4" w:space="0"/>
              <w:right w:val="single" w:color="808080" w:sz="8" w:space="0"/>
            </w:tcBorders>
          </w:tcPr>
          <w:p w14:paraId="1C4A08F6"/>
        </w:tc>
        <w:tc>
          <w:tcPr>
            <w:tcW w:w="1210" w:type="dxa"/>
            <w:vMerge w:val="continue"/>
            <w:tcBorders>
              <w:left w:val="single" w:color="auto" w:sz="4" w:space="0"/>
              <w:bottom w:val="single" w:color="auto" w:sz="4" w:space="0"/>
              <w:right w:val="single" w:color="808080" w:sz="8" w:space="0"/>
            </w:tcBorders>
          </w:tcPr>
          <w:p w14:paraId="4ED4F920"/>
        </w:tc>
        <w:tc>
          <w:tcPr>
            <w:tcW w:w="1985" w:type="dxa"/>
            <w:vMerge w:val="continue"/>
            <w:tcBorders>
              <w:left w:val="single" w:color="auto" w:sz="4" w:space="0"/>
              <w:bottom w:val="single" w:color="auto" w:sz="4" w:space="0"/>
              <w:right w:val="single" w:color="808080" w:sz="8" w:space="0"/>
            </w:tcBorders>
          </w:tcPr>
          <w:p w14:paraId="120A3131"/>
        </w:tc>
      </w:tr>
      <w:tr w14:paraId="77EECEA2">
        <w:tblPrEx>
          <w:tblCellMar>
            <w:top w:w="0" w:type="dxa"/>
            <w:left w:w="108" w:type="dxa"/>
            <w:bottom w:w="0" w:type="dxa"/>
            <w:right w:w="108" w:type="dxa"/>
          </w:tblCellMar>
        </w:tblPrEx>
        <w:trPr>
          <w:trHeight w:val="911" w:hRule="atLeast"/>
          <w:jc w:val="center"/>
        </w:trPr>
        <w:tc>
          <w:tcPr>
            <w:tcW w:w="1439" w:type="dxa"/>
            <w:vMerge w:val="restart"/>
            <w:tcBorders>
              <w:top w:val="single" w:color="auto" w:sz="4" w:space="0"/>
              <w:left w:val="single" w:color="808080" w:sz="8" w:space="0"/>
              <w:right w:val="single" w:color="808080" w:sz="8" w:space="0"/>
            </w:tcBorders>
            <w:shd w:val="clear" w:color="auto" w:fill="auto"/>
            <w:vAlign w:val="center"/>
          </w:tcPr>
          <w:p w14:paraId="20E6376B">
            <w:r>
              <w:rPr>
                <w:rFonts w:hint="eastAsia"/>
              </w:rPr>
              <w:t>13.政务服务</w:t>
            </w:r>
          </w:p>
        </w:tc>
        <w:tc>
          <w:tcPr>
            <w:tcW w:w="3260" w:type="dxa"/>
            <w:tcBorders>
              <w:top w:val="single" w:color="auto" w:sz="4" w:space="0"/>
              <w:left w:val="nil"/>
              <w:bottom w:val="single" w:color="auto" w:sz="4" w:space="0"/>
              <w:right w:val="single" w:color="auto" w:sz="4" w:space="0"/>
            </w:tcBorders>
            <w:shd w:val="clear" w:color="auto" w:fill="auto"/>
            <w:vAlign w:val="center"/>
          </w:tcPr>
          <w:p w14:paraId="10DA83C1">
            <w:r>
              <w:rPr>
                <w:rFonts w:hint="eastAsia"/>
              </w:rPr>
              <w:t>（六十）13.1</w:t>
            </w:r>
            <w:r>
              <w:rPr>
                <w:rFonts w:hint="eastAsia" w:cs="仿宋_GB2312" w:asciiTheme="minorEastAsia" w:hAnsiTheme="minorEastAsia"/>
                <w:szCs w:val="21"/>
              </w:rPr>
              <w:t>网上政务服务能力</w:t>
            </w:r>
          </w:p>
        </w:tc>
        <w:tc>
          <w:tcPr>
            <w:tcW w:w="6946" w:type="dxa"/>
            <w:vMerge w:val="restart"/>
            <w:tcBorders>
              <w:top w:val="single" w:color="auto" w:sz="4" w:space="0"/>
              <w:left w:val="single" w:color="auto" w:sz="4" w:space="0"/>
              <w:right w:val="single" w:color="808080" w:sz="8" w:space="0"/>
            </w:tcBorders>
            <w:vAlign w:val="center"/>
          </w:tcPr>
          <w:p w14:paraId="43831E2D">
            <w:pPr>
              <w:rPr>
                <w:rFonts w:asciiTheme="minorEastAsia" w:hAnsiTheme="minorEastAsia"/>
                <w:szCs w:val="21"/>
              </w:rPr>
            </w:pPr>
            <w:r>
              <w:rPr>
                <w:rFonts w:hint="eastAsia" w:asciiTheme="minorEastAsia" w:hAnsiTheme="minorEastAsia"/>
                <w:szCs w:val="21"/>
              </w:rPr>
              <w:t>该指标衡量的是审批服务便民化、“互联网+政务服务”、政务信息系统整合共享等情况。</w:t>
            </w:r>
          </w:p>
          <w:p w14:paraId="65B0988C">
            <w:pPr>
              <w:rPr>
                <w:rFonts w:asciiTheme="minorEastAsia" w:hAnsiTheme="minorEastAsia"/>
                <w:szCs w:val="21"/>
              </w:rPr>
            </w:pPr>
            <w:r>
              <w:rPr>
                <w:rFonts w:hint="eastAsia"/>
              </w:rPr>
              <w:t>13.1</w:t>
            </w:r>
            <w:r>
              <w:rPr>
                <w:rFonts w:hint="eastAsia" w:asciiTheme="minorEastAsia" w:hAnsiTheme="minorEastAsia"/>
                <w:szCs w:val="21"/>
              </w:rPr>
              <w:t>网上政务服务能力,实际操作按设置的问题填写，对于实现网上办理的政务服务事项,填报时注明网上办理的网址。</w:t>
            </w:r>
          </w:p>
          <w:p w14:paraId="014F7F5C">
            <w:pPr>
              <w:rPr>
                <w:rFonts w:asciiTheme="minorEastAsia" w:hAnsiTheme="minorEastAsia"/>
                <w:szCs w:val="21"/>
              </w:rPr>
            </w:pPr>
            <w:r>
              <w:rPr>
                <w:rFonts w:hint="eastAsia"/>
              </w:rPr>
              <w:t>13.2</w:t>
            </w:r>
            <w:r>
              <w:rPr>
                <w:rFonts w:hint="eastAsia" w:asciiTheme="minorEastAsia" w:hAnsiTheme="minorEastAsia"/>
                <w:szCs w:val="21"/>
              </w:rPr>
              <w:t>政务服务事项便利度,主要围绕办事流程“一次性”告知、推进审批服务标准化、“减证便民”、政务服务集中办理、行政审批中介服务改革、政务服务加强监管与服务创新等主题。</w:t>
            </w:r>
          </w:p>
          <w:p w14:paraId="318A2FB4">
            <w:pPr>
              <w:rPr>
                <w:rFonts w:asciiTheme="minorEastAsia" w:hAnsiTheme="minorEastAsia"/>
                <w:szCs w:val="21"/>
              </w:rPr>
            </w:pPr>
            <w:r>
              <w:rPr>
                <w:rFonts w:hint="eastAsia"/>
              </w:rPr>
              <w:t>13.3</w:t>
            </w:r>
            <w:r>
              <w:rPr>
                <w:rFonts w:hint="eastAsia" w:asciiTheme="minorEastAsia" w:hAnsiTheme="minorEastAsia"/>
                <w:szCs w:val="21"/>
              </w:rPr>
              <w:t>政务服务满意度,主要衡量的是企业、群众对政务服务的感受度和满意度。</w:t>
            </w:r>
          </w:p>
          <w:p w14:paraId="582CE7F4">
            <w:pPr>
              <w:rPr>
                <w:rFonts w:asciiTheme="minorEastAsia" w:hAnsiTheme="minorEastAsia"/>
                <w:szCs w:val="21"/>
              </w:rPr>
            </w:pPr>
            <w:r>
              <w:rPr>
                <w:rFonts w:hint="eastAsia"/>
              </w:rPr>
              <w:t>13.4</w:t>
            </w:r>
            <w:r>
              <w:rPr>
                <w:rFonts w:hint="eastAsia" w:asciiTheme="minorEastAsia" w:hAnsiTheme="minorEastAsia"/>
                <w:szCs w:val="21"/>
              </w:rPr>
              <w:t>与国家政务服务平台数椐共享，实际操作按设置的问题填写，并提供佐证资料。</w:t>
            </w:r>
          </w:p>
        </w:tc>
        <w:tc>
          <w:tcPr>
            <w:tcW w:w="1210" w:type="dxa"/>
            <w:vMerge w:val="restart"/>
            <w:tcBorders>
              <w:top w:val="single" w:color="auto" w:sz="4" w:space="0"/>
              <w:left w:val="single" w:color="auto" w:sz="4" w:space="0"/>
              <w:right w:val="single" w:color="808080" w:sz="8" w:space="0"/>
            </w:tcBorders>
            <w:vAlign w:val="center"/>
          </w:tcPr>
          <w:p w14:paraId="4F64A062">
            <w:pPr>
              <w:rPr>
                <w:rFonts w:asciiTheme="minorEastAsia" w:hAnsiTheme="minorEastAsia"/>
                <w:szCs w:val="21"/>
              </w:rPr>
            </w:pPr>
            <w:r>
              <w:rPr>
                <w:rFonts w:hint="eastAsia" w:cs="仿宋_GB2312" w:asciiTheme="minorEastAsia" w:hAnsiTheme="minorEastAsia"/>
                <w:szCs w:val="21"/>
              </w:rPr>
              <w:t>市行政审批局（市政务服务和大数据管理局）</w:t>
            </w:r>
          </w:p>
        </w:tc>
        <w:tc>
          <w:tcPr>
            <w:tcW w:w="1985" w:type="dxa"/>
            <w:vMerge w:val="restart"/>
            <w:tcBorders>
              <w:top w:val="single" w:color="auto" w:sz="4" w:space="0"/>
              <w:left w:val="single" w:color="auto" w:sz="4" w:space="0"/>
              <w:right w:val="single" w:color="808080" w:sz="8" w:space="0"/>
            </w:tcBorders>
            <w:vAlign w:val="center"/>
          </w:tcPr>
          <w:p w14:paraId="59C44D66">
            <w:pPr>
              <w:rPr>
                <w:rFonts w:asciiTheme="minorEastAsia" w:hAnsiTheme="minorEastAsia"/>
                <w:szCs w:val="21"/>
              </w:rPr>
            </w:pPr>
            <w:r>
              <w:rPr>
                <w:rFonts w:hint="eastAsia" w:cs="仿宋_GB2312" w:asciiTheme="minorEastAsia" w:hAnsiTheme="minorEastAsia"/>
                <w:szCs w:val="21"/>
              </w:rPr>
              <w:t>市各相关政务服务职能部门</w:t>
            </w:r>
          </w:p>
        </w:tc>
      </w:tr>
      <w:tr w14:paraId="649891C7">
        <w:tblPrEx>
          <w:tblCellMar>
            <w:top w:w="0" w:type="dxa"/>
            <w:left w:w="108" w:type="dxa"/>
            <w:bottom w:w="0" w:type="dxa"/>
            <w:right w:w="108" w:type="dxa"/>
          </w:tblCellMar>
        </w:tblPrEx>
        <w:trPr>
          <w:trHeight w:val="911" w:hRule="atLeast"/>
          <w:jc w:val="center"/>
        </w:trPr>
        <w:tc>
          <w:tcPr>
            <w:tcW w:w="1439" w:type="dxa"/>
            <w:vMerge w:val="continue"/>
            <w:tcBorders>
              <w:left w:val="single" w:color="808080" w:sz="8" w:space="0"/>
              <w:right w:val="single" w:color="808080" w:sz="8" w:space="0"/>
            </w:tcBorders>
            <w:shd w:val="clear" w:color="auto" w:fill="auto"/>
            <w:vAlign w:val="center"/>
          </w:tcPr>
          <w:p w14:paraId="60B0C29E"/>
        </w:tc>
        <w:tc>
          <w:tcPr>
            <w:tcW w:w="3260" w:type="dxa"/>
            <w:tcBorders>
              <w:top w:val="single" w:color="auto" w:sz="4" w:space="0"/>
              <w:left w:val="nil"/>
              <w:bottom w:val="single" w:color="auto" w:sz="4" w:space="0"/>
              <w:right w:val="single" w:color="auto" w:sz="4" w:space="0"/>
            </w:tcBorders>
            <w:shd w:val="clear" w:color="auto" w:fill="auto"/>
            <w:vAlign w:val="center"/>
          </w:tcPr>
          <w:p w14:paraId="56AB5B3B">
            <w:r>
              <w:rPr>
                <w:rFonts w:hint="eastAsia"/>
              </w:rPr>
              <w:t>（六十一）13.2</w:t>
            </w:r>
            <w:r>
              <w:rPr>
                <w:rFonts w:hint="eastAsia" w:cs="仿宋_GB2312" w:asciiTheme="minorEastAsia" w:hAnsiTheme="minorEastAsia"/>
                <w:szCs w:val="21"/>
              </w:rPr>
              <w:t>政务服务事项便利度</w:t>
            </w:r>
          </w:p>
        </w:tc>
        <w:tc>
          <w:tcPr>
            <w:tcW w:w="6946" w:type="dxa"/>
            <w:vMerge w:val="continue"/>
            <w:tcBorders>
              <w:left w:val="single" w:color="auto" w:sz="4" w:space="0"/>
              <w:right w:val="single" w:color="808080" w:sz="8" w:space="0"/>
            </w:tcBorders>
          </w:tcPr>
          <w:p w14:paraId="0A97094B"/>
        </w:tc>
        <w:tc>
          <w:tcPr>
            <w:tcW w:w="1210" w:type="dxa"/>
            <w:vMerge w:val="continue"/>
            <w:tcBorders>
              <w:left w:val="single" w:color="auto" w:sz="4" w:space="0"/>
              <w:right w:val="single" w:color="808080" w:sz="8" w:space="0"/>
            </w:tcBorders>
          </w:tcPr>
          <w:p w14:paraId="443BE2E5"/>
        </w:tc>
        <w:tc>
          <w:tcPr>
            <w:tcW w:w="1985" w:type="dxa"/>
            <w:vMerge w:val="continue"/>
            <w:tcBorders>
              <w:left w:val="single" w:color="auto" w:sz="4" w:space="0"/>
              <w:right w:val="single" w:color="808080" w:sz="8" w:space="0"/>
            </w:tcBorders>
          </w:tcPr>
          <w:p w14:paraId="25D8524B"/>
        </w:tc>
      </w:tr>
      <w:tr w14:paraId="7F2BF41F">
        <w:tblPrEx>
          <w:tblCellMar>
            <w:top w:w="0" w:type="dxa"/>
            <w:left w:w="108" w:type="dxa"/>
            <w:bottom w:w="0" w:type="dxa"/>
            <w:right w:w="108" w:type="dxa"/>
          </w:tblCellMar>
        </w:tblPrEx>
        <w:trPr>
          <w:trHeight w:val="911" w:hRule="atLeast"/>
          <w:jc w:val="center"/>
        </w:trPr>
        <w:tc>
          <w:tcPr>
            <w:tcW w:w="1439" w:type="dxa"/>
            <w:vMerge w:val="continue"/>
            <w:tcBorders>
              <w:left w:val="single" w:color="808080" w:sz="8" w:space="0"/>
              <w:right w:val="single" w:color="808080" w:sz="8" w:space="0"/>
            </w:tcBorders>
            <w:shd w:val="clear" w:color="auto" w:fill="auto"/>
            <w:vAlign w:val="center"/>
          </w:tcPr>
          <w:p w14:paraId="26B5B871"/>
        </w:tc>
        <w:tc>
          <w:tcPr>
            <w:tcW w:w="3260" w:type="dxa"/>
            <w:tcBorders>
              <w:top w:val="single" w:color="auto" w:sz="4" w:space="0"/>
              <w:left w:val="nil"/>
              <w:bottom w:val="single" w:color="auto" w:sz="4" w:space="0"/>
              <w:right w:val="single" w:color="auto" w:sz="4" w:space="0"/>
            </w:tcBorders>
            <w:shd w:val="clear" w:color="auto" w:fill="auto"/>
            <w:vAlign w:val="center"/>
          </w:tcPr>
          <w:p w14:paraId="5A1CDFB5">
            <w:r>
              <w:rPr>
                <w:rFonts w:hint="eastAsia"/>
              </w:rPr>
              <w:t>（六十二）13.3</w:t>
            </w:r>
            <w:r>
              <w:rPr>
                <w:rFonts w:hint="eastAsia" w:cs="仿宋_GB2312" w:asciiTheme="minorEastAsia" w:hAnsiTheme="minorEastAsia"/>
                <w:szCs w:val="21"/>
              </w:rPr>
              <w:t>政务服务满意度</w:t>
            </w:r>
          </w:p>
        </w:tc>
        <w:tc>
          <w:tcPr>
            <w:tcW w:w="6946" w:type="dxa"/>
            <w:vMerge w:val="continue"/>
            <w:tcBorders>
              <w:left w:val="single" w:color="auto" w:sz="4" w:space="0"/>
              <w:right w:val="single" w:color="808080" w:sz="8" w:space="0"/>
            </w:tcBorders>
          </w:tcPr>
          <w:p w14:paraId="5C8A5731"/>
        </w:tc>
        <w:tc>
          <w:tcPr>
            <w:tcW w:w="1210" w:type="dxa"/>
            <w:vMerge w:val="continue"/>
            <w:tcBorders>
              <w:left w:val="single" w:color="auto" w:sz="4" w:space="0"/>
              <w:right w:val="single" w:color="808080" w:sz="8" w:space="0"/>
            </w:tcBorders>
          </w:tcPr>
          <w:p w14:paraId="14952CD9"/>
        </w:tc>
        <w:tc>
          <w:tcPr>
            <w:tcW w:w="1985" w:type="dxa"/>
            <w:vMerge w:val="continue"/>
            <w:tcBorders>
              <w:left w:val="single" w:color="auto" w:sz="4" w:space="0"/>
              <w:right w:val="single" w:color="808080" w:sz="8" w:space="0"/>
            </w:tcBorders>
          </w:tcPr>
          <w:p w14:paraId="2449F14F"/>
        </w:tc>
      </w:tr>
      <w:tr w14:paraId="57589497">
        <w:tblPrEx>
          <w:tblCellMar>
            <w:top w:w="0" w:type="dxa"/>
            <w:left w:w="108" w:type="dxa"/>
            <w:bottom w:w="0" w:type="dxa"/>
            <w:right w:w="108" w:type="dxa"/>
          </w:tblCellMar>
        </w:tblPrEx>
        <w:trPr>
          <w:trHeight w:val="911" w:hRule="atLeast"/>
          <w:jc w:val="center"/>
        </w:trPr>
        <w:tc>
          <w:tcPr>
            <w:tcW w:w="1439" w:type="dxa"/>
            <w:vMerge w:val="continue"/>
            <w:tcBorders>
              <w:left w:val="single" w:color="808080" w:sz="8" w:space="0"/>
              <w:bottom w:val="single" w:color="auto" w:sz="4" w:space="0"/>
              <w:right w:val="single" w:color="808080" w:sz="8" w:space="0"/>
            </w:tcBorders>
            <w:shd w:val="clear" w:color="auto" w:fill="auto"/>
            <w:vAlign w:val="center"/>
          </w:tcPr>
          <w:p w14:paraId="6DC5D7AA"/>
        </w:tc>
        <w:tc>
          <w:tcPr>
            <w:tcW w:w="3260" w:type="dxa"/>
            <w:tcBorders>
              <w:top w:val="single" w:color="auto" w:sz="4" w:space="0"/>
              <w:left w:val="nil"/>
              <w:bottom w:val="single" w:color="auto" w:sz="4" w:space="0"/>
              <w:right w:val="single" w:color="auto" w:sz="4" w:space="0"/>
            </w:tcBorders>
            <w:shd w:val="clear" w:color="auto" w:fill="auto"/>
            <w:vAlign w:val="center"/>
          </w:tcPr>
          <w:p w14:paraId="5D41289E">
            <w:r>
              <w:rPr>
                <w:rFonts w:hint="eastAsia"/>
              </w:rPr>
              <w:t>（六十三）13.4</w:t>
            </w:r>
            <w:r>
              <w:rPr>
                <w:rFonts w:hint="eastAsia" w:cs="仿宋_GB2312" w:asciiTheme="minorEastAsia" w:hAnsiTheme="minorEastAsia"/>
                <w:szCs w:val="21"/>
              </w:rPr>
              <w:t>与国家、省政务服务平台数据共享</w:t>
            </w:r>
          </w:p>
        </w:tc>
        <w:tc>
          <w:tcPr>
            <w:tcW w:w="6946" w:type="dxa"/>
            <w:vMerge w:val="continue"/>
            <w:tcBorders>
              <w:left w:val="single" w:color="auto" w:sz="4" w:space="0"/>
              <w:bottom w:val="single" w:color="auto" w:sz="4" w:space="0"/>
              <w:right w:val="single" w:color="808080" w:sz="8" w:space="0"/>
            </w:tcBorders>
          </w:tcPr>
          <w:p w14:paraId="609E885E"/>
        </w:tc>
        <w:tc>
          <w:tcPr>
            <w:tcW w:w="1210" w:type="dxa"/>
            <w:vMerge w:val="continue"/>
            <w:tcBorders>
              <w:left w:val="single" w:color="auto" w:sz="4" w:space="0"/>
              <w:bottom w:val="single" w:color="auto" w:sz="4" w:space="0"/>
              <w:right w:val="single" w:color="808080" w:sz="8" w:space="0"/>
            </w:tcBorders>
          </w:tcPr>
          <w:p w14:paraId="531C69A7"/>
        </w:tc>
        <w:tc>
          <w:tcPr>
            <w:tcW w:w="1985" w:type="dxa"/>
            <w:vMerge w:val="continue"/>
            <w:tcBorders>
              <w:left w:val="single" w:color="auto" w:sz="4" w:space="0"/>
              <w:bottom w:val="single" w:color="auto" w:sz="4" w:space="0"/>
              <w:right w:val="single" w:color="808080" w:sz="8" w:space="0"/>
            </w:tcBorders>
          </w:tcPr>
          <w:p w14:paraId="343E3D40"/>
        </w:tc>
      </w:tr>
      <w:tr w14:paraId="5F07AB46">
        <w:tblPrEx>
          <w:tblCellMar>
            <w:top w:w="0" w:type="dxa"/>
            <w:left w:w="108" w:type="dxa"/>
            <w:bottom w:w="0" w:type="dxa"/>
            <w:right w:w="108" w:type="dxa"/>
          </w:tblCellMar>
        </w:tblPrEx>
        <w:trPr>
          <w:trHeight w:val="1126" w:hRule="atLeast"/>
          <w:jc w:val="center"/>
        </w:trPr>
        <w:tc>
          <w:tcPr>
            <w:tcW w:w="1439" w:type="dxa"/>
            <w:vMerge w:val="restart"/>
            <w:tcBorders>
              <w:top w:val="single" w:color="auto" w:sz="4" w:space="0"/>
              <w:left w:val="single" w:color="808080" w:sz="8" w:space="0"/>
              <w:right w:val="single" w:color="auto" w:sz="4" w:space="0"/>
            </w:tcBorders>
            <w:shd w:val="clear" w:color="auto" w:fill="auto"/>
            <w:vAlign w:val="center"/>
          </w:tcPr>
          <w:p w14:paraId="0295F633">
            <w:r>
              <w:rPr>
                <w:rFonts w:hint="eastAsia"/>
              </w:rPr>
              <w:t>14.知识产权保护</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39FCDF1C">
            <w:r>
              <w:rPr>
                <w:rFonts w:hint="eastAsia"/>
              </w:rPr>
              <w:t>（六十四）14.1</w:t>
            </w:r>
            <w:r>
              <w:rPr>
                <w:rFonts w:hint="eastAsia" w:cs="仿宋_GB2312" w:asciiTheme="minorEastAsia" w:hAnsiTheme="minorEastAsia"/>
                <w:szCs w:val="21"/>
              </w:rPr>
              <w:t>知识产权创造活力</w:t>
            </w:r>
          </w:p>
        </w:tc>
        <w:tc>
          <w:tcPr>
            <w:tcW w:w="6946" w:type="dxa"/>
            <w:vMerge w:val="restart"/>
            <w:tcBorders>
              <w:top w:val="single" w:color="auto" w:sz="4" w:space="0"/>
              <w:left w:val="single" w:color="auto" w:sz="4" w:space="0"/>
              <w:right w:val="single" w:color="808080" w:sz="8" w:space="0"/>
            </w:tcBorders>
            <w:vAlign w:val="center"/>
          </w:tcPr>
          <w:p w14:paraId="0542C74A">
            <w:pPr>
              <w:rPr>
                <w:rFonts w:asciiTheme="minorEastAsia" w:hAnsiTheme="minorEastAsia"/>
                <w:szCs w:val="21"/>
              </w:rPr>
            </w:pPr>
            <w:r>
              <w:rPr>
                <w:rFonts w:hint="eastAsia" w:asciiTheme="minorEastAsia" w:hAnsiTheme="minorEastAsia"/>
                <w:szCs w:val="21"/>
              </w:rPr>
              <w:t>该指标衡量的是知识产权创造质量、社会满意程度、转化效益等情况。</w:t>
            </w:r>
          </w:p>
          <w:p w14:paraId="0150F2ED">
            <w:pPr>
              <w:rPr>
                <w:rFonts w:asciiTheme="minorEastAsia" w:hAnsiTheme="minorEastAsia"/>
                <w:szCs w:val="21"/>
              </w:rPr>
            </w:pPr>
            <w:r>
              <w:rPr>
                <w:rFonts w:hint="eastAsia"/>
              </w:rPr>
              <w:t>14.1</w:t>
            </w:r>
            <w:r>
              <w:rPr>
                <w:rFonts w:hint="eastAsia" w:asciiTheme="minorEastAsia" w:hAnsiTheme="minorEastAsia"/>
                <w:szCs w:val="21"/>
              </w:rPr>
              <w:t>知识产权创造活力,实际操作主要填报在发明专利方面的相关统计数据,考察在知识产权创造方面的成果,衡量的是知识产权申请量、拥有量等情况。</w:t>
            </w:r>
          </w:p>
          <w:p w14:paraId="4DD8E665">
            <w:pPr>
              <w:rPr>
                <w:rFonts w:asciiTheme="minorEastAsia" w:hAnsiTheme="minorEastAsia"/>
                <w:szCs w:val="21"/>
              </w:rPr>
            </w:pPr>
            <w:r>
              <w:rPr>
                <w:rFonts w:hint="eastAsia"/>
              </w:rPr>
              <w:t>14.2</w:t>
            </w:r>
            <w:r>
              <w:rPr>
                <w:rFonts w:hint="eastAsia" w:asciiTheme="minorEastAsia" w:hAnsiTheme="minorEastAsia"/>
                <w:szCs w:val="21"/>
              </w:rPr>
              <w:t>行政执法监管力度,实际操作主要从行政执法监管和政务服务支持两个角度来衡量参评城市为提升知识产权保护的社会满意度做出的工作。</w:t>
            </w:r>
          </w:p>
          <w:p w14:paraId="3D79D1A1">
            <w:pPr>
              <w:rPr>
                <w:rFonts w:asciiTheme="minorEastAsia" w:hAnsiTheme="minorEastAsia"/>
                <w:szCs w:val="21"/>
              </w:rPr>
            </w:pPr>
            <w:r>
              <w:rPr>
                <w:rFonts w:hint="eastAsia"/>
              </w:rPr>
              <w:t>14.3</w:t>
            </w:r>
            <w:r>
              <w:rPr>
                <w:rFonts w:hint="eastAsia" w:asciiTheme="minorEastAsia" w:hAnsiTheme="minorEastAsia"/>
                <w:szCs w:val="21"/>
              </w:rPr>
              <w:t>非诉纠纷解决机构覆盖面,实际操作主要为统计数据填写,即填写非诉纠纷解决机构数量,包括知识产权调解机构、仲裁机构、快速维权中心等，注逐个列明名称。</w:t>
            </w:r>
          </w:p>
          <w:p w14:paraId="53ACE694">
            <w:pPr>
              <w:rPr>
                <w:rFonts w:asciiTheme="minorEastAsia" w:hAnsiTheme="minorEastAsia"/>
                <w:szCs w:val="21"/>
              </w:rPr>
            </w:pPr>
            <w:r>
              <w:rPr>
                <w:rFonts w:hint="eastAsia"/>
              </w:rPr>
              <w:t>14.4</w:t>
            </w:r>
            <w:r>
              <w:rPr>
                <w:rFonts w:hint="eastAsia" w:asciiTheme="minorEastAsia" w:hAnsiTheme="minorEastAsia"/>
                <w:szCs w:val="21"/>
              </w:rPr>
              <w:t>知识产权运用效益,实际操作主要为统计数据填写,包括商标、专利、版权知识产权质押融资额和每万人商标、专利、版权等知识产权质押融资额两个部分。</w:t>
            </w:r>
          </w:p>
        </w:tc>
        <w:tc>
          <w:tcPr>
            <w:tcW w:w="1210" w:type="dxa"/>
            <w:vMerge w:val="restart"/>
            <w:tcBorders>
              <w:top w:val="single" w:color="auto" w:sz="4" w:space="0"/>
              <w:left w:val="single" w:color="auto" w:sz="4" w:space="0"/>
              <w:right w:val="single" w:color="808080" w:sz="8" w:space="0"/>
            </w:tcBorders>
            <w:vAlign w:val="center"/>
          </w:tcPr>
          <w:p w14:paraId="4FBCAB03">
            <w:pPr>
              <w:rPr>
                <w:rFonts w:asciiTheme="minorEastAsia" w:hAnsiTheme="minorEastAsia"/>
                <w:szCs w:val="21"/>
              </w:rPr>
            </w:pPr>
            <w:r>
              <w:rPr>
                <w:rFonts w:hint="eastAsia" w:cs="仿宋_GB2312" w:asciiTheme="minorEastAsia" w:hAnsiTheme="minorEastAsia"/>
                <w:szCs w:val="21"/>
              </w:rPr>
              <w:t>市市场监管局（市知识产权局）</w:t>
            </w:r>
          </w:p>
        </w:tc>
        <w:tc>
          <w:tcPr>
            <w:tcW w:w="1985" w:type="dxa"/>
            <w:vMerge w:val="restart"/>
            <w:tcBorders>
              <w:top w:val="single" w:color="auto" w:sz="4" w:space="0"/>
              <w:left w:val="single" w:color="auto" w:sz="4" w:space="0"/>
              <w:right w:val="single" w:color="808080" w:sz="8" w:space="0"/>
            </w:tcBorders>
            <w:vAlign w:val="center"/>
          </w:tcPr>
          <w:p w14:paraId="144C7F5C">
            <w:pPr>
              <w:rPr>
                <w:rFonts w:asciiTheme="minorEastAsia" w:hAnsiTheme="minorEastAsia"/>
                <w:szCs w:val="21"/>
              </w:rPr>
            </w:pPr>
            <w:r>
              <w:rPr>
                <w:rFonts w:hint="eastAsia" w:cs="仿宋_GB2312" w:asciiTheme="minorEastAsia" w:hAnsiTheme="minorEastAsia"/>
                <w:szCs w:val="21"/>
              </w:rPr>
              <w:t>市科技局、市公安局、市统计局、市司法局、市新闻出版局等相关单位</w:t>
            </w:r>
          </w:p>
        </w:tc>
      </w:tr>
      <w:tr w14:paraId="105ACA3E">
        <w:tblPrEx>
          <w:tblCellMar>
            <w:top w:w="0" w:type="dxa"/>
            <w:left w:w="108" w:type="dxa"/>
            <w:bottom w:w="0" w:type="dxa"/>
            <w:right w:w="108" w:type="dxa"/>
          </w:tblCellMar>
        </w:tblPrEx>
        <w:trPr>
          <w:trHeight w:val="1126" w:hRule="atLeast"/>
          <w:jc w:val="center"/>
        </w:trPr>
        <w:tc>
          <w:tcPr>
            <w:tcW w:w="1439" w:type="dxa"/>
            <w:vMerge w:val="continue"/>
            <w:tcBorders>
              <w:left w:val="single" w:color="808080" w:sz="8" w:space="0"/>
              <w:right w:val="single" w:color="auto" w:sz="4" w:space="0"/>
            </w:tcBorders>
            <w:shd w:val="clear" w:color="auto" w:fill="auto"/>
            <w:vAlign w:val="center"/>
          </w:tcPr>
          <w:p w14:paraId="05EA1EFF"/>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285CD742">
            <w:r>
              <w:rPr>
                <w:rFonts w:hint="eastAsia"/>
              </w:rPr>
              <w:t>（六十五）14.2</w:t>
            </w:r>
            <w:r>
              <w:rPr>
                <w:rFonts w:hint="eastAsia" w:cs="仿宋_GB2312" w:asciiTheme="minorEastAsia" w:hAnsiTheme="minorEastAsia"/>
                <w:szCs w:val="21"/>
              </w:rPr>
              <w:t>行政执法监管力度</w:t>
            </w:r>
          </w:p>
        </w:tc>
        <w:tc>
          <w:tcPr>
            <w:tcW w:w="6946" w:type="dxa"/>
            <w:vMerge w:val="continue"/>
            <w:tcBorders>
              <w:left w:val="single" w:color="auto" w:sz="4" w:space="0"/>
              <w:right w:val="single" w:color="808080" w:sz="8" w:space="0"/>
            </w:tcBorders>
            <w:vAlign w:val="center"/>
          </w:tcPr>
          <w:p w14:paraId="03345893"/>
        </w:tc>
        <w:tc>
          <w:tcPr>
            <w:tcW w:w="1210" w:type="dxa"/>
            <w:vMerge w:val="continue"/>
            <w:tcBorders>
              <w:left w:val="single" w:color="auto" w:sz="4" w:space="0"/>
              <w:right w:val="single" w:color="808080" w:sz="8" w:space="0"/>
            </w:tcBorders>
            <w:vAlign w:val="center"/>
          </w:tcPr>
          <w:p w14:paraId="39B0DF4D"/>
        </w:tc>
        <w:tc>
          <w:tcPr>
            <w:tcW w:w="1985" w:type="dxa"/>
            <w:vMerge w:val="continue"/>
            <w:tcBorders>
              <w:left w:val="single" w:color="auto" w:sz="4" w:space="0"/>
              <w:right w:val="single" w:color="808080" w:sz="8" w:space="0"/>
            </w:tcBorders>
            <w:vAlign w:val="center"/>
          </w:tcPr>
          <w:p w14:paraId="56F42BEF"/>
        </w:tc>
      </w:tr>
      <w:tr w14:paraId="2164184E">
        <w:tblPrEx>
          <w:tblCellMar>
            <w:top w:w="0" w:type="dxa"/>
            <w:left w:w="108" w:type="dxa"/>
            <w:bottom w:w="0" w:type="dxa"/>
            <w:right w:w="108" w:type="dxa"/>
          </w:tblCellMar>
        </w:tblPrEx>
        <w:trPr>
          <w:trHeight w:val="1126" w:hRule="atLeast"/>
          <w:jc w:val="center"/>
        </w:trPr>
        <w:tc>
          <w:tcPr>
            <w:tcW w:w="1439" w:type="dxa"/>
            <w:vMerge w:val="continue"/>
            <w:tcBorders>
              <w:left w:val="single" w:color="808080" w:sz="8" w:space="0"/>
              <w:right w:val="single" w:color="auto" w:sz="4" w:space="0"/>
            </w:tcBorders>
            <w:shd w:val="clear" w:color="auto" w:fill="auto"/>
            <w:vAlign w:val="center"/>
          </w:tcPr>
          <w:p w14:paraId="592E956F"/>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655A3594">
            <w:r>
              <w:rPr>
                <w:rFonts w:hint="eastAsia"/>
              </w:rPr>
              <w:t>（六十六）14.3</w:t>
            </w:r>
            <w:r>
              <w:rPr>
                <w:rFonts w:hint="eastAsia" w:cs="仿宋_GB2312" w:asciiTheme="minorEastAsia" w:hAnsiTheme="minorEastAsia"/>
                <w:szCs w:val="21"/>
              </w:rPr>
              <w:t>非诉纠纷解决机制覆盖面</w:t>
            </w:r>
          </w:p>
        </w:tc>
        <w:tc>
          <w:tcPr>
            <w:tcW w:w="6946" w:type="dxa"/>
            <w:vMerge w:val="continue"/>
            <w:tcBorders>
              <w:left w:val="single" w:color="auto" w:sz="4" w:space="0"/>
              <w:right w:val="single" w:color="808080" w:sz="8" w:space="0"/>
            </w:tcBorders>
            <w:vAlign w:val="center"/>
          </w:tcPr>
          <w:p w14:paraId="3F79A2E8"/>
        </w:tc>
        <w:tc>
          <w:tcPr>
            <w:tcW w:w="1210" w:type="dxa"/>
            <w:vMerge w:val="continue"/>
            <w:tcBorders>
              <w:left w:val="single" w:color="auto" w:sz="4" w:space="0"/>
              <w:right w:val="single" w:color="808080" w:sz="8" w:space="0"/>
            </w:tcBorders>
            <w:vAlign w:val="center"/>
          </w:tcPr>
          <w:p w14:paraId="2CBCB027"/>
        </w:tc>
        <w:tc>
          <w:tcPr>
            <w:tcW w:w="1985" w:type="dxa"/>
            <w:vMerge w:val="continue"/>
            <w:tcBorders>
              <w:left w:val="single" w:color="auto" w:sz="4" w:space="0"/>
              <w:right w:val="single" w:color="808080" w:sz="8" w:space="0"/>
            </w:tcBorders>
            <w:vAlign w:val="center"/>
          </w:tcPr>
          <w:p w14:paraId="3DC3986B"/>
        </w:tc>
      </w:tr>
      <w:tr w14:paraId="7851BE95">
        <w:tblPrEx>
          <w:tblCellMar>
            <w:top w:w="0" w:type="dxa"/>
            <w:left w:w="108" w:type="dxa"/>
            <w:bottom w:w="0" w:type="dxa"/>
            <w:right w:w="108" w:type="dxa"/>
          </w:tblCellMar>
        </w:tblPrEx>
        <w:trPr>
          <w:trHeight w:val="1126" w:hRule="atLeast"/>
          <w:jc w:val="center"/>
        </w:trPr>
        <w:tc>
          <w:tcPr>
            <w:tcW w:w="1439" w:type="dxa"/>
            <w:vMerge w:val="continue"/>
            <w:tcBorders>
              <w:left w:val="single" w:color="808080" w:sz="8" w:space="0"/>
              <w:bottom w:val="single" w:color="auto" w:sz="4" w:space="0"/>
              <w:right w:val="single" w:color="auto" w:sz="4" w:space="0"/>
            </w:tcBorders>
            <w:shd w:val="clear" w:color="auto" w:fill="auto"/>
            <w:vAlign w:val="center"/>
          </w:tcPr>
          <w:p w14:paraId="7EDE9ECD"/>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7CF03F27">
            <w:r>
              <w:rPr>
                <w:rFonts w:hint="eastAsia"/>
              </w:rPr>
              <w:t>（六十七）14.4</w:t>
            </w:r>
            <w:r>
              <w:rPr>
                <w:rFonts w:hint="eastAsia" w:cs="仿宋_GB2312" w:asciiTheme="minorEastAsia" w:hAnsiTheme="minorEastAsia"/>
                <w:szCs w:val="21"/>
              </w:rPr>
              <w:t>知识产权运用效益</w:t>
            </w:r>
          </w:p>
        </w:tc>
        <w:tc>
          <w:tcPr>
            <w:tcW w:w="6946" w:type="dxa"/>
            <w:vMerge w:val="continue"/>
            <w:tcBorders>
              <w:left w:val="single" w:color="auto" w:sz="4" w:space="0"/>
              <w:bottom w:val="single" w:color="auto" w:sz="4" w:space="0"/>
              <w:right w:val="single" w:color="808080" w:sz="8" w:space="0"/>
            </w:tcBorders>
            <w:vAlign w:val="center"/>
          </w:tcPr>
          <w:p w14:paraId="538D7D3F"/>
        </w:tc>
        <w:tc>
          <w:tcPr>
            <w:tcW w:w="1210" w:type="dxa"/>
            <w:vMerge w:val="continue"/>
            <w:tcBorders>
              <w:left w:val="single" w:color="auto" w:sz="4" w:space="0"/>
              <w:bottom w:val="single" w:color="auto" w:sz="4" w:space="0"/>
              <w:right w:val="single" w:color="808080" w:sz="8" w:space="0"/>
            </w:tcBorders>
            <w:vAlign w:val="center"/>
          </w:tcPr>
          <w:p w14:paraId="6FB2D4F1"/>
        </w:tc>
        <w:tc>
          <w:tcPr>
            <w:tcW w:w="1985" w:type="dxa"/>
            <w:vMerge w:val="continue"/>
            <w:tcBorders>
              <w:left w:val="single" w:color="auto" w:sz="4" w:space="0"/>
              <w:bottom w:val="single" w:color="auto" w:sz="4" w:space="0"/>
              <w:right w:val="single" w:color="808080" w:sz="8" w:space="0"/>
            </w:tcBorders>
            <w:vAlign w:val="center"/>
          </w:tcPr>
          <w:p w14:paraId="723C086E"/>
        </w:tc>
      </w:tr>
      <w:tr w14:paraId="424809B6">
        <w:tblPrEx>
          <w:tblCellMar>
            <w:top w:w="0" w:type="dxa"/>
            <w:left w:w="108" w:type="dxa"/>
            <w:bottom w:w="0" w:type="dxa"/>
            <w:right w:w="108" w:type="dxa"/>
          </w:tblCellMar>
        </w:tblPrEx>
        <w:trPr>
          <w:trHeight w:val="1143" w:hRule="atLeast"/>
          <w:jc w:val="center"/>
        </w:trPr>
        <w:tc>
          <w:tcPr>
            <w:tcW w:w="1439" w:type="dxa"/>
            <w:vMerge w:val="restart"/>
            <w:tcBorders>
              <w:top w:val="single" w:color="auto" w:sz="4" w:space="0"/>
              <w:left w:val="single" w:color="808080" w:sz="8" w:space="0"/>
              <w:right w:val="single" w:color="808080" w:sz="8" w:space="0"/>
            </w:tcBorders>
            <w:shd w:val="clear" w:color="auto" w:fill="auto"/>
            <w:vAlign w:val="center"/>
          </w:tcPr>
          <w:p w14:paraId="5995884A">
            <w:r>
              <w:rPr>
                <w:rFonts w:hint="eastAsia"/>
              </w:rPr>
              <w:t>15.信用监管以及劳动力市场监管</w:t>
            </w:r>
          </w:p>
        </w:tc>
        <w:tc>
          <w:tcPr>
            <w:tcW w:w="3260" w:type="dxa"/>
            <w:tcBorders>
              <w:top w:val="single" w:color="auto" w:sz="4" w:space="0"/>
              <w:left w:val="nil"/>
              <w:bottom w:val="single" w:color="auto" w:sz="4" w:space="0"/>
              <w:right w:val="single" w:color="auto" w:sz="4" w:space="0"/>
            </w:tcBorders>
            <w:shd w:val="clear" w:color="auto" w:fill="auto"/>
            <w:vAlign w:val="center"/>
          </w:tcPr>
          <w:p w14:paraId="02C2A5EA">
            <w:r>
              <w:rPr>
                <w:rFonts w:hint="eastAsia" w:cs="仿宋_GB2312" w:asciiTheme="minorEastAsia" w:hAnsiTheme="minorEastAsia"/>
                <w:szCs w:val="21"/>
              </w:rPr>
              <w:t>（六十八）</w:t>
            </w:r>
            <w:r>
              <w:rPr>
                <w:rFonts w:hint="eastAsia"/>
              </w:rPr>
              <w:t>15.1</w:t>
            </w:r>
            <w:r>
              <w:rPr>
                <w:rFonts w:hint="eastAsia" w:cs="仿宋_GB2312" w:asciiTheme="minorEastAsia" w:hAnsiTheme="minorEastAsia"/>
                <w:szCs w:val="21"/>
              </w:rPr>
              <w:t>市场监管执法</w:t>
            </w:r>
          </w:p>
        </w:tc>
        <w:tc>
          <w:tcPr>
            <w:tcW w:w="6946" w:type="dxa"/>
            <w:tcBorders>
              <w:top w:val="single" w:color="auto" w:sz="4" w:space="0"/>
              <w:left w:val="single" w:color="auto" w:sz="4" w:space="0"/>
              <w:bottom w:val="single" w:color="auto" w:sz="4" w:space="0"/>
              <w:right w:val="single" w:color="808080" w:sz="8" w:space="0"/>
            </w:tcBorders>
            <w:vAlign w:val="center"/>
          </w:tcPr>
          <w:p w14:paraId="24A85E7B">
            <w:pPr>
              <w:rPr>
                <w:rFonts w:asciiTheme="minorEastAsia" w:hAnsiTheme="minorEastAsia"/>
                <w:szCs w:val="21"/>
              </w:rPr>
            </w:pPr>
            <w:r>
              <w:rPr>
                <w:rFonts w:hint="eastAsia"/>
              </w:rPr>
              <w:t>15.1</w:t>
            </w:r>
            <w:r>
              <w:rPr>
                <w:rFonts w:hint="eastAsia" w:cs="仿宋_GB2312" w:asciiTheme="minorEastAsia" w:hAnsiTheme="minorEastAsia"/>
                <w:szCs w:val="21"/>
              </w:rPr>
              <w:t>市场</w:t>
            </w:r>
            <w:r>
              <w:rPr>
                <w:rFonts w:hint="eastAsia" w:asciiTheme="minorEastAsia" w:hAnsiTheme="minorEastAsia"/>
                <w:szCs w:val="21"/>
              </w:rPr>
              <w:t>监管执法，主要考察的是信用档案、民生政策、信息公示、意见反馈和投诉、信用评价的鼓励与警示或惩戒、信用考核、失信行为联合惩戒措施、诚信宣传教育和培训，以及网络信用黑名单等方面的相关内容。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5D7E3782">
            <w:pPr>
              <w:rPr>
                <w:rFonts w:asciiTheme="minorEastAsia" w:hAnsiTheme="minorEastAsia"/>
                <w:szCs w:val="21"/>
              </w:rPr>
            </w:pPr>
            <w:r>
              <w:rPr>
                <w:rFonts w:hint="eastAsia" w:cs="仿宋_GB2312" w:asciiTheme="minorEastAsia" w:hAnsiTheme="minorEastAsia"/>
                <w:szCs w:val="21"/>
              </w:rPr>
              <w:t>市市场监管局</w:t>
            </w:r>
          </w:p>
        </w:tc>
        <w:tc>
          <w:tcPr>
            <w:tcW w:w="1985" w:type="dxa"/>
            <w:tcBorders>
              <w:top w:val="single" w:color="auto" w:sz="4" w:space="0"/>
              <w:left w:val="single" w:color="auto" w:sz="4" w:space="0"/>
              <w:bottom w:val="single" w:color="auto" w:sz="4" w:space="0"/>
              <w:right w:val="single" w:color="808080" w:sz="8" w:space="0"/>
            </w:tcBorders>
            <w:vAlign w:val="center"/>
          </w:tcPr>
          <w:p w14:paraId="617F17A7">
            <w:pPr>
              <w:rPr>
                <w:rFonts w:asciiTheme="minorEastAsia" w:hAnsiTheme="minorEastAsia"/>
                <w:szCs w:val="21"/>
              </w:rPr>
            </w:pPr>
            <w:r>
              <w:rPr>
                <w:rFonts w:hint="eastAsia" w:cs="仿宋_GB2312" w:asciiTheme="minorEastAsia" w:hAnsiTheme="minorEastAsia"/>
                <w:szCs w:val="21"/>
              </w:rPr>
              <w:t>市发改委等相关单位</w:t>
            </w:r>
          </w:p>
        </w:tc>
      </w:tr>
      <w:tr w14:paraId="02B70114">
        <w:tblPrEx>
          <w:tblCellMar>
            <w:top w:w="0" w:type="dxa"/>
            <w:left w:w="108" w:type="dxa"/>
            <w:bottom w:w="0" w:type="dxa"/>
            <w:right w:w="108" w:type="dxa"/>
          </w:tblCellMar>
        </w:tblPrEx>
        <w:trPr>
          <w:trHeight w:val="1143" w:hRule="atLeast"/>
          <w:jc w:val="center"/>
        </w:trPr>
        <w:tc>
          <w:tcPr>
            <w:tcW w:w="1439" w:type="dxa"/>
            <w:vMerge w:val="continue"/>
            <w:tcBorders>
              <w:left w:val="single" w:color="808080" w:sz="8" w:space="0"/>
              <w:right w:val="single" w:color="808080" w:sz="8" w:space="0"/>
            </w:tcBorders>
            <w:shd w:val="clear" w:color="auto" w:fill="auto"/>
            <w:vAlign w:val="center"/>
          </w:tcPr>
          <w:p w14:paraId="3AE7BE7D"/>
        </w:tc>
        <w:tc>
          <w:tcPr>
            <w:tcW w:w="3260" w:type="dxa"/>
            <w:tcBorders>
              <w:top w:val="single" w:color="auto" w:sz="4" w:space="0"/>
              <w:left w:val="nil"/>
              <w:bottom w:val="single" w:color="auto" w:sz="4" w:space="0"/>
              <w:right w:val="single" w:color="auto" w:sz="4" w:space="0"/>
            </w:tcBorders>
            <w:shd w:val="clear" w:color="auto" w:fill="auto"/>
            <w:vAlign w:val="center"/>
          </w:tcPr>
          <w:p w14:paraId="358A3529">
            <w:r>
              <w:rPr>
                <w:rFonts w:hint="eastAsia" w:cs="仿宋_GB2312" w:asciiTheme="minorEastAsia" w:hAnsiTheme="minorEastAsia"/>
                <w:szCs w:val="21"/>
              </w:rPr>
              <w:t>（六十九）</w:t>
            </w:r>
            <w:r>
              <w:rPr>
                <w:rFonts w:hint="eastAsia"/>
              </w:rPr>
              <w:t>15.2</w:t>
            </w:r>
            <w:r>
              <w:rPr>
                <w:rFonts w:hint="eastAsia" w:cs="仿宋_GB2312" w:asciiTheme="minorEastAsia" w:hAnsiTheme="minorEastAsia"/>
                <w:szCs w:val="21"/>
              </w:rPr>
              <w:t>执法信息公开</w:t>
            </w:r>
          </w:p>
        </w:tc>
        <w:tc>
          <w:tcPr>
            <w:tcW w:w="6946" w:type="dxa"/>
            <w:tcBorders>
              <w:top w:val="single" w:color="auto" w:sz="4" w:space="0"/>
              <w:left w:val="single" w:color="auto" w:sz="4" w:space="0"/>
              <w:bottom w:val="single" w:color="auto" w:sz="4" w:space="0"/>
              <w:right w:val="single" w:color="808080" w:sz="8" w:space="0"/>
            </w:tcBorders>
            <w:vAlign w:val="center"/>
          </w:tcPr>
          <w:p w14:paraId="2C93F5D9">
            <w:pPr>
              <w:rPr>
                <w:rFonts w:asciiTheme="minorEastAsia" w:hAnsiTheme="minorEastAsia"/>
                <w:szCs w:val="21"/>
              </w:rPr>
            </w:pPr>
            <w:r>
              <w:rPr>
                <w:rFonts w:hint="eastAsia"/>
              </w:rPr>
              <w:t>15.2</w:t>
            </w:r>
            <w:r>
              <w:rPr>
                <w:rFonts w:hint="eastAsia" w:cs="仿宋_GB2312" w:asciiTheme="minorEastAsia" w:hAnsiTheme="minorEastAsia"/>
                <w:szCs w:val="21"/>
              </w:rPr>
              <w:t>执法信息公开，包括</w:t>
            </w:r>
            <w:r>
              <w:rPr>
                <w:rFonts w:hint="eastAsia" w:asciiTheme="minorEastAsia" w:hAnsiTheme="minorEastAsia"/>
                <w:szCs w:val="21"/>
              </w:rPr>
              <w:t>监管执法事项检查结果公示、抽查检查方式等情况，以及法院审判信息的覆盖程度、信用惩戒措施、信息公开、信用记录、失信情况公开、司法从业人员诚信承诺制度等方面的相关内容。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26B7EEF0">
            <w:r>
              <w:rPr>
                <w:rFonts w:hint="eastAsia" w:cs="仿宋_GB2312" w:asciiTheme="minorEastAsia" w:hAnsiTheme="minorEastAsia"/>
                <w:szCs w:val="21"/>
              </w:rPr>
              <w:t>市市场监管局、市法院</w:t>
            </w:r>
          </w:p>
        </w:tc>
        <w:tc>
          <w:tcPr>
            <w:tcW w:w="1985" w:type="dxa"/>
            <w:tcBorders>
              <w:top w:val="single" w:color="auto" w:sz="4" w:space="0"/>
              <w:left w:val="single" w:color="auto" w:sz="4" w:space="0"/>
              <w:bottom w:val="single" w:color="auto" w:sz="4" w:space="0"/>
              <w:right w:val="single" w:color="808080" w:sz="8" w:space="0"/>
            </w:tcBorders>
            <w:vAlign w:val="center"/>
          </w:tcPr>
          <w:p w14:paraId="1872695D">
            <w:r>
              <w:rPr>
                <w:rFonts w:hint="eastAsia" w:cs="仿宋_GB2312" w:asciiTheme="minorEastAsia" w:hAnsiTheme="minorEastAsia"/>
                <w:szCs w:val="21"/>
              </w:rPr>
              <w:t>市司法局等相关单位</w:t>
            </w:r>
          </w:p>
        </w:tc>
      </w:tr>
      <w:tr w14:paraId="42D68E3A">
        <w:tblPrEx>
          <w:tblCellMar>
            <w:top w:w="0" w:type="dxa"/>
            <w:left w:w="108" w:type="dxa"/>
            <w:bottom w:w="0" w:type="dxa"/>
            <w:right w:w="108" w:type="dxa"/>
          </w:tblCellMar>
        </w:tblPrEx>
        <w:trPr>
          <w:trHeight w:val="1143" w:hRule="atLeast"/>
          <w:jc w:val="center"/>
        </w:trPr>
        <w:tc>
          <w:tcPr>
            <w:tcW w:w="1439" w:type="dxa"/>
            <w:vMerge w:val="continue"/>
            <w:tcBorders>
              <w:left w:val="single" w:color="808080" w:sz="8" w:space="0"/>
              <w:right w:val="single" w:color="808080" w:sz="8" w:space="0"/>
            </w:tcBorders>
            <w:shd w:val="clear" w:color="auto" w:fill="auto"/>
            <w:vAlign w:val="center"/>
          </w:tcPr>
          <w:p w14:paraId="1067C206"/>
        </w:tc>
        <w:tc>
          <w:tcPr>
            <w:tcW w:w="3260" w:type="dxa"/>
            <w:tcBorders>
              <w:top w:val="single" w:color="auto" w:sz="4" w:space="0"/>
              <w:left w:val="nil"/>
              <w:bottom w:val="single" w:color="auto" w:sz="4" w:space="0"/>
              <w:right w:val="single" w:color="auto" w:sz="4" w:space="0"/>
            </w:tcBorders>
            <w:shd w:val="clear" w:color="auto" w:fill="auto"/>
            <w:vAlign w:val="center"/>
          </w:tcPr>
          <w:p w14:paraId="57D8E4FD">
            <w:r>
              <w:rPr>
                <w:rFonts w:hint="eastAsia" w:cs="仿宋_GB2312" w:asciiTheme="minorEastAsia" w:hAnsiTheme="minorEastAsia"/>
                <w:szCs w:val="21"/>
              </w:rPr>
              <w:t>（七十）</w:t>
            </w:r>
            <w:r>
              <w:rPr>
                <w:rFonts w:hint="eastAsia"/>
              </w:rPr>
              <w:t>15.3</w:t>
            </w:r>
            <w:r>
              <w:rPr>
                <w:rFonts w:hint="eastAsia" w:cs="仿宋_GB2312" w:asciiTheme="minorEastAsia" w:hAnsiTheme="minorEastAsia"/>
                <w:szCs w:val="21"/>
              </w:rPr>
              <w:t>政务诚信度</w:t>
            </w:r>
          </w:p>
        </w:tc>
        <w:tc>
          <w:tcPr>
            <w:tcW w:w="6946" w:type="dxa"/>
            <w:tcBorders>
              <w:top w:val="single" w:color="auto" w:sz="4" w:space="0"/>
              <w:left w:val="single" w:color="auto" w:sz="4" w:space="0"/>
              <w:bottom w:val="single" w:color="auto" w:sz="4" w:space="0"/>
              <w:right w:val="single" w:color="808080" w:sz="8" w:space="0"/>
            </w:tcBorders>
            <w:vAlign w:val="center"/>
          </w:tcPr>
          <w:p w14:paraId="3767CFA3">
            <w:pPr>
              <w:rPr>
                <w:rFonts w:asciiTheme="minorEastAsia" w:hAnsiTheme="minorEastAsia"/>
                <w:szCs w:val="21"/>
              </w:rPr>
            </w:pPr>
            <w:r>
              <w:rPr>
                <w:rFonts w:hint="eastAsia"/>
              </w:rPr>
              <w:t>15.3</w:t>
            </w:r>
            <w:r>
              <w:rPr>
                <w:rFonts w:hint="eastAsia" w:asciiTheme="minorEastAsia" w:hAnsiTheme="minorEastAsia"/>
                <w:szCs w:val="21"/>
              </w:rPr>
              <w:t>政务诚信度，衡量的是政务诚信建设情况，主要考察依法行政（权责清单、决策机制等）、重大决策事项公示和听证制度、信用信息作为决策参考依据、政务履约（包括是否存在“新官不理旧账”等情况）和守诺激励机制、政务诚信约束问责机制，以及政务失信记录公开、公务人员诚信培训与管理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7F72CC66">
            <w:r>
              <w:rPr>
                <w:rFonts w:hint="eastAsia" w:cs="仿宋_GB2312" w:asciiTheme="minorEastAsia" w:hAnsiTheme="minorEastAsia"/>
                <w:szCs w:val="21"/>
              </w:rPr>
              <w:t>市发改委</w:t>
            </w:r>
          </w:p>
        </w:tc>
        <w:tc>
          <w:tcPr>
            <w:tcW w:w="1985" w:type="dxa"/>
            <w:tcBorders>
              <w:top w:val="single" w:color="auto" w:sz="4" w:space="0"/>
              <w:left w:val="single" w:color="auto" w:sz="4" w:space="0"/>
              <w:bottom w:val="single" w:color="auto" w:sz="4" w:space="0"/>
              <w:right w:val="single" w:color="808080" w:sz="8" w:space="0"/>
            </w:tcBorders>
            <w:vAlign w:val="center"/>
          </w:tcPr>
          <w:p w14:paraId="1FCF7497">
            <w:r>
              <w:rPr>
                <w:rFonts w:hint="eastAsia" w:cs="仿宋_GB2312" w:asciiTheme="minorEastAsia" w:hAnsiTheme="minorEastAsia"/>
                <w:szCs w:val="21"/>
              </w:rPr>
              <w:t>市委组织部（公务员局）、市委党校、市招商服务中心等相关单位</w:t>
            </w:r>
          </w:p>
        </w:tc>
      </w:tr>
      <w:tr w14:paraId="0CC6ACF8">
        <w:tblPrEx>
          <w:tblCellMar>
            <w:top w:w="0" w:type="dxa"/>
            <w:left w:w="108" w:type="dxa"/>
            <w:bottom w:w="0" w:type="dxa"/>
            <w:right w:w="108" w:type="dxa"/>
          </w:tblCellMar>
        </w:tblPrEx>
        <w:trPr>
          <w:trHeight w:val="1143" w:hRule="atLeast"/>
          <w:jc w:val="center"/>
        </w:trPr>
        <w:tc>
          <w:tcPr>
            <w:tcW w:w="1439" w:type="dxa"/>
            <w:vMerge w:val="continue"/>
            <w:tcBorders>
              <w:left w:val="single" w:color="808080" w:sz="8" w:space="0"/>
              <w:right w:val="single" w:color="808080" w:sz="8" w:space="0"/>
            </w:tcBorders>
            <w:shd w:val="clear" w:color="auto" w:fill="auto"/>
            <w:vAlign w:val="center"/>
          </w:tcPr>
          <w:p w14:paraId="647F61B3"/>
        </w:tc>
        <w:tc>
          <w:tcPr>
            <w:tcW w:w="3260" w:type="dxa"/>
            <w:tcBorders>
              <w:top w:val="single" w:color="auto" w:sz="4" w:space="0"/>
              <w:left w:val="nil"/>
              <w:bottom w:val="single" w:color="auto" w:sz="4" w:space="0"/>
              <w:right w:val="single" w:color="auto" w:sz="4" w:space="0"/>
            </w:tcBorders>
            <w:shd w:val="clear" w:color="auto" w:fill="auto"/>
            <w:vAlign w:val="center"/>
          </w:tcPr>
          <w:p w14:paraId="343C121B">
            <w:r>
              <w:rPr>
                <w:rFonts w:hint="eastAsia" w:cs="仿宋_GB2312" w:asciiTheme="minorEastAsia" w:hAnsiTheme="minorEastAsia"/>
                <w:szCs w:val="21"/>
              </w:rPr>
              <w:t>（七十一）</w:t>
            </w:r>
            <w:r>
              <w:rPr>
                <w:rFonts w:hint="eastAsia"/>
              </w:rPr>
              <w:t>15.4</w:t>
            </w:r>
            <w:r>
              <w:rPr>
                <w:rFonts w:hint="eastAsia" w:cs="仿宋_GB2312" w:asciiTheme="minorEastAsia" w:hAnsiTheme="minorEastAsia"/>
                <w:szCs w:val="21"/>
              </w:rPr>
              <w:t>商务诚信度</w:t>
            </w:r>
          </w:p>
        </w:tc>
        <w:tc>
          <w:tcPr>
            <w:tcW w:w="6946" w:type="dxa"/>
            <w:tcBorders>
              <w:top w:val="single" w:color="auto" w:sz="4" w:space="0"/>
              <w:left w:val="single" w:color="auto" w:sz="4" w:space="0"/>
              <w:bottom w:val="single" w:color="auto" w:sz="4" w:space="0"/>
              <w:right w:val="single" w:color="808080" w:sz="8" w:space="0"/>
            </w:tcBorders>
            <w:vAlign w:val="center"/>
          </w:tcPr>
          <w:p w14:paraId="3FE7CCEF">
            <w:pPr>
              <w:rPr>
                <w:rFonts w:asciiTheme="minorEastAsia" w:hAnsiTheme="minorEastAsia"/>
                <w:szCs w:val="21"/>
              </w:rPr>
            </w:pPr>
            <w:r>
              <w:rPr>
                <w:rFonts w:hint="eastAsia"/>
              </w:rPr>
              <w:t>15.4</w:t>
            </w:r>
            <w:r>
              <w:rPr>
                <w:rFonts w:hint="eastAsia" w:asciiTheme="minorEastAsia" w:hAnsiTheme="minorEastAsia"/>
                <w:szCs w:val="21"/>
              </w:rPr>
              <w:t>商务诚信度，衡量的是电子商务、税收、政府采购等领域的诚信建设情况。主要考察的是信用审核、守信激励金融产品、税收违法黑名单、收费公示制度、失信责任追溯制度、政府采购活动、招标投标违法行为、行业限期禁入、信用评估以及诚信表彰情况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03B1AA28">
            <w:r>
              <w:rPr>
                <w:rFonts w:hint="eastAsia" w:cs="仿宋_GB2312" w:asciiTheme="minorEastAsia" w:hAnsiTheme="minorEastAsia"/>
                <w:szCs w:val="21"/>
              </w:rPr>
              <w:t>市市场监管局、市税务局、市地方金融工作局、市财政局</w:t>
            </w:r>
          </w:p>
        </w:tc>
        <w:tc>
          <w:tcPr>
            <w:tcW w:w="1985" w:type="dxa"/>
            <w:tcBorders>
              <w:top w:val="single" w:color="auto" w:sz="4" w:space="0"/>
              <w:left w:val="single" w:color="auto" w:sz="4" w:space="0"/>
              <w:bottom w:val="single" w:color="auto" w:sz="4" w:space="0"/>
              <w:right w:val="single" w:color="808080" w:sz="8" w:space="0"/>
            </w:tcBorders>
            <w:vAlign w:val="center"/>
          </w:tcPr>
          <w:p w14:paraId="4C8D5342">
            <w:pPr>
              <w:rPr>
                <w:sz w:val="18"/>
                <w:szCs w:val="18"/>
              </w:rPr>
            </w:pPr>
            <w:r>
              <w:rPr>
                <w:rFonts w:hint="eastAsia" w:cs="仿宋_GB2312" w:asciiTheme="minorEastAsia" w:hAnsiTheme="minorEastAsia"/>
                <w:sz w:val="18"/>
                <w:szCs w:val="18"/>
              </w:rPr>
              <w:t>人行鄂州市中心支行、市行政审批局（市公共资源交易监管局）、市公共资源交易中心（市政府采购中心）、市住建局</w:t>
            </w:r>
          </w:p>
        </w:tc>
      </w:tr>
      <w:tr w14:paraId="19205018">
        <w:tblPrEx>
          <w:tblCellMar>
            <w:top w:w="0" w:type="dxa"/>
            <w:left w:w="108" w:type="dxa"/>
            <w:bottom w:w="0" w:type="dxa"/>
            <w:right w:w="108" w:type="dxa"/>
          </w:tblCellMar>
        </w:tblPrEx>
        <w:trPr>
          <w:trHeight w:val="739" w:hRule="atLeast"/>
          <w:jc w:val="center"/>
        </w:trPr>
        <w:tc>
          <w:tcPr>
            <w:tcW w:w="1439" w:type="dxa"/>
            <w:vMerge w:val="continue"/>
            <w:tcBorders>
              <w:left w:val="single" w:color="808080" w:sz="8" w:space="0"/>
              <w:right w:val="single" w:color="808080" w:sz="8" w:space="0"/>
            </w:tcBorders>
            <w:shd w:val="clear" w:color="auto" w:fill="auto"/>
            <w:vAlign w:val="center"/>
          </w:tcPr>
          <w:p w14:paraId="6A7D46AF"/>
        </w:tc>
        <w:tc>
          <w:tcPr>
            <w:tcW w:w="3260" w:type="dxa"/>
            <w:tcBorders>
              <w:top w:val="single" w:color="auto" w:sz="4" w:space="0"/>
              <w:left w:val="nil"/>
              <w:bottom w:val="single" w:color="auto" w:sz="4" w:space="0"/>
              <w:right w:val="single" w:color="auto" w:sz="4" w:space="0"/>
            </w:tcBorders>
            <w:shd w:val="clear" w:color="auto" w:fill="auto"/>
            <w:vAlign w:val="center"/>
          </w:tcPr>
          <w:p w14:paraId="443B8037">
            <w:r>
              <w:rPr>
                <w:rFonts w:hint="eastAsia" w:cs="仿宋_GB2312" w:asciiTheme="minorEastAsia" w:hAnsiTheme="minorEastAsia"/>
                <w:szCs w:val="21"/>
              </w:rPr>
              <w:t>（七十二）</w:t>
            </w:r>
            <w:r>
              <w:rPr>
                <w:rFonts w:hint="eastAsia"/>
              </w:rPr>
              <w:t>15.5</w:t>
            </w:r>
            <w:r>
              <w:rPr>
                <w:rFonts w:hint="eastAsia" w:cs="仿宋_GB2312" w:asciiTheme="minorEastAsia" w:hAnsiTheme="minorEastAsia"/>
                <w:szCs w:val="21"/>
              </w:rPr>
              <w:t>就业监管质量</w:t>
            </w:r>
          </w:p>
        </w:tc>
        <w:tc>
          <w:tcPr>
            <w:tcW w:w="6946" w:type="dxa"/>
            <w:tcBorders>
              <w:top w:val="single" w:color="auto" w:sz="4" w:space="0"/>
              <w:left w:val="single" w:color="auto" w:sz="4" w:space="0"/>
              <w:bottom w:val="single" w:color="auto" w:sz="4" w:space="0"/>
              <w:right w:val="single" w:color="808080" w:sz="8" w:space="0"/>
            </w:tcBorders>
            <w:vAlign w:val="center"/>
          </w:tcPr>
          <w:p w14:paraId="7459612E">
            <w:pPr>
              <w:rPr>
                <w:rFonts w:asciiTheme="minorEastAsia" w:hAnsiTheme="minorEastAsia"/>
                <w:szCs w:val="21"/>
              </w:rPr>
            </w:pPr>
            <w:r>
              <w:rPr>
                <w:rFonts w:hint="eastAsia"/>
              </w:rPr>
              <w:t>15.5</w:t>
            </w:r>
            <w:r>
              <w:rPr>
                <w:rFonts w:hint="eastAsia" w:asciiTheme="minorEastAsia" w:hAnsiTheme="minorEastAsia"/>
                <w:szCs w:val="21"/>
              </w:rPr>
              <w:t>就业监管质量，主要考察的是聘用情况、工作时间、裁员规定以及裁员成本等方面的相关内容。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5DE48E81">
            <w:r>
              <w:rPr>
                <w:rFonts w:hint="eastAsia" w:cs="仿宋_GB2312" w:asciiTheme="minorEastAsia" w:hAnsiTheme="minorEastAsia"/>
                <w:szCs w:val="21"/>
              </w:rPr>
              <w:t>市人社局</w:t>
            </w:r>
          </w:p>
        </w:tc>
        <w:tc>
          <w:tcPr>
            <w:tcW w:w="1985" w:type="dxa"/>
            <w:tcBorders>
              <w:top w:val="single" w:color="auto" w:sz="4" w:space="0"/>
              <w:left w:val="single" w:color="auto" w:sz="4" w:space="0"/>
              <w:bottom w:val="single" w:color="auto" w:sz="4" w:space="0"/>
              <w:right w:val="single" w:color="808080" w:sz="8" w:space="0"/>
            </w:tcBorders>
            <w:vAlign w:val="center"/>
          </w:tcPr>
          <w:p w14:paraId="06C94076"/>
        </w:tc>
      </w:tr>
      <w:tr w14:paraId="1F6CA81C">
        <w:tblPrEx>
          <w:tblCellMar>
            <w:top w:w="0" w:type="dxa"/>
            <w:left w:w="108" w:type="dxa"/>
            <w:bottom w:w="0" w:type="dxa"/>
            <w:right w:w="108" w:type="dxa"/>
          </w:tblCellMar>
        </w:tblPrEx>
        <w:trPr>
          <w:trHeight w:val="538" w:hRule="atLeast"/>
          <w:jc w:val="center"/>
        </w:trPr>
        <w:tc>
          <w:tcPr>
            <w:tcW w:w="1439" w:type="dxa"/>
            <w:vMerge w:val="continue"/>
            <w:tcBorders>
              <w:left w:val="single" w:color="808080" w:sz="8" w:space="0"/>
              <w:right w:val="single" w:color="808080" w:sz="8" w:space="0"/>
            </w:tcBorders>
            <w:shd w:val="clear" w:color="auto" w:fill="auto"/>
            <w:vAlign w:val="center"/>
          </w:tcPr>
          <w:p w14:paraId="06608999"/>
        </w:tc>
        <w:tc>
          <w:tcPr>
            <w:tcW w:w="3260" w:type="dxa"/>
            <w:tcBorders>
              <w:top w:val="single" w:color="auto" w:sz="4" w:space="0"/>
              <w:left w:val="nil"/>
              <w:bottom w:val="single" w:color="auto" w:sz="4" w:space="0"/>
              <w:right w:val="single" w:color="auto" w:sz="4" w:space="0"/>
            </w:tcBorders>
            <w:shd w:val="clear" w:color="auto" w:fill="auto"/>
            <w:vAlign w:val="center"/>
          </w:tcPr>
          <w:p w14:paraId="48BCB0BC">
            <w:pPr>
              <w:rPr>
                <w:rFonts w:cs="仿宋_GB2312" w:asciiTheme="minorEastAsia" w:hAnsiTheme="minorEastAsia"/>
                <w:szCs w:val="21"/>
              </w:rPr>
            </w:pPr>
            <w:r>
              <w:rPr>
                <w:rFonts w:hint="eastAsia" w:cs="仿宋_GB2312" w:asciiTheme="minorEastAsia" w:hAnsiTheme="minorEastAsia"/>
                <w:szCs w:val="21"/>
              </w:rPr>
              <w:t>（七十三）</w:t>
            </w:r>
            <w:r>
              <w:rPr>
                <w:rFonts w:hint="eastAsia"/>
              </w:rPr>
              <w:t>15.6</w:t>
            </w:r>
            <w:r>
              <w:rPr>
                <w:rFonts w:hint="eastAsia" w:cs="仿宋_GB2312" w:asciiTheme="minorEastAsia" w:hAnsiTheme="minorEastAsia"/>
                <w:szCs w:val="21"/>
              </w:rPr>
              <w:t>就业服务质量</w:t>
            </w:r>
          </w:p>
        </w:tc>
        <w:tc>
          <w:tcPr>
            <w:tcW w:w="6946" w:type="dxa"/>
            <w:tcBorders>
              <w:top w:val="single" w:color="auto" w:sz="4" w:space="0"/>
              <w:left w:val="single" w:color="auto" w:sz="4" w:space="0"/>
              <w:bottom w:val="single" w:color="auto" w:sz="4" w:space="0"/>
              <w:right w:val="single" w:color="808080" w:sz="8" w:space="0"/>
            </w:tcBorders>
            <w:vAlign w:val="center"/>
          </w:tcPr>
          <w:p w14:paraId="11B11C98">
            <w:r>
              <w:rPr>
                <w:rFonts w:hint="eastAsia"/>
              </w:rPr>
              <w:t>15.6</w:t>
            </w:r>
            <w:r>
              <w:rPr>
                <w:rFonts w:hint="eastAsia" w:asciiTheme="minorEastAsia" w:hAnsiTheme="minorEastAsia"/>
                <w:szCs w:val="21"/>
              </w:rPr>
              <w:t>就业服务质量,主要考察的是同工同酬、非性别歧视原则带薪产假、带薪病假以及失业保障等方面的相关内容。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63094304">
            <w:r>
              <w:rPr>
                <w:rFonts w:hint="eastAsia" w:cs="仿宋_GB2312" w:asciiTheme="minorEastAsia" w:hAnsiTheme="minorEastAsia"/>
                <w:szCs w:val="21"/>
              </w:rPr>
              <w:t>市人社局</w:t>
            </w:r>
          </w:p>
        </w:tc>
        <w:tc>
          <w:tcPr>
            <w:tcW w:w="1985" w:type="dxa"/>
            <w:tcBorders>
              <w:top w:val="single" w:color="auto" w:sz="4" w:space="0"/>
              <w:left w:val="single" w:color="auto" w:sz="4" w:space="0"/>
              <w:bottom w:val="single" w:color="auto" w:sz="4" w:space="0"/>
              <w:right w:val="single" w:color="808080" w:sz="8" w:space="0"/>
            </w:tcBorders>
            <w:vAlign w:val="center"/>
          </w:tcPr>
          <w:p w14:paraId="4F10A8FD"/>
        </w:tc>
      </w:tr>
      <w:tr w14:paraId="3D5D8CA9">
        <w:tblPrEx>
          <w:tblCellMar>
            <w:top w:w="0" w:type="dxa"/>
            <w:left w:w="108" w:type="dxa"/>
            <w:bottom w:w="0" w:type="dxa"/>
            <w:right w:w="108" w:type="dxa"/>
          </w:tblCellMar>
        </w:tblPrEx>
        <w:trPr>
          <w:trHeight w:val="1352" w:hRule="atLeast"/>
          <w:jc w:val="center"/>
        </w:trPr>
        <w:tc>
          <w:tcPr>
            <w:tcW w:w="1439" w:type="dxa"/>
            <w:vMerge w:val="continue"/>
            <w:tcBorders>
              <w:left w:val="single" w:color="808080" w:sz="8" w:space="0"/>
              <w:bottom w:val="single" w:color="auto" w:sz="4" w:space="0"/>
              <w:right w:val="single" w:color="808080" w:sz="8" w:space="0"/>
            </w:tcBorders>
            <w:shd w:val="clear" w:color="auto" w:fill="auto"/>
            <w:vAlign w:val="center"/>
          </w:tcPr>
          <w:p w14:paraId="113E88FE"/>
        </w:tc>
        <w:tc>
          <w:tcPr>
            <w:tcW w:w="3260" w:type="dxa"/>
            <w:tcBorders>
              <w:top w:val="single" w:color="auto" w:sz="4" w:space="0"/>
              <w:left w:val="nil"/>
              <w:bottom w:val="single" w:color="auto" w:sz="4" w:space="0"/>
              <w:right w:val="single" w:color="auto" w:sz="4" w:space="0"/>
            </w:tcBorders>
            <w:shd w:val="clear" w:color="auto" w:fill="auto"/>
            <w:vAlign w:val="center"/>
          </w:tcPr>
          <w:p w14:paraId="3A43DBFC">
            <w:r>
              <w:rPr>
                <w:rFonts w:hint="eastAsia" w:cs="仿宋_GB2312" w:asciiTheme="minorEastAsia" w:hAnsiTheme="minorEastAsia"/>
                <w:szCs w:val="21"/>
              </w:rPr>
              <w:t>（七十四）</w:t>
            </w:r>
            <w:r>
              <w:rPr>
                <w:rFonts w:hint="eastAsia"/>
              </w:rPr>
              <w:t>15.7</w:t>
            </w:r>
            <w:r>
              <w:rPr>
                <w:rFonts w:hint="eastAsia" w:cs="仿宋_GB2312" w:asciiTheme="minorEastAsia" w:hAnsiTheme="minorEastAsia"/>
                <w:szCs w:val="21"/>
              </w:rPr>
              <w:t>监管系统数据化</w:t>
            </w:r>
          </w:p>
        </w:tc>
        <w:tc>
          <w:tcPr>
            <w:tcW w:w="6946" w:type="dxa"/>
            <w:tcBorders>
              <w:top w:val="single" w:color="auto" w:sz="4" w:space="0"/>
              <w:left w:val="single" w:color="auto" w:sz="4" w:space="0"/>
              <w:bottom w:val="single" w:color="auto" w:sz="4" w:space="0"/>
              <w:right w:val="single" w:color="808080" w:sz="8" w:space="0"/>
            </w:tcBorders>
            <w:vAlign w:val="center"/>
          </w:tcPr>
          <w:p w14:paraId="69BC46FE">
            <w:pPr>
              <w:rPr>
                <w:rFonts w:asciiTheme="minorEastAsia" w:hAnsiTheme="minorEastAsia"/>
                <w:szCs w:val="21"/>
              </w:rPr>
            </w:pPr>
            <w:r>
              <w:rPr>
                <w:rFonts w:hint="eastAsia"/>
              </w:rPr>
              <w:t>15.7</w:t>
            </w:r>
            <w:r>
              <w:rPr>
                <w:rFonts w:hint="eastAsia" w:asciiTheme="minorEastAsia" w:hAnsiTheme="minorEastAsia"/>
                <w:szCs w:val="21"/>
              </w:rPr>
              <w:t>监管系统数据化，主要考察的是诚信表彰情况和重大失信事件等方面的相关内容。</w:t>
            </w:r>
          </w:p>
        </w:tc>
        <w:tc>
          <w:tcPr>
            <w:tcW w:w="1210" w:type="dxa"/>
            <w:tcBorders>
              <w:top w:val="single" w:color="auto" w:sz="4" w:space="0"/>
              <w:left w:val="single" w:color="auto" w:sz="4" w:space="0"/>
              <w:bottom w:val="single" w:color="auto" w:sz="4" w:space="0"/>
              <w:right w:val="single" w:color="808080" w:sz="8" w:space="0"/>
            </w:tcBorders>
            <w:vAlign w:val="center"/>
          </w:tcPr>
          <w:p w14:paraId="46BD3CE5">
            <w:r>
              <w:rPr>
                <w:rFonts w:hint="eastAsia" w:cs="仿宋_GB2312" w:asciiTheme="minorEastAsia" w:hAnsiTheme="minorEastAsia"/>
                <w:szCs w:val="21"/>
              </w:rPr>
              <w:t>市发改委</w:t>
            </w:r>
          </w:p>
        </w:tc>
        <w:tc>
          <w:tcPr>
            <w:tcW w:w="1985" w:type="dxa"/>
            <w:tcBorders>
              <w:top w:val="single" w:color="auto" w:sz="4" w:space="0"/>
              <w:left w:val="single" w:color="auto" w:sz="4" w:space="0"/>
              <w:bottom w:val="single" w:color="auto" w:sz="4" w:space="0"/>
              <w:right w:val="single" w:color="808080" w:sz="8" w:space="0"/>
            </w:tcBorders>
            <w:vAlign w:val="center"/>
          </w:tcPr>
          <w:p w14:paraId="544E1C9C">
            <w:pPr>
              <w:rPr>
                <w:sz w:val="18"/>
                <w:szCs w:val="18"/>
              </w:rPr>
            </w:pPr>
            <w:r>
              <w:rPr>
                <w:rFonts w:hint="eastAsia" w:cs="仿宋_GB2312" w:asciiTheme="minorEastAsia" w:hAnsiTheme="minorEastAsia"/>
                <w:sz w:val="18"/>
                <w:szCs w:val="18"/>
              </w:rPr>
              <w:t>人行鄂州市中心支行、市地方金融工作局、市税务局、市市场监管局等相关单位</w:t>
            </w:r>
          </w:p>
        </w:tc>
      </w:tr>
      <w:tr w14:paraId="1C528833">
        <w:tblPrEx>
          <w:tblCellMar>
            <w:top w:w="0" w:type="dxa"/>
            <w:left w:w="108" w:type="dxa"/>
            <w:bottom w:w="0" w:type="dxa"/>
            <w:right w:w="108" w:type="dxa"/>
          </w:tblCellMar>
        </w:tblPrEx>
        <w:trPr>
          <w:trHeight w:val="833" w:hRule="atLeast"/>
          <w:jc w:val="center"/>
        </w:trPr>
        <w:tc>
          <w:tcPr>
            <w:tcW w:w="1439" w:type="dxa"/>
            <w:vMerge w:val="restart"/>
            <w:tcBorders>
              <w:top w:val="single" w:color="auto" w:sz="4" w:space="0"/>
              <w:left w:val="single" w:color="808080" w:sz="8" w:space="0"/>
              <w:right w:val="single" w:color="808080" w:sz="8" w:space="0"/>
            </w:tcBorders>
            <w:shd w:val="clear" w:color="auto" w:fill="auto"/>
            <w:vAlign w:val="center"/>
          </w:tcPr>
          <w:p w14:paraId="7910D3D4">
            <w:r>
              <w:rPr>
                <w:rFonts w:hint="eastAsia"/>
              </w:rPr>
              <w:t>16.城市品质</w:t>
            </w:r>
          </w:p>
        </w:tc>
        <w:tc>
          <w:tcPr>
            <w:tcW w:w="3260" w:type="dxa"/>
            <w:tcBorders>
              <w:top w:val="single" w:color="auto" w:sz="4" w:space="0"/>
              <w:left w:val="nil"/>
              <w:bottom w:val="single" w:color="auto" w:sz="4" w:space="0"/>
              <w:right w:val="single" w:color="auto" w:sz="4" w:space="0"/>
            </w:tcBorders>
            <w:shd w:val="clear" w:color="auto" w:fill="auto"/>
            <w:vAlign w:val="center"/>
          </w:tcPr>
          <w:p w14:paraId="177B8528">
            <w:r>
              <w:rPr>
                <w:rFonts w:hint="eastAsia" w:cs="仿宋_GB2312" w:asciiTheme="minorEastAsia" w:hAnsiTheme="minorEastAsia"/>
                <w:szCs w:val="21"/>
              </w:rPr>
              <w:t>（七十五）</w:t>
            </w:r>
            <w:r>
              <w:rPr>
                <w:rFonts w:hint="eastAsia"/>
              </w:rPr>
              <w:t>16.1</w:t>
            </w:r>
            <w:r>
              <w:rPr>
                <w:rFonts w:hint="eastAsia" w:cs="仿宋_GB2312" w:asciiTheme="minorEastAsia" w:hAnsiTheme="minorEastAsia"/>
                <w:szCs w:val="21"/>
              </w:rPr>
              <w:t>创新创业活力</w:t>
            </w:r>
          </w:p>
        </w:tc>
        <w:tc>
          <w:tcPr>
            <w:tcW w:w="6946" w:type="dxa"/>
            <w:tcBorders>
              <w:top w:val="single" w:color="auto" w:sz="4" w:space="0"/>
              <w:left w:val="single" w:color="auto" w:sz="4" w:space="0"/>
              <w:bottom w:val="single" w:color="auto" w:sz="4" w:space="0"/>
              <w:right w:val="single" w:color="808080" w:sz="8" w:space="0"/>
            </w:tcBorders>
            <w:vAlign w:val="center"/>
          </w:tcPr>
          <w:p w14:paraId="577BFB44">
            <w:pPr>
              <w:rPr>
                <w:rFonts w:asciiTheme="minorEastAsia" w:hAnsiTheme="minorEastAsia"/>
                <w:szCs w:val="21"/>
              </w:rPr>
            </w:pPr>
            <w:r>
              <w:rPr>
                <w:rFonts w:hint="eastAsia"/>
              </w:rPr>
              <w:t>16.1</w:t>
            </w:r>
            <w:r>
              <w:rPr>
                <w:rFonts w:hint="eastAsia" w:asciiTheme="minorEastAsia" w:hAnsiTheme="minorEastAsia"/>
                <w:szCs w:val="21"/>
              </w:rPr>
              <w:t>创新创业活力,提供新登记注册企业数量、专利申请件数、工业技改投资数,以及科技创新、人才发展体制机制等情况。</w:t>
            </w:r>
          </w:p>
        </w:tc>
        <w:tc>
          <w:tcPr>
            <w:tcW w:w="1210" w:type="dxa"/>
            <w:tcBorders>
              <w:top w:val="single" w:color="auto" w:sz="4" w:space="0"/>
              <w:left w:val="single" w:color="auto" w:sz="4" w:space="0"/>
              <w:bottom w:val="single" w:color="auto" w:sz="4" w:space="0"/>
              <w:right w:val="single" w:color="808080" w:sz="8" w:space="0"/>
            </w:tcBorders>
            <w:vAlign w:val="center"/>
          </w:tcPr>
          <w:p w14:paraId="3FF92A57">
            <w:pPr>
              <w:rPr>
                <w:rFonts w:asciiTheme="minorEastAsia" w:hAnsiTheme="minorEastAsia"/>
                <w:szCs w:val="21"/>
              </w:rPr>
            </w:pPr>
            <w:r>
              <w:rPr>
                <w:rFonts w:hint="eastAsia" w:cs="仿宋_GB2312" w:asciiTheme="minorEastAsia" w:hAnsiTheme="minorEastAsia"/>
                <w:szCs w:val="21"/>
              </w:rPr>
              <w:t>市市场监管局（市知</w:t>
            </w:r>
          </w:p>
          <w:p w14:paraId="55BC97B1">
            <w:pPr>
              <w:rPr>
                <w:rFonts w:asciiTheme="minorEastAsia" w:hAnsiTheme="minorEastAsia"/>
                <w:szCs w:val="21"/>
              </w:rPr>
            </w:pPr>
            <w:r>
              <w:rPr>
                <w:rFonts w:hint="eastAsia" w:cs="仿宋_GB2312" w:asciiTheme="minorEastAsia" w:hAnsiTheme="minorEastAsia"/>
                <w:szCs w:val="21"/>
              </w:rPr>
              <w:t>识产权局）</w:t>
            </w:r>
          </w:p>
        </w:tc>
        <w:tc>
          <w:tcPr>
            <w:tcW w:w="1985" w:type="dxa"/>
            <w:tcBorders>
              <w:top w:val="single" w:color="auto" w:sz="4" w:space="0"/>
              <w:left w:val="single" w:color="auto" w:sz="4" w:space="0"/>
              <w:bottom w:val="single" w:color="auto" w:sz="4" w:space="0"/>
              <w:right w:val="single" w:color="808080" w:sz="8" w:space="0"/>
            </w:tcBorders>
            <w:vAlign w:val="center"/>
          </w:tcPr>
          <w:p w14:paraId="0ADE3A73">
            <w:pPr>
              <w:rPr>
                <w:rFonts w:asciiTheme="minorEastAsia" w:hAnsiTheme="minorEastAsia"/>
                <w:szCs w:val="21"/>
              </w:rPr>
            </w:pPr>
            <w:r>
              <w:rPr>
                <w:rFonts w:hint="eastAsia" w:cs="仿宋_GB2312" w:asciiTheme="minorEastAsia" w:hAnsiTheme="minorEastAsia"/>
                <w:szCs w:val="21"/>
              </w:rPr>
              <w:t>市经信局、市科技局、市人社局等相关单位</w:t>
            </w:r>
          </w:p>
        </w:tc>
      </w:tr>
      <w:tr w14:paraId="7E45B5F1">
        <w:tblPrEx>
          <w:tblCellMar>
            <w:top w:w="0" w:type="dxa"/>
            <w:left w:w="108" w:type="dxa"/>
            <w:bottom w:w="0" w:type="dxa"/>
            <w:right w:w="108" w:type="dxa"/>
          </w:tblCellMar>
        </w:tblPrEx>
        <w:trPr>
          <w:trHeight w:val="1007" w:hRule="atLeast"/>
          <w:jc w:val="center"/>
        </w:trPr>
        <w:tc>
          <w:tcPr>
            <w:tcW w:w="1439" w:type="dxa"/>
            <w:vMerge w:val="continue"/>
            <w:tcBorders>
              <w:top w:val="single" w:color="auto" w:sz="4" w:space="0"/>
              <w:left w:val="single" w:color="808080" w:sz="8" w:space="0"/>
              <w:bottom w:val="nil"/>
              <w:right w:val="single" w:color="808080" w:sz="8" w:space="0"/>
            </w:tcBorders>
            <w:shd w:val="clear" w:color="auto" w:fill="auto"/>
            <w:vAlign w:val="center"/>
          </w:tcPr>
          <w:p w14:paraId="2D4B3AD4"/>
        </w:tc>
        <w:tc>
          <w:tcPr>
            <w:tcW w:w="3260" w:type="dxa"/>
            <w:tcBorders>
              <w:top w:val="single" w:color="auto" w:sz="4" w:space="0"/>
              <w:left w:val="nil"/>
              <w:right w:val="single" w:color="auto" w:sz="4" w:space="0"/>
            </w:tcBorders>
            <w:shd w:val="clear" w:color="auto" w:fill="auto"/>
            <w:vAlign w:val="center"/>
          </w:tcPr>
          <w:p w14:paraId="6EA6E869">
            <w:pPr>
              <w:rPr>
                <w:rFonts w:cs="仿宋_GB2312" w:asciiTheme="minorEastAsia" w:hAnsiTheme="minorEastAsia"/>
                <w:szCs w:val="21"/>
              </w:rPr>
            </w:pPr>
            <w:r>
              <w:rPr>
                <w:rFonts w:hint="eastAsia" w:cs="仿宋_GB2312" w:asciiTheme="minorEastAsia" w:hAnsiTheme="minorEastAsia"/>
                <w:szCs w:val="21"/>
              </w:rPr>
              <w:t>（七十六）</w:t>
            </w:r>
            <w:r>
              <w:rPr>
                <w:rFonts w:hint="eastAsia"/>
              </w:rPr>
              <w:t>16.2</w:t>
            </w:r>
            <w:r>
              <w:rPr>
                <w:rFonts w:hint="eastAsia" w:cs="仿宋_GB2312" w:asciiTheme="minorEastAsia" w:hAnsiTheme="minorEastAsia"/>
                <w:szCs w:val="21"/>
              </w:rPr>
              <w:t>市场开放包容</w:t>
            </w:r>
          </w:p>
        </w:tc>
        <w:tc>
          <w:tcPr>
            <w:tcW w:w="6946" w:type="dxa"/>
            <w:tcBorders>
              <w:top w:val="single" w:color="auto" w:sz="4" w:space="0"/>
              <w:left w:val="single" w:color="auto" w:sz="4" w:space="0"/>
              <w:bottom w:val="nil"/>
              <w:right w:val="single" w:color="808080" w:sz="8" w:space="0"/>
            </w:tcBorders>
            <w:vAlign w:val="center"/>
          </w:tcPr>
          <w:p w14:paraId="625BB786">
            <w:r>
              <w:rPr>
                <w:rFonts w:hint="eastAsia"/>
              </w:rPr>
              <w:t>16.2</w:t>
            </w:r>
            <w:r>
              <w:rPr>
                <w:rFonts w:hint="eastAsia" w:asciiTheme="minorEastAsia" w:hAnsiTheme="minorEastAsia"/>
                <w:szCs w:val="21"/>
              </w:rPr>
              <w:t>市场开放包容,提供实际利用外资额、对外直接投资额、货物进出口总额、民间投资等方面的数据，以及公平竞争审查等情况。</w:t>
            </w:r>
          </w:p>
        </w:tc>
        <w:tc>
          <w:tcPr>
            <w:tcW w:w="1210" w:type="dxa"/>
            <w:tcBorders>
              <w:top w:val="single" w:color="auto" w:sz="4" w:space="0"/>
              <w:left w:val="single" w:color="auto" w:sz="4" w:space="0"/>
              <w:bottom w:val="nil"/>
              <w:right w:val="single" w:color="808080" w:sz="8" w:space="0"/>
            </w:tcBorders>
            <w:vAlign w:val="center"/>
          </w:tcPr>
          <w:p w14:paraId="151C0D31">
            <w:pPr>
              <w:rPr>
                <w:rFonts w:cs="仿宋_GB2312" w:asciiTheme="minorEastAsia" w:hAnsiTheme="minorEastAsia"/>
                <w:szCs w:val="21"/>
              </w:rPr>
            </w:pPr>
            <w:r>
              <w:rPr>
                <w:rFonts w:hint="eastAsia" w:cs="仿宋_GB2312" w:asciiTheme="minorEastAsia" w:hAnsiTheme="minorEastAsia"/>
                <w:szCs w:val="21"/>
              </w:rPr>
              <w:t>市商务局</w:t>
            </w:r>
          </w:p>
        </w:tc>
        <w:tc>
          <w:tcPr>
            <w:tcW w:w="1985" w:type="dxa"/>
            <w:tcBorders>
              <w:top w:val="single" w:color="auto" w:sz="4" w:space="0"/>
              <w:left w:val="single" w:color="auto" w:sz="4" w:space="0"/>
              <w:bottom w:val="nil"/>
              <w:right w:val="single" w:color="808080" w:sz="8" w:space="0"/>
            </w:tcBorders>
            <w:vAlign w:val="center"/>
          </w:tcPr>
          <w:p w14:paraId="5A1EBB37">
            <w:pPr>
              <w:rPr>
                <w:rFonts w:cs="仿宋_GB2312" w:asciiTheme="minorEastAsia" w:hAnsiTheme="minorEastAsia"/>
                <w:szCs w:val="21"/>
              </w:rPr>
            </w:pPr>
            <w:r>
              <w:rPr>
                <w:rFonts w:hint="eastAsia" w:cs="仿宋_GB2312" w:asciiTheme="minorEastAsia" w:hAnsiTheme="minorEastAsia"/>
                <w:szCs w:val="21"/>
              </w:rPr>
              <w:t>鄂州海关、市统计局、市市场监管局等相关单位</w:t>
            </w:r>
          </w:p>
        </w:tc>
      </w:tr>
      <w:tr w14:paraId="448586C5">
        <w:tblPrEx>
          <w:tblCellMar>
            <w:top w:w="0" w:type="dxa"/>
            <w:left w:w="108" w:type="dxa"/>
            <w:bottom w:w="0" w:type="dxa"/>
            <w:right w:w="108" w:type="dxa"/>
          </w:tblCellMar>
        </w:tblPrEx>
        <w:trPr>
          <w:trHeight w:val="1569" w:hRule="atLeast"/>
          <w:jc w:val="center"/>
        </w:trPr>
        <w:tc>
          <w:tcPr>
            <w:tcW w:w="1439" w:type="dxa"/>
            <w:vMerge w:val="continue"/>
            <w:tcBorders>
              <w:left w:val="single" w:color="808080" w:sz="8" w:space="0"/>
              <w:right w:val="single" w:color="808080" w:sz="8" w:space="0"/>
            </w:tcBorders>
            <w:shd w:val="clear" w:color="auto" w:fill="auto"/>
            <w:vAlign w:val="center"/>
          </w:tcPr>
          <w:p w14:paraId="6B598BB1"/>
        </w:tc>
        <w:tc>
          <w:tcPr>
            <w:tcW w:w="3260" w:type="dxa"/>
            <w:tcBorders>
              <w:top w:val="single" w:color="auto" w:sz="4" w:space="0"/>
              <w:left w:val="nil"/>
              <w:bottom w:val="single" w:color="auto" w:sz="4" w:space="0"/>
              <w:right w:val="single" w:color="auto" w:sz="4" w:space="0"/>
            </w:tcBorders>
            <w:shd w:val="clear" w:color="auto" w:fill="auto"/>
            <w:vAlign w:val="center"/>
          </w:tcPr>
          <w:p w14:paraId="1CF96CCC">
            <w:r>
              <w:rPr>
                <w:rFonts w:hint="eastAsia" w:cs="仿宋_GB2312" w:asciiTheme="minorEastAsia" w:hAnsiTheme="minorEastAsia"/>
                <w:szCs w:val="21"/>
              </w:rPr>
              <w:t>（七十七）</w:t>
            </w:r>
            <w:r>
              <w:rPr>
                <w:rFonts w:hint="eastAsia"/>
              </w:rPr>
              <w:t>16.3</w:t>
            </w:r>
            <w:r>
              <w:rPr>
                <w:rFonts w:hint="eastAsia" w:cs="仿宋_GB2312" w:asciiTheme="minorEastAsia" w:hAnsiTheme="minorEastAsia"/>
                <w:szCs w:val="21"/>
              </w:rPr>
              <w:t>文化教育医疗</w:t>
            </w:r>
          </w:p>
        </w:tc>
        <w:tc>
          <w:tcPr>
            <w:tcW w:w="6946" w:type="dxa"/>
            <w:tcBorders>
              <w:top w:val="single" w:color="auto" w:sz="4" w:space="0"/>
              <w:left w:val="single" w:color="auto" w:sz="4" w:space="0"/>
              <w:bottom w:val="single" w:color="auto" w:sz="4" w:space="0"/>
              <w:right w:val="single" w:color="808080" w:sz="8" w:space="0"/>
            </w:tcBorders>
            <w:vAlign w:val="center"/>
          </w:tcPr>
          <w:p w14:paraId="384A4573">
            <w:r>
              <w:rPr>
                <w:rFonts w:hint="eastAsia"/>
              </w:rPr>
              <w:t>16.3</w:t>
            </w:r>
            <w:r>
              <w:rPr>
                <w:rFonts w:hint="eastAsia" w:asciiTheme="minorEastAsia" w:hAnsiTheme="minorEastAsia"/>
                <w:szCs w:val="21"/>
              </w:rPr>
              <w:t>文化教育医疗,该问卷由统计数据填写和回答“是/否”类的单选问题两个部分组成。其中,统计数据主要收集评价年度公共文化基础设施和公共文化设施人均拥有面积两个方面的数据,公共文化基础设施包括图书馆、美术馆、博物馆、文化展演中心(剧院等)、体育馆等;教育、医疗等基本公共服务设施建设情况及服务质量水平（标准）、人均拥有数据等。</w:t>
            </w:r>
          </w:p>
        </w:tc>
        <w:tc>
          <w:tcPr>
            <w:tcW w:w="1210" w:type="dxa"/>
            <w:tcBorders>
              <w:top w:val="single" w:color="auto" w:sz="4" w:space="0"/>
              <w:left w:val="single" w:color="auto" w:sz="4" w:space="0"/>
              <w:bottom w:val="single" w:color="auto" w:sz="4" w:space="0"/>
              <w:right w:val="single" w:color="808080" w:sz="8" w:space="0"/>
            </w:tcBorders>
            <w:vAlign w:val="center"/>
          </w:tcPr>
          <w:p w14:paraId="6DCDEBBE">
            <w:r>
              <w:rPr>
                <w:rFonts w:hint="eastAsia" w:cs="仿宋_GB2312" w:asciiTheme="minorEastAsia" w:hAnsiTheme="minorEastAsia"/>
                <w:szCs w:val="21"/>
              </w:rPr>
              <w:t>市文旅局、市教育局、市卫健委</w:t>
            </w:r>
          </w:p>
        </w:tc>
        <w:tc>
          <w:tcPr>
            <w:tcW w:w="1985" w:type="dxa"/>
            <w:tcBorders>
              <w:top w:val="single" w:color="auto" w:sz="4" w:space="0"/>
              <w:left w:val="single" w:color="auto" w:sz="4" w:space="0"/>
              <w:bottom w:val="single" w:color="auto" w:sz="4" w:space="0"/>
              <w:right w:val="single" w:color="808080" w:sz="8" w:space="0"/>
            </w:tcBorders>
            <w:vAlign w:val="center"/>
          </w:tcPr>
          <w:p w14:paraId="57E9F0BC">
            <w:r>
              <w:rPr>
                <w:rFonts w:hint="eastAsia" w:cs="仿宋_GB2312" w:asciiTheme="minorEastAsia" w:hAnsiTheme="minorEastAsia"/>
                <w:szCs w:val="21"/>
              </w:rPr>
              <w:t>市统计局等相关单位</w:t>
            </w:r>
          </w:p>
        </w:tc>
      </w:tr>
      <w:tr w14:paraId="20522D39">
        <w:tblPrEx>
          <w:tblCellMar>
            <w:top w:w="0" w:type="dxa"/>
            <w:left w:w="108" w:type="dxa"/>
            <w:bottom w:w="0" w:type="dxa"/>
            <w:right w:w="108" w:type="dxa"/>
          </w:tblCellMar>
        </w:tblPrEx>
        <w:trPr>
          <w:trHeight w:val="2496" w:hRule="atLeast"/>
          <w:jc w:val="center"/>
        </w:trPr>
        <w:tc>
          <w:tcPr>
            <w:tcW w:w="1439" w:type="dxa"/>
            <w:vMerge w:val="continue"/>
            <w:tcBorders>
              <w:left w:val="single" w:color="808080" w:sz="8" w:space="0"/>
              <w:right w:val="single" w:color="808080" w:sz="8" w:space="0"/>
            </w:tcBorders>
            <w:shd w:val="clear" w:color="auto" w:fill="auto"/>
            <w:vAlign w:val="center"/>
          </w:tcPr>
          <w:p w14:paraId="195EE1FE"/>
        </w:tc>
        <w:tc>
          <w:tcPr>
            <w:tcW w:w="3260" w:type="dxa"/>
            <w:tcBorders>
              <w:top w:val="single" w:color="auto" w:sz="4" w:space="0"/>
              <w:left w:val="nil"/>
              <w:right w:val="single" w:color="auto" w:sz="4" w:space="0"/>
            </w:tcBorders>
            <w:shd w:val="clear" w:color="auto" w:fill="auto"/>
            <w:vAlign w:val="center"/>
          </w:tcPr>
          <w:p w14:paraId="1681166C">
            <w:r>
              <w:rPr>
                <w:rFonts w:hint="eastAsia" w:cs="仿宋_GB2312" w:asciiTheme="minorEastAsia" w:hAnsiTheme="minorEastAsia"/>
                <w:szCs w:val="21"/>
              </w:rPr>
              <w:t>（七十八）</w:t>
            </w:r>
            <w:r>
              <w:rPr>
                <w:rFonts w:hint="eastAsia"/>
              </w:rPr>
              <w:t>16.4</w:t>
            </w:r>
            <w:r>
              <w:rPr>
                <w:rFonts w:hint="eastAsia" w:cs="仿宋_GB2312" w:asciiTheme="minorEastAsia" w:hAnsiTheme="minorEastAsia"/>
                <w:szCs w:val="21"/>
              </w:rPr>
              <w:t>生态环境保护</w:t>
            </w:r>
          </w:p>
        </w:tc>
        <w:tc>
          <w:tcPr>
            <w:tcW w:w="6946" w:type="dxa"/>
            <w:tcBorders>
              <w:top w:val="single" w:color="auto" w:sz="4" w:space="0"/>
              <w:left w:val="single" w:color="auto" w:sz="4" w:space="0"/>
              <w:right w:val="single" w:color="808080" w:sz="8" w:space="0"/>
            </w:tcBorders>
            <w:vAlign w:val="center"/>
          </w:tcPr>
          <w:p w14:paraId="0632484F">
            <w:r>
              <w:rPr>
                <w:rFonts w:hint="eastAsia"/>
              </w:rPr>
              <w:t>16.4</w:t>
            </w:r>
            <w:r>
              <w:rPr>
                <w:rFonts w:hint="eastAsia" w:asciiTheme="minorEastAsia" w:hAnsiTheme="minorEastAsia"/>
                <w:szCs w:val="21"/>
              </w:rPr>
              <w:t>生态环境保护,主要为统计数据填写，统计年度在绿化覆盖、空气质量和水体质量数据,通过数据考察生态环境的保护情况。其中,绿化覆盖主要统计城市建成区总面积、城市建成区绿化覆盖面积;空气质量主要统计空气质量综合指数以及空气中可吸入的颗粒物浓度(PM10)(微克/立方米)、细颗粒物浓度(PM2.5)(微克/立方米)二氧化硫浓度(SO2)(微克/立方米)、二氧化氮浓度(NO2)(微克/立方米)、一氧化碳浓度(CO)(毫克/立方米)、臭氧浓度(O3)(微克/立方米);水体质量主要统计国考断面三类及以上水质达标率、省考断面三类及以上水质达标率及城市污水处理率。</w:t>
            </w:r>
          </w:p>
        </w:tc>
        <w:tc>
          <w:tcPr>
            <w:tcW w:w="1210" w:type="dxa"/>
            <w:tcBorders>
              <w:top w:val="single" w:color="auto" w:sz="4" w:space="0"/>
              <w:left w:val="single" w:color="auto" w:sz="4" w:space="0"/>
              <w:right w:val="single" w:color="808080" w:sz="8" w:space="0"/>
            </w:tcBorders>
            <w:vAlign w:val="center"/>
          </w:tcPr>
          <w:p w14:paraId="38795899">
            <w:r>
              <w:rPr>
                <w:rFonts w:hint="eastAsia" w:cs="仿宋_GB2312" w:asciiTheme="minorEastAsia" w:hAnsiTheme="minorEastAsia"/>
                <w:szCs w:val="21"/>
              </w:rPr>
              <w:t>市生态环境局</w:t>
            </w:r>
          </w:p>
        </w:tc>
        <w:tc>
          <w:tcPr>
            <w:tcW w:w="1985" w:type="dxa"/>
            <w:tcBorders>
              <w:top w:val="single" w:color="auto" w:sz="4" w:space="0"/>
              <w:left w:val="single" w:color="auto" w:sz="4" w:space="0"/>
              <w:right w:val="single" w:color="808080" w:sz="8" w:space="0"/>
            </w:tcBorders>
            <w:vAlign w:val="center"/>
          </w:tcPr>
          <w:p w14:paraId="37C81173">
            <w:r>
              <w:rPr>
                <w:rFonts w:hint="eastAsia" w:cs="仿宋_GB2312" w:asciiTheme="minorEastAsia" w:hAnsiTheme="minorEastAsia"/>
                <w:szCs w:val="21"/>
              </w:rPr>
              <w:t>市统计局等相关单位</w:t>
            </w:r>
          </w:p>
        </w:tc>
      </w:tr>
      <w:tr w14:paraId="1B8226FA">
        <w:tblPrEx>
          <w:tblCellMar>
            <w:top w:w="0" w:type="dxa"/>
            <w:left w:w="108" w:type="dxa"/>
            <w:bottom w:w="0" w:type="dxa"/>
            <w:right w:w="108" w:type="dxa"/>
          </w:tblCellMar>
        </w:tblPrEx>
        <w:trPr>
          <w:trHeight w:val="1240" w:hRule="atLeast"/>
          <w:jc w:val="center"/>
        </w:trPr>
        <w:tc>
          <w:tcPr>
            <w:tcW w:w="1439" w:type="dxa"/>
            <w:vMerge w:val="continue"/>
            <w:tcBorders>
              <w:left w:val="single" w:color="808080" w:sz="8" w:space="0"/>
              <w:bottom w:val="single" w:color="808080" w:sz="8" w:space="0"/>
              <w:right w:val="single" w:color="808080" w:sz="8" w:space="0"/>
            </w:tcBorders>
            <w:shd w:val="clear" w:color="auto" w:fill="auto"/>
            <w:vAlign w:val="center"/>
          </w:tcPr>
          <w:p w14:paraId="12083282"/>
        </w:tc>
        <w:tc>
          <w:tcPr>
            <w:tcW w:w="3260" w:type="dxa"/>
            <w:tcBorders>
              <w:top w:val="single" w:color="auto" w:sz="4" w:space="0"/>
              <w:left w:val="nil"/>
              <w:bottom w:val="single" w:color="808080" w:sz="8" w:space="0"/>
              <w:right w:val="single" w:color="auto" w:sz="4" w:space="0"/>
            </w:tcBorders>
            <w:shd w:val="clear" w:color="auto" w:fill="auto"/>
            <w:vAlign w:val="center"/>
          </w:tcPr>
          <w:p w14:paraId="1D7CEFB2">
            <w:r>
              <w:rPr>
                <w:rFonts w:hint="eastAsia" w:cs="仿宋_GB2312" w:asciiTheme="minorEastAsia" w:hAnsiTheme="minorEastAsia"/>
                <w:szCs w:val="21"/>
              </w:rPr>
              <w:t>（七十九）</w:t>
            </w:r>
            <w:r>
              <w:rPr>
                <w:rFonts w:hint="eastAsia"/>
              </w:rPr>
              <w:t>16.5</w:t>
            </w:r>
            <w:r>
              <w:rPr>
                <w:rFonts w:hint="eastAsia" w:cs="仿宋_GB2312" w:asciiTheme="minorEastAsia" w:hAnsiTheme="minorEastAsia"/>
                <w:szCs w:val="21"/>
              </w:rPr>
              <w:t>交通高效便捷</w:t>
            </w:r>
          </w:p>
        </w:tc>
        <w:tc>
          <w:tcPr>
            <w:tcW w:w="6946" w:type="dxa"/>
            <w:tcBorders>
              <w:top w:val="single" w:color="auto" w:sz="4" w:space="0"/>
              <w:left w:val="single" w:color="auto" w:sz="4" w:space="0"/>
              <w:bottom w:val="single" w:color="808080" w:sz="8" w:space="0"/>
              <w:right w:val="single" w:color="808080" w:sz="8" w:space="0"/>
            </w:tcBorders>
            <w:vAlign w:val="center"/>
          </w:tcPr>
          <w:p w14:paraId="56908E09">
            <w:r>
              <w:rPr>
                <w:rFonts w:hint="eastAsia"/>
              </w:rPr>
              <w:t>16.5</w:t>
            </w:r>
            <w:r>
              <w:rPr>
                <w:rFonts w:hint="eastAsia" w:asciiTheme="minorEastAsia" w:hAnsiTheme="minorEastAsia"/>
                <w:szCs w:val="21"/>
              </w:rPr>
              <w:t>交通高效便捷度,主要是通过统计数据考察对外交通的便捷度。统计年度拥有的交通基础设施数量,包括机场、港口(含内陆港)、铁路站(客货运)、高速公路等交通基础设施。</w:t>
            </w:r>
          </w:p>
        </w:tc>
        <w:tc>
          <w:tcPr>
            <w:tcW w:w="1210" w:type="dxa"/>
            <w:tcBorders>
              <w:top w:val="single" w:color="auto" w:sz="4" w:space="0"/>
              <w:left w:val="single" w:color="auto" w:sz="4" w:space="0"/>
              <w:bottom w:val="single" w:color="808080" w:sz="8" w:space="0"/>
              <w:right w:val="single" w:color="808080" w:sz="8" w:space="0"/>
            </w:tcBorders>
            <w:vAlign w:val="center"/>
          </w:tcPr>
          <w:p w14:paraId="6BEBFECE">
            <w:r>
              <w:rPr>
                <w:rFonts w:hint="eastAsia" w:cs="仿宋_GB2312" w:asciiTheme="minorEastAsia" w:hAnsiTheme="minorEastAsia"/>
                <w:szCs w:val="21"/>
              </w:rPr>
              <w:t>市交通局</w:t>
            </w:r>
          </w:p>
        </w:tc>
        <w:tc>
          <w:tcPr>
            <w:tcW w:w="1985" w:type="dxa"/>
            <w:tcBorders>
              <w:top w:val="single" w:color="auto" w:sz="4" w:space="0"/>
              <w:left w:val="single" w:color="auto" w:sz="4" w:space="0"/>
              <w:bottom w:val="single" w:color="808080" w:sz="8" w:space="0"/>
              <w:right w:val="single" w:color="808080" w:sz="8" w:space="0"/>
            </w:tcBorders>
            <w:vAlign w:val="center"/>
          </w:tcPr>
          <w:p w14:paraId="42DBDF73">
            <w:r>
              <w:rPr>
                <w:rFonts w:hint="eastAsia" w:cs="仿宋_GB2312" w:asciiTheme="minorEastAsia" w:hAnsiTheme="minorEastAsia"/>
                <w:szCs w:val="21"/>
              </w:rPr>
              <w:t>市统计局等相关单位</w:t>
            </w:r>
          </w:p>
        </w:tc>
      </w:tr>
    </w:tbl>
    <w:p w14:paraId="4E73E00D"/>
    <w:p w14:paraId="741A42DF">
      <w:pPr>
        <w:spacing w:line="360" w:lineRule="auto"/>
        <w:ind w:firstLine="3520" w:firstLineChars="1100"/>
        <w:rPr>
          <w:rFonts w:ascii="仿宋_GB2312" w:eastAsia="仿宋_GB2312"/>
          <w:sz w:val="32"/>
          <w:szCs w:val="32"/>
        </w:rPr>
      </w:pPr>
    </w:p>
    <w:p w14:paraId="40879F18">
      <w:pPr>
        <w:spacing w:line="360" w:lineRule="auto"/>
        <w:ind w:firstLine="3520" w:firstLineChars="1100"/>
        <w:rPr>
          <w:rFonts w:ascii="仿宋_GB2312" w:eastAsia="仿宋_GB2312"/>
          <w:sz w:val="32"/>
          <w:szCs w:val="32"/>
        </w:rPr>
        <w:sectPr>
          <w:footerReference r:id="rId3" w:type="default"/>
          <w:pgSz w:w="16838" w:h="11906" w:orient="landscape"/>
          <w:pgMar w:top="1797" w:right="1440" w:bottom="1559" w:left="1440" w:header="851" w:footer="992" w:gutter="0"/>
          <w:pgNumType w:fmt="numberInDash" w:start="1"/>
          <w:cols w:space="425" w:num="1"/>
          <w:docGrid w:type="linesAndChars" w:linePitch="312" w:charSpace="0"/>
        </w:sectPr>
      </w:pPr>
    </w:p>
    <w:p w14:paraId="38B69E17">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ascii="仿宋_GB2312" w:eastAsia="仿宋_GB2312"/>
          <w:szCs w:val="21"/>
        </w:rPr>
      </w:pPr>
    </w:p>
    <w:sectPr>
      <w:pgSz w:w="11906" w:h="16838"/>
      <w:pgMar w:top="1440" w:right="1559"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9368">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5560D">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8A5560D">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14:paraId="4B421CA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3F062E"/>
    <w:rsid w:val="0000203D"/>
    <w:rsid w:val="000024A9"/>
    <w:rsid w:val="00022956"/>
    <w:rsid w:val="0002405B"/>
    <w:rsid w:val="000322AD"/>
    <w:rsid w:val="00045D5F"/>
    <w:rsid w:val="000526D9"/>
    <w:rsid w:val="00086D6E"/>
    <w:rsid w:val="000B0B1C"/>
    <w:rsid w:val="000B3DE0"/>
    <w:rsid w:val="000C2E80"/>
    <w:rsid w:val="000E6A99"/>
    <w:rsid w:val="000F7686"/>
    <w:rsid w:val="000F7C0D"/>
    <w:rsid w:val="00123838"/>
    <w:rsid w:val="001319FF"/>
    <w:rsid w:val="00153921"/>
    <w:rsid w:val="00183BA8"/>
    <w:rsid w:val="00192BDF"/>
    <w:rsid w:val="001C34BC"/>
    <w:rsid w:val="001E5B29"/>
    <w:rsid w:val="001E6BFB"/>
    <w:rsid w:val="001F2F85"/>
    <w:rsid w:val="0021359F"/>
    <w:rsid w:val="0023460B"/>
    <w:rsid w:val="00287CEC"/>
    <w:rsid w:val="00290882"/>
    <w:rsid w:val="0029490E"/>
    <w:rsid w:val="002A5C67"/>
    <w:rsid w:val="002E31BA"/>
    <w:rsid w:val="002E4640"/>
    <w:rsid w:val="00317B59"/>
    <w:rsid w:val="00317CC6"/>
    <w:rsid w:val="00337B32"/>
    <w:rsid w:val="00346CD7"/>
    <w:rsid w:val="00350D29"/>
    <w:rsid w:val="00356BA7"/>
    <w:rsid w:val="00361DC1"/>
    <w:rsid w:val="00393FB7"/>
    <w:rsid w:val="003A4DB3"/>
    <w:rsid w:val="003C0177"/>
    <w:rsid w:val="003D7AF3"/>
    <w:rsid w:val="003E4FEA"/>
    <w:rsid w:val="003E6010"/>
    <w:rsid w:val="003E66AE"/>
    <w:rsid w:val="003F062E"/>
    <w:rsid w:val="00400B18"/>
    <w:rsid w:val="00407CF9"/>
    <w:rsid w:val="00412991"/>
    <w:rsid w:val="00417BE3"/>
    <w:rsid w:val="00417D3A"/>
    <w:rsid w:val="00442DFA"/>
    <w:rsid w:val="004654EB"/>
    <w:rsid w:val="00472D3E"/>
    <w:rsid w:val="00493576"/>
    <w:rsid w:val="004E3C34"/>
    <w:rsid w:val="004E6D78"/>
    <w:rsid w:val="004F2AC8"/>
    <w:rsid w:val="0051634E"/>
    <w:rsid w:val="005171CF"/>
    <w:rsid w:val="00531D8D"/>
    <w:rsid w:val="00540A9C"/>
    <w:rsid w:val="00570172"/>
    <w:rsid w:val="00574A4E"/>
    <w:rsid w:val="00593E9D"/>
    <w:rsid w:val="005B2BBB"/>
    <w:rsid w:val="005B3595"/>
    <w:rsid w:val="005C6D90"/>
    <w:rsid w:val="005E3BCF"/>
    <w:rsid w:val="00607DD1"/>
    <w:rsid w:val="006266BD"/>
    <w:rsid w:val="00636ED5"/>
    <w:rsid w:val="00660D84"/>
    <w:rsid w:val="006657A2"/>
    <w:rsid w:val="00667F46"/>
    <w:rsid w:val="0067631F"/>
    <w:rsid w:val="006A2E41"/>
    <w:rsid w:val="006A30F1"/>
    <w:rsid w:val="006A7873"/>
    <w:rsid w:val="006B5229"/>
    <w:rsid w:val="006C2D55"/>
    <w:rsid w:val="006C5F6E"/>
    <w:rsid w:val="006E594B"/>
    <w:rsid w:val="006E7B56"/>
    <w:rsid w:val="007012F4"/>
    <w:rsid w:val="00711ED8"/>
    <w:rsid w:val="00735EC4"/>
    <w:rsid w:val="00746F5C"/>
    <w:rsid w:val="0076018A"/>
    <w:rsid w:val="00783A8A"/>
    <w:rsid w:val="00793C20"/>
    <w:rsid w:val="007B4BB5"/>
    <w:rsid w:val="007C0A5E"/>
    <w:rsid w:val="007C5460"/>
    <w:rsid w:val="007C7DB2"/>
    <w:rsid w:val="007E4024"/>
    <w:rsid w:val="007E6728"/>
    <w:rsid w:val="0081004D"/>
    <w:rsid w:val="0081548A"/>
    <w:rsid w:val="00820C4D"/>
    <w:rsid w:val="00824170"/>
    <w:rsid w:val="00841E7E"/>
    <w:rsid w:val="00852CB9"/>
    <w:rsid w:val="00861B38"/>
    <w:rsid w:val="00877C82"/>
    <w:rsid w:val="0088550B"/>
    <w:rsid w:val="008B4A52"/>
    <w:rsid w:val="008F7058"/>
    <w:rsid w:val="00917B3A"/>
    <w:rsid w:val="00932E92"/>
    <w:rsid w:val="00946854"/>
    <w:rsid w:val="00953785"/>
    <w:rsid w:val="00966435"/>
    <w:rsid w:val="00976AB4"/>
    <w:rsid w:val="00980BA1"/>
    <w:rsid w:val="0098349F"/>
    <w:rsid w:val="00984B58"/>
    <w:rsid w:val="009A157B"/>
    <w:rsid w:val="009B0BEB"/>
    <w:rsid w:val="009B2F67"/>
    <w:rsid w:val="009C060E"/>
    <w:rsid w:val="009C4CE4"/>
    <w:rsid w:val="009C782A"/>
    <w:rsid w:val="009D440A"/>
    <w:rsid w:val="009F01FD"/>
    <w:rsid w:val="00A06AB5"/>
    <w:rsid w:val="00A14E8A"/>
    <w:rsid w:val="00A2120B"/>
    <w:rsid w:val="00A37482"/>
    <w:rsid w:val="00A46170"/>
    <w:rsid w:val="00A6737C"/>
    <w:rsid w:val="00AD69CC"/>
    <w:rsid w:val="00AE0B66"/>
    <w:rsid w:val="00AE5ECD"/>
    <w:rsid w:val="00B26045"/>
    <w:rsid w:val="00B375E4"/>
    <w:rsid w:val="00B41B5A"/>
    <w:rsid w:val="00B94F1E"/>
    <w:rsid w:val="00BC1A1B"/>
    <w:rsid w:val="00BE78A4"/>
    <w:rsid w:val="00C16A04"/>
    <w:rsid w:val="00C37080"/>
    <w:rsid w:val="00C377EE"/>
    <w:rsid w:val="00C40AF2"/>
    <w:rsid w:val="00C66962"/>
    <w:rsid w:val="00C916AA"/>
    <w:rsid w:val="00CB70EB"/>
    <w:rsid w:val="00CD558B"/>
    <w:rsid w:val="00D06056"/>
    <w:rsid w:val="00D16E4D"/>
    <w:rsid w:val="00D210F2"/>
    <w:rsid w:val="00D24306"/>
    <w:rsid w:val="00D32018"/>
    <w:rsid w:val="00D40340"/>
    <w:rsid w:val="00D50DAA"/>
    <w:rsid w:val="00D62929"/>
    <w:rsid w:val="00D71A06"/>
    <w:rsid w:val="00D764F9"/>
    <w:rsid w:val="00D9599D"/>
    <w:rsid w:val="00DC34D7"/>
    <w:rsid w:val="00DD0950"/>
    <w:rsid w:val="00DE2E75"/>
    <w:rsid w:val="00E50781"/>
    <w:rsid w:val="00E56CEB"/>
    <w:rsid w:val="00E6070A"/>
    <w:rsid w:val="00E90178"/>
    <w:rsid w:val="00E955FD"/>
    <w:rsid w:val="00E9660E"/>
    <w:rsid w:val="00E96760"/>
    <w:rsid w:val="00EC3DEB"/>
    <w:rsid w:val="00ED317B"/>
    <w:rsid w:val="00F043D0"/>
    <w:rsid w:val="00F06646"/>
    <w:rsid w:val="00F10B5F"/>
    <w:rsid w:val="00F14B00"/>
    <w:rsid w:val="00F16D1A"/>
    <w:rsid w:val="00F41B6C"/>
    <w:rsid w:val="00F51EE5"/>
    <w:rsid w:val="00F565F4"/>
    <w:rsid w:val="00F56A95"/>
    <w:rsid w:val="00F606F5"/>
    <w:rsid w:val="00F66FAF"/>
    <w:rsid w:val="00F76789"/>
    <w:rsid w:val="00F87FD6"/>
    <w:rsid w:val="00FB697C"/>
    <w:rsid w:val="00FE22D2"/>
    <w:rsid w:val="00FE2945"/>
    <w:rsid w:val="081A17F5"/>
    <w:rsid w:val="0AF07B04"/>
    <w:rsid w:val="0D922711"/>
    <w:rsid w:val="123D653D"/>
    <w:rsid w:val="19EC3E44"/>
    <w:rsid w:val="1C95354D"/>
    <w:rsid w:val="35737A1F"/>
    <w:rsid w:val="3CE62EF5"/>
    <w:rsid w:val="46CE5F5A"/>
    <w:rsid w:val="4D082464"/>
    <w:rsid w:val="740B3BB4"/>
    <w:rsid w:val="7C22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style>
  <w:style w:type="paragraph" w:styleId="3">
    <w:name w:val="Date"/>
    <w:basedOn w:val="1"/>
    <w:next w:val="1"/>
    <w:link w:val="13"/>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2"/>
    <w:unhideWhenUsed/>
    <w:qFormat/>
    <w:uiPriority w:val="0"/>
    <w:pPr>
      <w:ind w:firstLine="420" w:firstLineChars="2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Char"/>
    <w:basedOn w:val="8"/>
    <w:link w:val="2"/>
    <w:semiHidden/>
    <w:qFormat/>
    <w:uiPriority w:val="99"/>
  </w:style>
  <w:style w:type="character" w:customStyle="1" w:styleId="12">
    <w:name w:val="正文首行缩进 2 Char"/>
    <w:basedOn w:val="11"/>
    <w:link w:val="6"/>
    <w:qFormat/>
    <w:uiPriority w:val="0"/>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10</Pages>
  <Words>7082</Words>
  <Characters>7521</Characters>
  <Lines>165</Lines>
  <Paragraphs>46</Paragraphs>
  <TotalTime>1</TotalTime>
  <ScaleCrop>false</ScaleCrop>
  <LinksUpToDate>false</LinksUpToDate>
  <CharactersWithSpaces>7573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2020-05-18T08:30:00Z</dcterms:created>
  <dc:creator>HP-PC805</dc:creator>
  <cp:lastModifiedBy>远烟</cp:lastModifiedBy>
  <cp:lastPrinted>2020-05-25T08:51:00Z</cp:lastPrinted>
  <dcterms:modified xsi:type="dcterms:W3CDTF">2024-12-18T09:43:30Z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F48E4196ED16415687F9927559974662</vt:lpwstr>
  </property>
</Properties>
</file>