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1B368">
      <w:pPr>
        <w:pStyle w:val="14"/>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资产评估服务框架协议采购需求</w:t>
      </w:r>
    </w:p>
    <w:p w14:paraId="00A9C0F7">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资格要求</w:t>
      </w:r>
    </w:p>
    <w:p w14:paraId="6506EF71">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1.满足《中华人民共和国政府采购法》第二十二条规定，即：</w:t>
      </w:r>
    </w:p>
    <w:p w14:paraId="398C3AEC">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（1）具有独立承担民事责任的能力；</w:t>
      </w:r>
    </w:p>
    <w:p w14:paraId="60ECDD68">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（2）具有良好的商业信誉和健全的财务会计制度；</w:t>
      </w:r>
    </w:p>
    <w:p w14:paraId="3F2AE65C">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（3）具有履行合同所必需的设备和专业技术能力；</w:t>
      </w:r>
    </w:p>
    <w:p w14:paraId="3EEA3914">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（4）有依法缴纳税收和社会保障资金的良好记录；</w:t>
      </w:r>
    </w:p>
    <w:p w14:paraId="49953814">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（5）参加政府采购活动前三年内，在经营活动中没有重大违法记录；</w:t>
      </w:r>
    </w:p>
    <w:p w14:paraId="6AC2CBA0">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（6）法律、行政法规规定的其他条件。</w:t>
      </w:r>
    </w:p>
    <w:p w14:paraId="2F7539B8">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2.单位负责人为同一人或者存在直接控股、管理关系的不同投标人，不得参加本项目同一合同项下的政府采购活动。</w:t>
      </w:r>
    </w:p>
    <w:p w14:paraId="2893319C">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3.为本采购项目提供整体设计、规范编制或者项目管理、监理、检测等服务的，不得再参加本项目的其他招标采购活动。</w:t>
      </w:r>
    </w:p>
    <w:p w14:paraId="5EE7054C">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4.未被列入失信被执行人、重大税收违法案件当事人名单，未被列入政府采购严重违法失信行为记录名单。</w:t>
      </w:r>
    </w:p>
    <w:p w14:paraId="3E81B623">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5.落实政府采购政策需满足的资格要求：无</w:t>
      </w:r>
    </w:p>
    <w:p w14:paraId="1554E510">
      <w:pPr>
        <w:widowControl/>
        <w:snapToGrid w:val="0"/>
        <w:spacing w:line="360" w:lineRule="auto"/>
        <w:ind w:firstLine="640" w:firstLineChars="200"/>
        <w:jc w:val="left"/>
        <w:rPr>
          <w:rFonts w:hint="eastAsia" w:ascii="仿宋" w:hAnsi="仿宋" w:eastAsia="仿宋"/>
          <w:bCs/>
          <w:sz w:val="32"/>
          <w:szCs w:val="32"/>
        </w:rPr>
      </w:pPr>
      <w:r>
        <w:rPr>
          <w:rFonts w:hint="eastAsia" w:ascii="仿宋" w:hAnsi="仿宋" w:eastAsia="仿宋"/>
          <w:bCs/>
          <w:sz w:val="32"/>
          <w:szCs w:val="32"/>
        </w:rPr>
        <w:t>6.本项目的特定资格要求：</w:t>
      </w:r>
    </w:p>
    <w:p w14:paraId="75828137">
      <w:pPr>
        <w:pStyle w:val="12"/>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6.1供应商应具备财政部门出具的资产评估机构备案证明材料。</w:t>
      </w:r>
    </w:p>
    <w:p w14:paraId="2D16842B">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
        </w:rPr>
        <w:t>6.2</w:t>
      </w:r>
      <w:r>
        <w:rPr>
          <w:rFonts w:hint="eastAsia" w:ascii="仿宋_GB2312" w:hAnsi="仿宋_GB2312" w:eastAsia="仿宋_GB2312" w:cs="仿宋_GB2312"/>
          <w:bCs/>
          <w:sz w:val="32"/>
          <w:szCs w:val="32"/>
          <w:highlight w:val="none"/>
          <w:lang w:val="en-US" w:eastAsia="zh-CN"/>
        </w:rPr>
        <w:t>如分公司、分支机构或分所参与投标，须提供总公司、总机构或总所出具的唯一授权书</w:t>
      </w:r>
      <w:r>
        <w:rPr>
          <w:rFonts w:hint="eastAsia" w:ascii="仿宋_GB2312" w:hAnsi="仿宋_GB2312" w:eastAsia="仿宋_GB2312" w:cs="仿宋_GB2312"/>
          <w:color w:val="000000"/>
          <w:kern w:val="0"/>
          <w:sz w:val="32"/>
          <w:szCs w:val="32"/>
          <w:highlight w:val="none"/>
          <w:lang w:val="en-US" w:eastAsia="zh-CN" w:bidi="ar"/>
        </w:rPr>
        <w:t>。</w:t>
      </w:r>
    </w:p>
    <w:p w14:paraId="38B09C2A">
      <w:pPr>
        <w:widowControl/>
        <w:snapToGrid w:val="0"/>
        <w:spacing w:line="360" w:lineRule="auto"/>
        <w:ind w:firstLine="640" w:firstLineChars="200"/>
        <w:jc w:val="left"/>
        <w:rPr>
          <w:rFonts w:hint="eastAsia" w:ascii="仿宋" w:hAnsi="仿宋" w:eastAsia="仿宋"/>
          <w:bCs/>
          <w:sz w:val="32"/>
          <w:szCs w:val="32"/>
          <w:lang w:eastAsia="zh-CN"/>
        </w:rPr>
      </w:pPr>
    </w:p>
    <w:p w14:paraId="55E7CE93">
      <w:pPr>
        <w:rPr>
          <w:rFonts w:hint="eastAsia" w:ascii="仿宋" w:hAnsi="仿宋" w:eastAsia="仿宋"/>
          <w:bCs/>
          <w:sz w:val="32"/>
          <w:szCs w:val="32"/>
          <w:lang w:eastAsia="zh-CN"/>
        </w:rPr>
      </w:pPr>
      <w:r>
        <w:rPr>
          <w:rFonts w:hint="eastAsia" w:ascii="仿宋" w:hAnsi="仿宋" w:eastAsia="仿宋"/>
          <w:bCs/>
          <w:sz w:val="32"/>
          <w:szCs w:val="32"/>
          <w:lang w:eastAsia="zh-CN"/>
        </w:rPr>
        <w:br w:type="page"/>
      </w:r>
    </w:p>
    <w:p w14:paraId="4B150D12">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项目技术要求</w:t>
      </w:r>
    </w:p>
    <w:p w14:paraId="354EE1B9">
      <w:pPr>
        <w:pStyle w:val="4"/>
        <w:numPr>
          <w:ilvl w:val="0"/>
          <w:numId w:val="3"/>
        </w:numPr>
        <w:spacing w:before="0" w:after="0" w:line="360" w:lineRule="auto"/>
        <w:ind w:left="-420" w:leftChars="0" w:firstLine="420" w:firstLineChars="0"/>
        <w:jc w:val="left"/>
        <w:rPr>
          <w:rFonts w:ascii="仿宋" w:hAnsi="仿宋" w:eastAsia="仿宋"/>
          <w:bCs w:val="0"/>
          <w:sz w:val="32"/>
          <w:szCs w:val="32"/>
          <w:lang w:val="zh-CN"/>
        </w:rPr>
      </w:pPr>
      <w:bookmarkStart w:id="0" w:name="_Toc20494"/>
      <w:bookmarkStart w:id="1" w:name="_Toc26761"/>
      <w:bookmarkStart w:id="2" w:name="_Toc24483"/>
      <w:bookmarkStart w:id="3" w:name="_Toc338065593"/>
      <w:bookmarkStart w:id="4" w:name="_Toc339378679"/>
      <w:r>
        <w:rPr>
          <w:rFonts w:hint="eastAsia" w:ascii="仿宋" w:hAnsi="仿宋" w:eastAsia="仿宋"/>
          <w:bCs w:val="0"/>
          <w:sz w:val="32"/>
          <w:szCs w:val="32"/>
          <w:lang w:val="zh-CN"/>
        </w:rPr>
        <w:t>项目概况</w:t>
      </w:r>
      <w:bookmarkEnd w:id="0"/>
      <w:bookmarkEnd w:id="1"/>
      <w:bookmarkEnd w:id="2"/>
    </w:p>
    <w:bookmarkEnd w:id="3"/>
    <w:bookmarkEnd w:id="4"/>
    <w:p w14:paraId="3AF88897">
      <w:pPr>
        <w:spacing w:line="720" w:lineRule="auto"/>
        <w:outlineLvl w:val="2"/>
        <w:rPr>
          <w:rFonts w:hint="eastAsia" w:ascii="仿宋" w:hAnsi="仿宋" w:eastAsia="仿宋"/>
          <w:bCs w:val="0"/>
          <w:sz w:val="32"/>
          <w:szCs w:val="32"/>
          <w:lang w:val="en-US" w:eastAsia="zh-CN"/>
        </w:rPr>
      </w:pPr>
      <w:bookmarkStart w:id="5" w:name="_Toc12892"/>
      <w:bookmarkStart w:id="6" w:name="_Toc20537"/>
      <w:bookmarkStart w:id="7" w:name="_Toc17050"/>
      <w:bookmarkStart w:id="8" w:name="_Toc339378680"/>
      <w:bookmarkStart w:id="9" w:name="_Toc338065594"/>
      <w:r>
        <w:rPr>
          <w:rFonts w:hint="eastAsia" w:ascii="仿宋" w:hAnsi="仿宋" w:eastAsia="仿宋"/>
          <w:bCs w:val="0"/>
          <w:sz w:val="32"/>
          <w:szCs w:val="32"/>
          <w:lang w:val="en-US" w:eastAsia="zh-CN"/>
        </w:rPr>
        <w:t>1.需求内容：资产评估服务。</w:t>
      </w:r>
    </w:p>
    <w:p w14:paraId="7D7BA6E6">
      <w:pPr>
        <w:spacing w:line="720" w:lineRule="auto"/>
        <w:outlineLvl w:val="2"/>
        <w:rPr>
          <w:rFonts w:hint="eastAsia" w:ascii="仿宋" w:hAnsi="仿宋" w:eastAsia="仿宋"/>
          <w:bCs w:val="0"/>
          <w:sz w:val="32"/>
          <w:szCs w:val="32"/>
          <w:lang w:val="en-US" w:eastAsia="zh-CN"/>
        </w:rPr>
      </w:pPr>
      <w:r>
        <w:rPr>
          <w:rFonts w:hint="eastAsia" w:ascii="仿宋" w:hAnsi="仿宋" w:eastAsia="仿宋"/>
          <w:bCs w:val="0"/>
          <w:sz w:val="32"/>
          <w:szCs w:val="32"/>
          <w:lang w:val="en-US" w:eastAsia="zh-CN"/>
        </w:rPr>
        <w:t>2.服务对象：鄂州市各级预算单位。</w:t>
      </w:r>
    </w:p>
    <w:p w14:paraId="24C0EB01">
      <w:pPr>
        <w:spacing w:line="720" w:lineRule="auto"/>
        <w:outlineLvl w:val="2"/>
        <w:rPr>
          <w:rFonts w:hint="eastAsia" w:ascii="仿宋" w:hAnsi="仿宋" w:eastAsia="仿宋"/>
          <w:bCs w:val="0"/>
          <w:sz w:val="32"/>
          <w:szCs w:val="32"/>
          <w:lang w:val="en-US" w:eastAsia="zh-CN"/>
        </w:rPr>
      </w:pPr>
      <w:r>
        <w:rPr>
          <w:rFonts w:hint="eastAsia" w:ascii="仿宋" w:hAnsi="仿宋" w:eastAsia="仿宋"/>
          <w:bCs w:val="0"/>
          <w:sz w:val="32"/>
          <w:szCs w:val="32"/>
          <w:lang w:val="en-US" w:eastAsia="zh-CN"/>
        </w:rPr>
        <w:t>3.框架协议有效期：2024年1月1日至2024年12月31日。</w:t>
      </w:r>
    </w:p>
    <w:p w14:paraId="1081A54E">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r>
        <w:rPr>
          <w:rFonts w:hint="eastAsia" w:ascii="仿宋" w:hAnsi="仿宋" w:eastAsia="仿宋"/>
          <w:bCs w:val="0"/>
          <w:sz w:val="32"/>
          <w:szCs w:val="32"/>
          <w:lang w:val="zh-CN"/>
        </w:rPr>
        <w:t>服务内容</w:t>
      </w:r>
      <w:bookmarkEnd w:id="5"/>
      <w:bookmarkEnd w:id="6"/>
      <w:bookmarkEnd w:id="7"/>
      <w:r>
        <w:rPr>
          <w:rFonts w:hint="eastAsia" w:ascii="仿宋" w:hAnsi="仿宋" w:eastAsia="仿宋"/>
          <w:bCs w:val="0"/>
          <w:sz w:val="32"/>
          <w:szCs w:val="32"/>
          <w:lang w:val="en-US" w:eastAsia="zh-CN"/>
        </w:rPr>
        <w:t>及要求</w:t>
      </w:r>
    </w:p>
    <w:bookmarkEnd w:id="8"/>
    <w:bookmarkEnd w:id="9"/>
    <w:p w14:paraId="12D53657">
      <w:pPr>
        <w:spacing w:line="360" w:lineRule="auto"/>
        <w:ind w:firstLine="640" w:firstLineChars="200"/>
        <w:rPr>
          <w:rFonts w:hint="eastAsia"/>
          <w:sz w:val="32"/>
          <w:szCs w:val="32"/>
        </w:rPr>
      </w:pPr>
      <w:bookmarkStart w:id="10" w:name="_Toc18213"/>
      <w:bookmarkStart w:id="11" w:name="_Toc692"/>
      <w:bookmarkStart w:id="12" w:name="_Toc16212"/>
      <w:bookmarkStart w:id="13" w:name="_Toc16979"/>
      <w:bookmarkStart w:id="14" w:name="_Toc20591"/>
      <w:bookmarkStart w:id="15" w:name="_Toc48134916"/>
      <w:r>
        <w:rPr>
          <w:rFonts w:hint="eastAsia" w:ascii="仿宋_GB2312" w:hAnsi="仿宋_GB2312" w:eastAsia="仿宋_GB2312" w:cs="仿宋_GB2312"/>
          <w:bCs/>
          <w:sz w:val="32"/>
          <w:szCs w:val="32"/>
          <w:highlight w:val="none"/>
          <w:lang w:val="en-US" w:eastAsia="zh-CN"/>
        </w:rPr>
        <w:t>本项目采购对不动产、动产、无形资产、企业价值、资产损失或者其他经济权益进行评定、估算，并出具评估报告的专业服务。</w:t>
      </w:r>
    </w:p>
    <w:p w14:paraId="6B2A3651">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r>
        <w:rPr>
          <w:rFonts w:hint="eastAsia" w:ascii="仿宋" w:hAnsi="仿宋" w:eastAsia="仿宋"/>
          <w:bCs w:val="0"/>
          <w:sz w:val="32"/>
          <w:szCs w:val="32"/>
          <w:lang w:val="zh-CN"/>
        </w:rPr>
        <w:t>服务要求</w:t>
      </w:r>
    </w:p>
    <w:p w14:paraId="36B2BEF9">
      <w:pPr>
        <w:pStyle w:val="8"/>
        <w:ind w:left="0" w:leftChars="0" w:firstLine="0" w:firstLineChars="0"/>
        <w:jc w:val="left"/>
        <w:rPr>
          <w:rFonts w:hint="eastAsia"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.1服务标准</w:t>
      </w:r>
    </w:p>
    <w:p w14:paraId="175C0A6C">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供应商提供本项目的资产评估服务应当遵守《中华人民共和国资产评估法》、《资产评估行业财政监督管理办法》以及《资产评估基本准则》等规范性文件。</w:t>
      </w:r>
    </w:p>
    <w:p w14:paraId="40869D69">
      <w:pPr>
        <w:pStyle w:val="8"/>
        <w:ind w:left="0" w:leftChars="0" w:firstLine="0" w:firstLineChars="0"/>
        <w:jc w:val="left"/>
        <w:rPr>
          <w:rFonts w:hint="eastAsia"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.2服务人员要求</w:t>
      </w:r>
    </w:p>
    <w:p w14:paraId="0F4C3756">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供应商应指派专人负责框架协议政府采购项目联系人。针对采购人的项目具体需求，指派至少两名有相关经验的评估师为采购人提供相应的评估服务。</w:t>
      </w:r>
    </w:p>
    <w:p w14:paraId="2132284C">
      <w:pPr>
        <w:spacing w:line="360" w:lineRule="auto"/>
        <w:ind w:firstLine="640" w:firstLineChars="200"/>
        <w:rPr>
          <w:rFonts w:ascii="仿宋" w:hAnsi="仿宋" w:eastAsia="仿宋"/>
          <w:sz w:val="32"/>
          <w:szCs w:val="32"/>
        </w:rPr>
      </w:pPr>
      <w:r>
        <w:rPr>
          <w:rFonts w:hint="eastAsia" w:ascii="仿宋" w:hAnsi="仿宋" w:eastAsia="仿宋"/>
          <w:sz w:val="32"/>
          <w:szCs w:val="32"/>
        </w:rPr>
        <w:t>采购人</w:t>
      </w:r>
      <w:r>
        <w:rPr>
          <w:rFonts w:ascii="仿宋" w:hAnsi="仿宋" w:eastAsia="仿宋"/>
          <w:sz w:val="32"/>
          <w:szCs w:val="32"/>
        </w:rPr>
        <w:t>有权要求与相关当事人及评估对象有利害关系的评估专业人员回避。</w:t>
      </w:r>
    </w:p>
    <w:p w14:paraId="24B65087">
      <w:pPr>
        <w:pStyle w:val="8"/>
        <w:ind w:left="0" w:leftChars="0" w:firstLine="0" w:firstLineChars="0"/>
        <w:jc w:val="left"/>
        <w:rPr>
          <w:rFonts w:hint="eastAsia"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.3服务的地域范围</w:t>
      </w:r>
    </w:p>
    <w:p w14:paraId="3663A607">
      <w:pPr>
        <w:spacing w:line="360" w:lineRule="auto"/>
        <w:ind w:firstLine="640" w:firstLineChars="200"/>
        <w:rPr>
          <w:rFonts w:ascii="仿宋" w:hAnsi="仿宋" w:eastAsia="仿宋"/>
          <w:sz w:val="32"/>
          <w:szCs w:val="32"/>
        </w:rPr>
      </w:pPr>
      <w:r>
        <w:rPr>
          <w:rFonts w:hint="eastAsia" w:ascii="仿宋" w:hAnsi="仿宋" w:eastAsia="仿宋"/>
          <w:sz w:val="32"/>
          <w:szCs w:val="32"/>
        </w:rPr>
        <w:t>根据采购人具体项目需求在</w:t>
      </w:r>
      <w:r>
        <w:rPr>
          <w:rFonts w:hint="eastAsia" w:ascii="仿宋" w:hAnsi="仿宋" w:eastAsia="仿宋"/>
          <w:sz w:val="32"/>
          <w:szCs w:val="32"/>
          <w:lang w:eastAsia="zh-CN"/>
        </w:rPr>
        <w:t>鄂州市</w:t>
      </w:r>
      <w:r>
        <w:rPr>
          <w:rFonts w:hint="eastAsia" w:ascii="仿宋" w:hAnsi="仿宋" w:eastAsia="仿宋"/>
          <w:sz w:val="32"/>
          <w:szCs w:val="32"/>
        </w:rPr>
        <w:t>范围内提供服务，但不排除根据具体项目实际情况需要赴</w:t>
      </w:r>
      <w:r>
        <w:rPr>
          <w:rFonts w:hint="eastAsia" w:ascii="仿宋" w:hAnsi="仿宋" w:eastAsia="仿宋"/>
          <w:sz w:val="32"/>
          <w:szCs w:val="32"/>
          <w:lang w:eastAsia="zh-CN"/>
        </w:rPr>
        <w:t>鄂州市</w:t>
      </w:r>
      <w:r>
        <w:rPr>
          <w:rFonts w:hint="eastAsia" w:ascii="仿宋" w:hAnsi="仿宋" w:eastAsia="仿宋"/>
          <w:sz w:val="32"/>
          <w:szCs w:val="32"/>
        </w:rPr>
        <w:t>外开展必要的调查、取证、调研论证等服务活动。</w:t>
      </w:r>
    </w:p>
    <w:p w14:paraId="258EC3D3">
      <w:pPr>
        <w:pStyle w:val="8"/>
        <w:ind w:left="0" w:leftChars="0" w:firstLine="0" w:firstLineChars="0"/>
        <w:jc w:val="left"/>
        <w:rPr>
          <w:rFonts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.4服务计量方式</w:t>
      </w:r>
    </w:p>
    <w:p w14:paraId="0C46363A">
      <w:pPr>
        <w:rPr>
          <w:rFonts w:hint="eastAsia"/>
          <w:sz w:val="32"/>
          <w:szCs w:val="32"/>
        </w:rPr>
      </w:pPr>
      <w:r>
        <w:rPr>
          <w:rFonts w:hint="eastAsia" w:ascii="仿宋" w:hAnsi="仿宋" w:eastAsia="仿宋"/>
          <w:sz w:val="32"/>
          <w:szCs w:val="32"/>
        </w:rPr>
        <w:t>按件或者计时计算服务数量，具体服务计量方式根据项目实际情况，由采购人和供应商协商确定。</w:t>
      </w:r>
    </w:p>
    <w:p w14:paraId="3E47EF93">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bookmarkStart w:id="16" w:name="_Toc124771273"/>
      <w:r>
        <w:rPr>
          <w:rFonts w:hint="eastAsia" w:ascii="仿宋" w:hAnsi="仿宋" w:eastAsia="仿宋"/>
          <w:bCs w:val="0"/>
          <w:sz w:val="32"/>
          <w:szCs w:val="32"/>
          <w:lang w:val="zh-CN"/>
        </w:rPr>
        <w:t>报价要求</w:t>
      </w:r>
      <w:bookmarkEnd w:id="10"/>
      <w:bookmarkEnd w:id="11"/>
      <w:bookmarkEnd w:id="12"/>
      <w:bookmarkEnd w:id="13"/>
      <w:bookmarkEnd w:id="14"/>
      <w:bookmarkEnd w:id="16"/>
    </w:p>
    <w:bookmarkEnd w:id="15"/>
    <w:p w14:paraId="0508FAE5">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供应商根据计件收费或计时收费标准报价。报价要求详见下表：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750"/>
        <w:gridCol w:w="2715"/>
        <w:gridCol w:w="1569"/>
        <w:gridCol w:w="1521"/>
      </w:tblGrid>
      <w:tr w14:paraId="6F85E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50" w:type="dxa"/>
            <w:vMerge w:val="restart"/>
            <w:vAlign w:val="center"/>
          </w:tcPr>
          <w:p w14:paraId="58EBEFFC">
            <w:pPr>
              <w:widowControl/>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计件收费</w:t>
            </w:r>
          </w:p>
        </w:tc>
        <w:tc>
          <w:tcPr>
            <w:tcW w:w="750" w:type="dxa"/>
            <w:vAlign w:val="center"/>
          </w:tcPr>
          <w:p w14:paraId="6BEE0785">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序号</w:t>
            </w:r>
          </w:p>
        </w:tc>
        <w:tc>
          <w:tcPr>
            <w:tcW w:w="2715" w:type="dxa"/>
            <w:vAlign w:val="center"/>
          </w:tcPr>
          <w:p w14:paraId="0C6CCADE">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计费额度（万元）</w:t>
            </w:r>
          </w:p>
        </w:tc>
        <w:tc>
          <w:tcPr>
            <w:tcW w:w="1569" w:type="dxa"/>
            <w:vAlign w:val="center"/>
          </w:tcPr>
          <w:p w14:paraId="4B38C9EB">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最高费率（‰）</w:t>
            </w:r>
          </w:p>
        </w:tc>
        <w:tc>
          <w:tcPr>
            <w:tcW w:w="1521" w:type="dxa"/>
            <w:vAlign w:val="center"/>
          </w:tcPr>
          <w:p w14:paraId="7E5C3D75">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报价折扣率</w:t>
            </w:r>
          </w:p>
          <w:p w14:paraId="6038DCC8">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w:t>
            </w:r>
          </w:p>
        </w:tc>
      </w:tr>
      <w:tr w14:paraId="03C4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3190DD61">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61F900D0">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1</w:t>
            </w:r>
          </w:p>
        </w:tc>
        <w:tc>
          <w:tcPr>
            <w:tcW w:w="2715" w:type="dxa"/>
          </w:tcPr>
          <w:p w14:paraId="01E47135">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100以下（含100）</w:t>
            </w:r>
          </w:p>
        </w:tc>
        <w:tc>
          <w:tcPr>
            <w:tcW w:w="1569" w:type="dxa"/>
            <w:vAlign w:val="center"/>
          </w:tcPr>
          <w:p w14:paraId="77834BA1">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7.5</w:t>
            </w:r>
          </w:p>
        </w:tc>
        <w:tc>
          <w:tcPr>
            <w:tcW w:w="1521" w:type="dxa"/>
            <w:vMerge w:val="restart"/>
            <w:vAlign w:val="center"/>
          </w:tcPr>
          <w:p w14:paraId="6F2674C8">
            <w:pPr>
              <w:widowControl/>
              <w:jc w:val="center"/>
              <w:rPr>
                <w:rFonts w:hint="eastAsia" w:ascii="黑体" w:hAnsi="黑体" w:eastAsia="黑体" w:cs="黑体"/>
                <w:color w:val="000000"/>
                <w:kern w:val="0"/>
                <w:sz w:val="24"/>
                <w:szCs w:val="24"/>
                <w:highlight w:val="none"/>
                <w:lang w:val="en-US" w:eastAsia="zh-CN"/>
              </w:rPr>
            </w:pPr>
            <w:r>
              <w:rPr>
                <w:rFonts w:hint="eastAsia" w:ascii="仿宋_GB2312" w:hAnsi="仿宋_GB2312" w:eastAsia="仿宋_GB2312" w:cs="仿宋_GB2312"/>
                <w:color w:val="000000"/>
                <w:kern w:val="0"/>
                <w:sz w:val="22"/>
                <w:szCs w:val="22"/>
                <w:highlight w:val="none"/>
                <w:lang w:val="en-US" w:eastAsia="zh-CN"/>
              </w:rPr>
              <w:t>（报价至小数点后两位数或以上）</w:t>
            </w:r>
          </w:p>
        </w:tc>
      </w:tr>
      <w:tr w14:paraId="14C7E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41DB58F5">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57677663">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2</w:t>
            </w:r>
          </w:p>
        </w:tc>
        <w:tc>
          <w:tcPr>
            <w:tcW w:w="2715" w:type="dxa"/>
          </w:tcPr>
          <w:p w14:paraId="6F17DE0D">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100-1000（含1000）</w:t>
            </w:r>
          </w:p>
        </w:tc>
        <w:tc>
          <w:tcPr>
            <w:tcW w:w="1569" w:type="dxa"/>
            <w:vAlign w:val="center"/>
          </w:tcPr>
          <w:p w14:paraId="5B052F0F">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4.0</w:t>
            </w:r>
          </w:p>
        </w:tc>
        <w:tc>
          <w:tcPr>
            <w:tcW w:w="1521" w:type="dxa"/>
            <w:vMerge w:val="continue"/>
          </w:tcPr>
          <w:p w14:paraId="5FC619A7">
            <w:pPr>
              <w:jc w:val="center"/>
              <w:rPr>
                <w:rFonts w:ascii="仿宋" w:hAnsi="仿宋" w:eastAsia="仿宋" w:cs="仿宋"/>
                <w:sz w:val="24"/>
                <w:szCs w:val="24"/>
                <w:highlight w:val="none"/>
              </w:rPr>
            </w:pPr>
          </w:p>
        </w:tc>
      </w:tr>
      <w:tr w14:paraId="23192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20D48F83">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5D495539">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3</w:t>
            </w:r>
          </w:p>
        </w:tc>
        <w:tc>
          <w:tcPr>
            <w:tcW w:w="2715" w:type="dxa"/>
          </w:tcPr>
          <w:p w14:paraId="798724C1">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1000-5000（含5000）</w:t>
            </w:r>
          </w:p>
        </w:tc>
        <w:tc>
          <w:tcPr>
            <w:tcW w:w="1569" w:type="dxa"/>
            <w:vAlign w:val="center"/>
          </w:tcPr>
          <w:p w14:paraId="1B80FA88">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1.2</w:t>
            </w:r>
          </w:p>
        </w:tc>
        <w:tc>
          <w:tcPr>
            <w:tcW w:w="1521" w:type="dxa"/>
            <w:vMerge w:val="continue"/>
          </w:tcPr>
          <w:p w14:paraId="3E6549C2">
            <w:pPr>
              <w:jc w:val="center"/>
              <w:rPr>
                <w:rFonts w:ascii="仿宋" w:hAnsi="仿宋" w:eastAsia="仿宋" w:cs="仿宋"/>
                <w:sz w:val="24"/>
                <w:szCs w:val="24"/>
                <w:highlight w:val="none"/>
              </w:rPr>
            </w:pPr>
          </w:p>
        </w:tc>
      </w:tr>
      <w:tr w14:paraId="22CF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666963FC">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2064CB42">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4</w:t>
            </w:r>
          </w:p>
        </w:tc>
        <w:tc>
          <w:tcPr>
            <w:tcW w:w="2715" w:type="dxa"/>
          </w:tcPr>
          <w:p w14:paraId="5894DA85">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5000-10000（含10000）</w:t>
            </w:r>
          </w:p>
        </w:tc>
        <w:tc>
          <w:tcPr>
            <w:tcW w:w="1569" w:type="dxa"/>
            <w:vAlign w:val="center"/>
          </w:tcPr>
          <w:p w14:paraId="3B2DB6A2">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0.75</w:t>
            </w:r>
          </w:p>
        </w:tc>
        <w:tc>
          <w:tcPr>
            <w:tcW w:w="1521" w:type="dxa"/>
            <w:vMerge w:val="continue"/>
          </w:tcPr>
          <w:p w14:paraId="20B639B6">
            <w:pPr>
              <w:jc w:val="center"/>
              <w:rPr>
                <w:rFonts w:ascii="仿宋" w:hAnsi="仿宋" w:eastAsia="仿宋" w:cs="仿宋"/>
                <w:sz w:val="24"/>
                <w:szCs w:val="24"/>
                <w:highlight w:val="none"/>
              </w:rPr>
            </w:pPr>
          </w:p>
        </w:tc>
      </w:tr>
      <w:tr w14:paraId="7759B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2C0DD01E">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00775B43">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5</w:t>
            </w:r>
          </w:p>
        </w:tc>
        <w:tc>
          <w:tcPr>
            <w:tcW w:w="2715" w:type="dxa"/>
          </w:tcPr>
          <w:p w14:paraId="7489B470">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10000-100000（含100000）</w:t>
            </w:r>
          </w:p>
        </w:tc>
        <w:tc>
          <w:tcPr>
            <w:tcW w:w="1569" w:type="dxa"/>
            <w:vAlign w:val="center"/>
          </w:tcPr>
          <w:p w14:paraId="5AE6E975">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0.12</w:t>
            </w:r>
          </w:p>
        </w:tc>
        <w:tc>
          <w:tcPr>
            <w:tcW w:w="1521" w:type="dxa"/>
            <w:vMerge w:val="continue"/>
          </w:tcPr>
          <w:p w14:paraId="2E90BD8C">
            <w:pPr>
              <w:jc w:val="center"/>
              <w:rPr>
                <w:rFonts w:ascii="仿宋" w:hAnsi="仿宋" w:eastAsia="仿宋" w:cs="仿宋"/>
                <w:sz w:val="24"/>
                <w:szCs w:val="24"/>
                <w:highlight w:val="none"/>
              </w:rPr>
            </w:pPr>
          </w:p>
        </w:tc>
      </w:tr>
      <w:tr w14:paraId="7E80A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0F05C6BA">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6E568F98">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6</w:t>
            </w:r>
          </w:p>
        </w:tc>
        <w:tc>
          <w:tcPr>
            <w:tcW w:w="2715" w:type="dxa"/>
          </w:tcPr>
          <w:p w14:paraId="7C9A1364">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100000以上</w:t>
            </w:r>
          </w:p>
        </w:tc>
        <w:tc>
          <w:tcPr>
            <w:tcW w:w="1569" w:type="dxa"/>
            <w:vAlign w:val="center"/>
          </w:tcPr>
          <w:p w14:paraId="25A22613">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0.10</w:t>
            </w:r>
          </w:p>
        </w:tc>
        <w:tc>
          <w:tcPr>
            <w:tcW w:w="1521" w:type="dxa"/>
            <w:vMerge w:val="continue"/>
          </w:tcPr>
          <w:p w14:paraId="082684AF">
            <w:pPr>
              <w:jc w:val="center"/>
              <w:rPr>
                <w:rFonts w:ascii="仿宋" w:hAnsi="仿宋" w:eastAsia="仿宋" w:cs="仿宋"/>
                <w:sz w:val="24"/>
                <w:szCs w:val="24"/>
                <w:highlight w:val="none"/>
              </w:rPr>
            </w:pPr>
          </w:p>
        </w:tc>
      </w:tr>
      <w:tr w14:paraId="3C539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restart"/>
            <w:vAlign w:val="center"/>
          </w:tcPr>
          <w:p w14:paraId="069902AD">
            <w:pPr>
              <w:widowControl/>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计时收费</w:t>
            </w:r>
          </w:p>
        </w:tc>
        <w:tc>
          <w:tcPr>
            <w:tcW w:w="750" w:type="dxa"/>
            <w:vAlign w:val="center"/>
          </w:tcPr>
          <w:p w14:paraId="20E36CD8">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序号</w:t>
            </w:r>
          </w:p>
        </w:tc>
        <w:tc>
          <w:tcPr>
            <w:tcW w:w="2715" w:type="dxa"/>
            <w:vAlign w:val="center"/>
          </w:tcPr>
          <w:p w14:paraId="5C952D58">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人员类别</w:t>
            </w:r>
          </w:p>
        </w:tc>
        <w:tc>
          <w:tcPr>
            <w:tcW w:w="1569" w:type="dxa"/>
          </w:tcPr>
          <w:p w14:paraId="0562B9DF">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最高收费限额</w:t>
            </w:r>
          </w:p>
          <w:p w14:paraId="207F103A">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（元/小时）</w:t>
            </w:r>
          </w:p>
        </w:tc>
        <w:tc>
          <w:tcPr>
            <w:tcW w:w="1521" w:type="dxa"/>
            <w:vMerge w:val="continue"/>
            <w:vAlign w:val="center"/>
          </w:tcPr>
          <w:p w14:paraId="79BE642F">
            <w:pPr>
              <w:widowControl/>
              <w:jc w:val="center"/>
              <w:rPr>
                <w:rFonts w:hint="eastAsia" w:ascii="黑体" w:hAnsi="黑体" w:eastAsia="黑体" w:cs="黑体"/>
                <w:color w:val="000000"/>
                <w:kern w:val="0"/>
                <w:sz w:val="24"/>
                <w:szCs w:val="24"/>
                <w:highlight w:val="none"/>
                <w:lang w:val="en-US" w:eastAsia="zh-CN"/>
              </w:rPr>
            </w:pPr>
          </w:p>
        </w:tc>
      </w:tr>
      <w:tr w14:paraId="2DEB0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21F6AA02">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422E57CC">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1</w:t>
            </w:r>
          </w:p>
        </w:tc>
        <w:tc>
          <w:tcPr>
            <w:tcW w:w="2715" w:type="dxa"/>
          </w:tcPr>
          <w:p w14:paraId="1E3CF537">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合伙人评估师或股东评估师</w:t>
            </w:r>
          </w:p>
        </w:tc>
        <w:tc>
          <w:tcPr>
            <w:tcW w:w="1569" w:type="dxa"/>
            <w:vAlign w:val="center"/>
          </w:tcPr>
          <w:p w14:paraId="58F2D71D">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400</w:t>
            </w:r>
          </w:p>
        </w:tc>
        <w:tc>
          <w:tcPr>
            <w:tcW w:w="1521" w:type="dxa"/>
            <w:vMerge w:val="continue"/>
            <w:vAlign w:val="center"/>
          </w:tcPr>
          <w:p w14:paraId="72A25E16">
            <w:pPr>
              <w:widowControl/>
              <w:jc w:val="center"/>
              <w:rPr>
                <w:rFonts w:hint="eastAsia" w:ascii="仿宋_GB2312" w:hAnsi="仿宋_GB2312" w:eastAsia="仿宋_GB2312" w:cs="仿宋_GB2312"/>
                <w:color w:val="000000"/>
                <w:kern w:val="0"/>
                <w:sz w:val="24"/>
                <w:szCs w:val="24"/>
                <w:highlight w:val="none"/>
              </w:rPr>
            </w:pPr>
          </w:p>
        </w:tc>
      </w:tr>
      <w:tr w14:paraId="24A5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14:paraId="3E7FD828">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141BF615">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2</w:t>
            </w:r>
          </w:p>
        </w:tc>
        <w:tc>
          <w:tcPr>
            <w:tcW w:w="2715" w:type="dxa"/>
          </w:tcPr>
          <w:p w14:paraId="4BE4AB1C">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资产评估师</w:t>
            </w:r>
          </w:p>
        </w:tc>
        <w:tc>
          <w:tcPr>
            <w:tcW w:w="1569" w:type="dxa"/>
            <w:vAlign w:val="center"/>
          </w:tcPr>
          <w:p w14:paraId="5C490BB2">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30</w:t>
            </w:r>
            <w:r>
              <w:rPr>
                <w:rFonts w:hint="eastAsia" w:ascii="仿宋_GB2312" w:hAnsi="仿宋_GB2312" w:eastAsia="仿宋_GB2312" w:cs="仿宋_GB2312"/>
                <w:color w:val="000000"/>
                <w:kern w:val="0"/>
                <w:sz w:val="24"/>
                <w:szCs w:val="24"/>
                <w:highlight w:val="none"/>
              </w:rPr>
              <w:t>0</w:t>
            </w:r>
          </w:p>
        </w:tc>
        <w:tc>
          <w:tcPr>
            <w:tcW w:w="1521" w:type="dxa"/>
            <w:vMerge w:val="continue"/>
            <w:vAlign w:val="center"/>
          </w:tcPr>
          <w:p w14:paraId="6DDB274E">
            <w:pPr>
              <w:widowControl/>
              <w:jc w:val="center"/>
              <w:rPr>
                <w:rFonts w:hint="eastAsia" w:ascii="仿宋_GB2312" w:hAnsi="仿宋_GB2312" w:eastAsia="仿宋_GB2312" w:cs="仿宋_GB2312"/>
                <w:color w:val="000000"/>
                <w:kern w:val="0"/>
                <w:sz w:val="24"/>
                <w:szCs w:val="24"/>
                <w:highlight w:val="none"/>
              </w:rPr>
            </w:pPr>
          </w:p>
        </w:tc>
      </w:tr>
      <w:tr w14:paraId="6E05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350" w:type="dxa"/>
            <w:vMerge w:val="continue"/>
          </w:tcPr>
          <w:p w14:paraId="023EB64F">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14:paraId="190626A3">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3</w:t>
            </w:r>
          </w:p>
        </w:tc>
        <w:tc>
          <w:tcPr>
            <w:tcW w:w="2715" w:type="dxa"/>
          </w:tcPr>
          <w:p w14:paraId="43D301FB">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助理人员</w:t>
            </w:r>
          </w:p>
        </w:tc>
        <w:tc>
          <w:tcPr>
            <w:tcW w:w="1569" w:type="dxa"/>
            <w:vAlign w:val="center"/>
          </w:tcPr>
          <w:p w14:paraId="6A714783">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val="en-US" w:eastAsia="zh-CN"/>
              </w:rPr>
              <w:t>80</w:t>
            </w:r>
          </w:p>
        </w:tc>
        <w:tc>
          <w:tcPr>
            <w:tcW w:w="1521" w:type="dxa"/>
            <w:vMerge w:val="continue"/>
            <w:vAlign w:val="center"/>
          </w:tcPr>
          <w:p w14:paraId="307B6F50">
            <w:pPr>
              <w:widowControl/>
              <w:jc w:val="center"/>
              <w:rPr>
                <w:rFonts w:hint="eastAsia" w:ascii="仿宋_GB2312" w:hAnsi="仿宋_GB2312" w:eastAsia="仿宋_GB2312" w:cs="仿宋_GB2312"/>
                <w:color w:val="000000"/>
                <w:kern w:val="0"/>
                <w:sz w:val="24"/>
                <w:szCs w:val="24"/>
                <w:highlight w:val="none"/>
              </w:rPr>
            </w:pPr>
          </w:p>
        </w:tc>
      </w:tr>
    </w:tbl>
    <w:p w14:paraId="1A35A8C0">
      <w:pPr>
        <w:jc w:val="left"/>
        <w:rPr>
          <w:sz w:val="32"/>
          <w:szCs w:val="32"/>
        </w:rPr>
      </w:pPr>
      <w:r>
        <w:rPr>
          <w:rFonts w:hint="eastAsia" w:ascii="仿宋" w:hAnsi="仿宋" w:eastAsia="仿宋" w:cs="仿宋"/>
          <w:sz w:val="32"/>
          <w:szCs w:val="32"/>
        </w:rPr>
        <w:t>备注：</w:t>
      </w:r>
    </w:p>
    <w:p w14:paraId="12AA7A60">
      <w:pPr>
        <w:spacing w:line="360" w:lineRule="auto"/>
        <w:rPr>
          <w:rFonts w:hint="eastAsia" w:ascii="仿宋" w:hAnsi="仿宋" w:eastAsia="仿宋" w:cs="仿宋"/>
          <w:b/>
          <w:bCs/>
          <w:sz w:val="32"/>
          <w:szCs w:val="32"/>
        </w:rPr>
      </w:pPr>
      <w:r>
        <w:rPr>
          <w:rFonts w:hint="eastAsia" w:ascii="仿宋" w:hAnsi="仿宋" w:eastAsia="仿宋" w:cs="仿宋"/>
          <w:sz w:val="32"/>
          <w:szCs w:val="32"/>
        </w:rPr>
        <w:t>1.供应商应根据各计费额度对应的最高费率或各人员类别对应的最高收费限额提出统一的</w:t>
      </w:r>
      <w:r>
        <w:rPr>
          <w:rFonts w:hint="eastAsia" w:ascii="仿宋" w:hAnsi="仿宋" w:eastAsia="仿宋" w:cs="仿宋"/>
          <w:b/>
          <w:bCs/>
          <w:sz w:val="32"/>
          <w:szCs w:val="32"/>
        </w:rPr>
        <w:t>报价折扣率，0＜报价折扣率≤100％，否则按无效投标处理：</w:t>
      </w:r>
    </w:p>
    <w:p w14:paraId="787A5AE1">
      <w:pPr>
        <w:jc w:val="left"/>
        <w:rPr>
          <w:rFonts w:hint="eastAsia" w:ascii="仿宋" w:hAnsi="仿宋" w:eastAsia="仿宋" w:cs="仿宋"/>
          <w:b/>
          <w:bCs/>
          <w:sz w:val="32"/>
          <w:szCs w:val="32"/>
        </w:rPr>
      </w:pPr>
      <w:r>
        <w:rPr>
          <w:rFonts w:hint="eastAsia" w:ascii="仿宋" w:hAnsi="仿宋" w:eastAsia="仿宋" w:cs="仿宋"/>
          <w:b/>
          <w:bCs/>
          <w:sz w:val="32"/>
          <w:szCs w:val="32"/>
        </w:rPr>
        <w:t>（1）计件收费</w:t>
      </w:r>
      <w:r>
        <w:rPr>
          <w:rFonts w:hint="eastAsia" w:ascii="仿宋" w:hAnsi="仿宋" w:eastAsia="仿宋"/>
          <w:sz w:val="32"/>
          <w:szCs w:val="32"/>
        </w:rPr>
        <w:t>采取差额定率累进计算的办法收取评估费用。</w:t>
      </w:r>
      <w:r>
        <w:rPr>
          <w:rFonts w:hint="eastAsia" w:ascii="仿宋" w:hAnsi="仿宋" w:eastAsia="仿宋"/>
          <w:b/>
          <w:bCs/>
          <w:sz w:val="32"/>
          <w:szCs w:val="32"/>
        </w:rPr>
        <w:t>计件收费计费基数：</w:t>
      </w:r>
      <w:r>
        <w:rPr>
          <w:rFonts w:hint="eastAsia" w:ascii="仿宋" w:hAnsi="仿宋" w:eastAsia="仿宋"/>
          <w:sz w:val="32"/>
          <w:szCs w:val="32"/>
        </w:rPr>
        <w:t>单项资产评估按</w:t>
      </w:r>
      <w:r>
        <w:rPr>
          <w:rFonts w:hint="eastAsia" w:ascii="仿宋" w:hAnsi="仿宋" w:eastAsia="仿宋"/>
          <w:sz w:val="32"/>
          <w:szCs w:val="32"/>
          <w:lang w:eastAsia="zh-CN"/>
        </w:rPr>
        <w:t>账面</w:t>
      </w:r>
      <w:bookmarkStart w:id="18" w:name="_GoBack"/>
      <w:bookmarkEnd w:id="18"/>
      <w:r>
        <w:rPr>
          <w:rFonts w:hint="eastAsia" w:ascii="仿宋" w:hAnsi="仿宋" w:eastAsia="仿宋"/>
          <w:sz w:val="32"/>
          <w:szCs w:val="32"/>
        </w:rPr>
        <w:t>原值计费；整体资产评估按账面资产总额；无形资产、无账面原值的资产评估按评估值；涉及债权、股权按债权额、股权额并适当考虑相关单位资产总额。</w:t>
      </w:r>
    </w:p>
    <w:p w14:paraId="3BF1CCAB">
      <w:pPr>
        <w:spacing w:line="360" w:lineRule="auto"/>
        <w:rPr>
          <w:rFonts w:hint="eastAsia" w:ascii="仿宋" w:hAnsi="仿宋" w:eastAsia="仿宋" w:cs="仿宋"/>
          <w:sz w:val="32"/>
          <w:szCs w:val="32"/>
        </w:rPr>
      </w:pPr>
      <w:r>
        <w:rPr>
          <w:rFonts w:hint="eastAsia" w:ascii="仿宋" w:hAnsi="仿宋" w:eastAsia="仿宋" w:cs="仿宋"/>
          <w:b/>
          <w:bCs/>
          <w:sz w:val="32"/>
          <w:szCs w:val="32"/>
        </w:rPr>
        <w:t>计件收费报价折扣率</w:t>
      </w:r>
      <w:r>
        <w:rPr>
          <w:rFonts w:hint="eastAsia" w:ascii="仿宋" w:hAnsi="仿宋" w:eastAsia="仿宋" w:cs="仿宋"/>
          <w:sz w:val="32"/>
          <w:szCs w:val="32"/>
        </w:rPr>
        <w:t>是指以最高费率为基准的折扣，如：计费额度为100以下（含100）时，若供应商的报价折扣率为99.258％，则该供应商协议价格为该计费额度下的费率为7.44435‰ (7.5‰*99.258％=7.44435‰）；</w:t>
      </w:r>
    </w:p>
    <w:p w14:paraId="4277FD05">
      <w:pPr>
        <w:spacing w:line="360" w:lineRule="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bCs/>
          <w:sz w:val="32"/>
          <w:szCs w:val="32"/>
        </w:rPr>
        <w:t>计时收费报价折扣率</w:t>
      </w:r>
      <w:r>
        <w:rPr>
          <w:rFonts w:hint="eastAsia" w:ascii="仿宋" w:hAnsi="仿宋" w:eastAsia="仿宋" w:cs="仿宋"/>
          <w:sz w:val="32"/>
          <w:szCs w:val="32"/>
        </w:rPr>
        <w:t>是指以相应人员类别最高收费限额为基准的折扣，如：资产评估师的报价折扣率为99.258％，则该供应商协议价格为资产评估师收费为297.774元/小时 （300*99.258％=297.774元/小时）。</w:t>
      </w:r>
    </w:p>
    <w:p w14:paraId="69C349AC">
      <w:pPr>
        <w:spacing w:line="360" w:lineRule="auto"/>
        <w:rPr>
          <w:rFonts w:hint="eastAsia" w:ascii="仿宋" w:hAnsi="仿宋" w:eastAsia="仿宋"/>
          <w:sz w:val="32"/>
          <w:szCs w:val="32"/>
        </w:rPr>
      </w:pPr>
      <w:r>
        <w:rPr>
          <w:rFonts w:hint="eastAsia" w:ascii="仿宋" w:hAnsi="仿宋" w:eastAsia="仿宋"/>
          <w:sz w:val="32"/>
          <w:szCs w:val="32"/>
        </w:rPr>
        <w:t>请供应商综合考虑服务的成本、效益等因素，结合以下情况，慎重填写本次报价内容：</w:t>
      </w:r>
    </w:p>
    <w:p w14:paraId="7799B361">
      <w:pPr>
        <w:spacing w:line="360" w:lineRule="auto"/>
        <w:rPr>
          <w:rFonts w:hint="eastAsia" w:ascii="仿宋" w:hAnsi="仿宋" w:eastAsia="仿宋"/>
          <w:sz w:val="32"/>
          <w:szCs w:val="32"/>
        </w:rPr>
      </w:pPr>
      <w:r>
        <w:rPr>
          <w:rFonts w:hint="eastAsia" w:ascii="仿宋" w:hAnsi="仿宋" w:eastAsia="仿宋"/>
          <w:b/>
          <w:bCs/>
          <w:sz w:val="32"/>
          <w:szCs w:val="32"/>
        </w:rPr>
        <w:t>A.</w:t>
      </w:r>
      <w:r>
        <w:rPr>
          <w:rFonts w:hint="eastAsia" w:ascii="仿宋" w:hAnsi="仿宋" w:eastAsia="仿宋"/>
          <w:sz w:val="32"/>
          <w:szCs w:val="32"/>
        </w:rPr>
        <w:t>本次征集活动采用“价格优先法”进行评审，供应商的报价多少决定能否成为入围供应商。</w:t>
      </w:r>
    </w:p>
    <w:p w14:paraId="201A7E3C">
      <w:pPr>
        <w:spacing w:line="360" w:lineRule="auto"/>
        <w:rPr>
          <w:rFonts w:hint="eastAsia" w:ascii="仿宋" w:hAnsi="仿宋" w:eastAsia="仿宋"/>
          <w:sz w:val="32"/>
          <w:szCs w:val="32"/>
        </w:rPr>
      </w:pPr>
      <w:r>
        <w:rPr>
          <w:rFonts w:hint="eastAsia" w:ascii="仿宋" w:hAnsi="仿宋" w:eastAsia="仿宋"/>
          <w:b/>
          <w:bCs/>
          <w:sz w:val="32"/>
          <w:szCs w:val="32"/>
        </w:rPr>
        <w:t>B.</w:t>
      </w:r>
      <w:r>
        <w:rPr>
          <w:rFonts w:hint="eastAsia" w:ascii="仿宋" w:hAnsi="仿宋" w:eastAsia="仿宋"/>
          <w:sz w:val="32"/>
          <w:szCs w:val="32"/>
        </w:rPr>
        <w:t>本次征集活动中入围供应商的报价（即协议价格），是后续采购人或服务对象确定第二阶段具体项目成交供应商的最高限价。</w:t>
      </w:r>
    </w:p>
    <w:p w14:paraId="05857502">
      <w:pPr>
        <w:jc w:val="left"/>
        <w:rPr>
          <w:rFonts w:hint="eastAsia" w:ascii="仿宋" w:hAnsi="仿宋" w:eastAsia="仿宋"/>
          <w:sz w:val="32"/>
          <w:szCs w:val="32"/>
        </w:rPr>
      </w:pPr>
      <w:r>
        <w:rPr>
          <w:rFonts w:hint="eastAsia" w:ascii="仿宋" w:hAnsi="仿宋" w:eastAsia="仿宋"/>
          <w:b/>
          <w:bCs/>
          <w:sz w:val="32"/>
          <w:szCs w:val="32"/>
        </w:rPr>
        <w:t>C.</w:t>
      </w:r>
      <w:r>
        <w:rPr>
          <w:rFonts w:hint="eastAsia" w:ascii="仿宋" w:hAnsi="仿宋" w:eastAsia="仿宋"/>
          <w:sz w:val="32"/>
          <w:szCs w:val="32"/>
        </w:rPr>
        <w:t>为防止报价趋同导致大量供应商进入淘汰备选名次（如：项目共计100家投标人参与投标，若70家报价为80％，30家报价为90％，则报价为90％的30家全部列入淘汰备选供应商；若70家报价为80％，1家报价为89.99％，29家报价为90％，则报价为90％的29家全部列入淘汰备选供应商），请供应商</w:t>
      </w:r>
      <w:r>
        <w:rPr>
          <w:rFonts w:hint="eastAsia" w:ascii="仿宋" w:hAnsi="仿宋" w:eastAsia="仿宋"/>
          <w:b/>
          <w:bCs/>
          <w:sz w:val="32"/>
          <w:szCs w:val="32"/>
        </w:rPr>
        <w:t>报价至小数点</w:t>
      </w:r>
      <w:r>
        <w:rPr>
          <w:rFonts w:hint="eastAsia" w:ascii="仿宋_GB2312" w:hAnsi="仿宋_GB2312" w:eastAsia="仿宋_GB2312" w:cs="仿宋_GB2312"/>
          <w:color w:val="000000"/>
          <w:kern w:val="0"/>
          <w:sz w:val="32"/>
          <w:szCs w:val="32"/>
        </w:rPr>
        <w:t>后三位数或以上</w:t>
      </w:r>
      <w:r>
        <w:rPr>
          <w:rFonts w:hint="eastAsia" w:ascii="仿宋" w:hAnsi="仿宋" w:eastAsia="仿宋"/>
          <w:sz w:val="32"/>
          <w:szCs w:val="32"/>
        </w:rPr>
        <w:t>。如80.257％或95.3257％等。</w:t>
      </w:r>
    </w:p>
    <w:p w14:paraId="621F40D3">
      <w:pPr>
        <w:spacing w:line="360" w:lineRule="auto"/>
        <w:rPr>
          <w:rFonts w:ascii="仿宋" w:hAnsi="仿宋" w:eastAsia="仿宋" w:cs="仿宋"/>
          <w:b w:val="0"/>
          <w:bCs w:val="0"/>
          <w:sz w:val="32"/>
          <w:szCs w:val="32"/>
        </w:rPr>
      </w:pPr>
      <w:r>
        <w:rPr>
          <w:rFonts w:hint="eastAsia" w:ascii="仿宋" w:hAnsi="仿宋" w:eastAsia="仿宋" w:cs="仿宋"/>
          <w:b w:val="0"/>
          <w:bCs w:val="0"/>
          <w:sz w:val="32"/>
          <w:szCs w:val="32"/>
        </w:rPr>
        <w:t>2.供应商应承诺具备提供计时收费三类人员的服务能力。</w:t>
      </w:r>
    </w:p>
    <w:p w14:paraId="2482882B">
      <w:pPr>
        <w:jc w:val="left"/>
        <w:rPr>
          <w:rFonts w:ascii="仿宋" w:hAnsi="仿宋" w:eastAsia="仿宋" w:cs="仿宋"/>
          <w:b w:val="0"/>
          <w:bCs w:val="0"/>
          <w:sz w:val="32"/>
          <w:szCs w:val="32"/>
        </w:rPr>
      </w:pPr>
      <w:r>
        <w:rPr>
          <w:rFonts w:hint="eastAsia" w:ascii="仿宋" w:hAnsi="仿宋" w:eastAsia="仿宋" w:cs="仿宋"/>
          <w:b w:val="0"/>
          <w:bCs w:val="0"/>
          <w:sz w:val="32"/>
          <w:szCs w:val="32"/>
        </w:rPr>
        <w:t>3.对于计件收费起收点，供应商应满足下列要求：经过报价折扣计算的收费费用小于最低起收点时，按最低起收点收取，最低起收点须满足下表要求。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20"/>
        <w:gridCol w:w="4138"/>
      </w:tblGrid>
      <w:tr w14:paraId="14BB0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13" w:type="dxa"/>
            <w:noWrap w:val="0"/>
            <w:vAlign w:val="top"/>
          </w:tcPr>
          <w:p w14:paraId="3956341F">
            <w:pPr>
              <w:jc w:val="center"/>
              <w:rPr>
                <w:rFonts w:ascii="仿宋" w:hAnsi="仿宋" w:eastAsia="仿宋" w:cs="仿宋"/>
                <w:sz w:val="24"/>
                <w:szCs w:val="24"/>
              </w:rPr>
            </w:pPr>
            <w:r>
              <w:rPr>
                <w:rFonts w:hint="eastAsia" w:ascii="仿宋" w:hAnsi="仿宋" w:eastAsia="仿宋" w:cs="仿宋"/>
                <w:sz w:val="24"/>
                <w:szCs w:val="24"/>
              </w:rPr>
              <w:t>类别</w:t>
            </w:r>
          </w:p>
        </w:tc>
        <w:tc>
          <w:tcPr>
            <w:tcW w:w="1620" w:type="dxa"/>
            <w:noWrap w:val="0"/>
            <w:vAlign w:val="top"/>
          </w:tcPr>
          <w:p w14:paraId="3B8DCD57">
            <w:pPr>
              <w:jc w:val="center"/>
              <w:rPr>
                <w:rFonts w:hint="eastAsia" w:ascii="仿宋" w:hAnsi="仿宋" w:eastAsia="仿宋" w:cs="仿宋"/>
                <w:sz w:val="24"/>
                <w:szCs w:val="24"/>
              </w:rPr>
            </w:pPr>
            <w:r>
              <w:rPr>
                <w:rFonts w:hint="eastAsia" w:ascii="仿宋" w:hAnsi="仿宋" w:eastAsia="仿宋" w:cs="仿宋"/>
                <w:b/>
                <w:bCs/>
                <w:sz w:val="24"/>
                <w:szCs w:val="24"/>
              </w:rPr>
              <w:t>最低起收点</w:t>
            </w:r>
          </w:p>
        </w:tc>
        <w:tc>
          <w:tcPr>
            <w:tcW w:w="4138" w:type="dxa"/>
            <w:noWrap w:val="0"/>
            <w:vAlign w:val="top"/>
          </w:tcPr>
          <w:p w14:paraId="329EA2E9">
            <w:pPr>
              <w:jc w:val="center"/>
              <w:rPr>
                <w:rFonts w:hint="eastAsia" w:ascii="仿宋" w:hAnsi="仿宋" w:eastAsia="仿宋" w:cs="仿宋"/>
                <w:sz w:val="24"/>
                <w:szCs w:val="24"/>
              </w:rPr>
            </w:pPr>
            <w:r>
              <w:rPr>
                <w:rFonts w:hint="eastAsia" w:ascii="仿宋" w:hAnsi="仿宋" w:eastAsia="仿宋" w:cs="仿宋"/>
                <w:sz w:val="24"/>
                <w:szCs w:val="24"/>
              </w:rPr>
              <w:t>备注</w:t>
            </w:r>
          </w:p>
        </w:tc>
      </w:tr>
      <w:tr w14:paraId="2903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3" w:type="dxa"/>
            <w:noWrap w:val="0"/>
            <w:vAlign w:val="center"/>
          </w:tcPr>
          <w:p w14:paraId="338C4897">
            <w:pPr>
              <w:jc w:val="center"/>
              <w:rPr>
                <w:rFonts w:hint="eastAsia" w:ascii="仿宋" w:hAnsi="仿宋" w:eastAsia="仿宋" w:cs="仿宋"/>
                <w:sz w:val="24"/>
                <w:szCs w:val="24"/>
              </w:rPr>
            </w:pPr>
            <w:r>
              <w:rPr>
                <w:rFonts w:hint="eastAsia" w:ascii="仿宋" w:hAnsi="仿宋" w:eastAsia="仿宋" w:cs="仿宋"/>
                <w:sz w:val="24"/>
                <w:szCs w:val="24"/>
              </w:rPr>
              <w:t>一般评估业务</w:t>
            </w:r>
          </w:p>
        </w:tc>
        <w:tc>
          <w:tcPr>
            <w:tcW w:w="1620" w:type="dxa"/>
            <w:noWrap w:val="0"/>
            <w:vAlign w:val="center"/>
          </w:tcPr>
          <w:p w14:paraId="1B5B0923">
            <w:pPr>
              <w:jc w:val="center"/>
              <w:rPr>
                <w:rFonts w:ascii="仿宋" w:hAnsi="仿宋" w:eastAsia="仿宋" w:cs="仿宋"/>
                <w:sz w:val="24"/>
                <w:szCs w:val="24"/>
              </w:rPr>
            </w:pPr>
            <w:r>
              <w:rPr>
                <w:rFonts w:hint="eastAsia" w:ascii="仿宋" w:hAnsi="仿宋" w:eastAsia="仿宋" w:cs="仿宋"/>
                <w:b/>
                <w:bCs/>
                <w:sz w:val="24"/>
                <w:szCs w:val="24"/>
              </w:rPr>
              <w:t>2000</w:t>
            </w:r>
          </w:p>
        </w:tc>
        <w:tc>
          <w:tcPr>
            <w:tcW w:w="4138" w:type="dxa"/>
            <w:noWrap w:val="0"/>
            <w:vAlign w:val="top"/>
          </w:tcPr>
          <w:p w14:paraId="353B0A45">
            <w:pPr>
              <w:jc w:val="center"/>
              <w:rPr>
                <w:rFonts w:ascii="仿宋" w:hAnsi="仿宋" w:eastAsia="仿宋" w:cs="仿宋"/>
                <w:sz w:val="24"/>
                <w:szCs w:val="24"/>
              </w:rPr>
            </w:pPr>
            <w:r>
              <w:rPr>
                <w:rFonts w:hint="eastAsia" w:ascii="仿宋" w:hAnsi="仿宋" w:eastAsia="仿宋" w:cs="仿宋"/>
                <w:sz w:val="24"/>
                <w:szCs w:val="24"/>
              </w:rPr>
              <w:t>以交易、出资、改制改组、清算、租赁、课税、清产核资等为目的的评估业务</w:t>
            </w:r>
          </w:p>
        </w:tc>
      </w:tr>
      <w:tr w14:paraId="045C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3" w:type="dxa"/>
            <w:noWrap w:val="0"/>
            <w:vAlign w:val="center"/>
          </w:tcPr>
          <w:p w14:paraId="037BB20F">
            <w:pPr>
              <w:jc w:val="center"/>
              <w:rPr>
                <w:rFonts w:hint="eastAsia" w:ascii="仿宋" w:hAnsi="仿宋" w:eastAsia="仿宋" w:cs="仿宋"/>
                <w:sz w:val="24"/>
                <w:szCs w:val="24"/>
              </w:rPr>
            </w:pPr>
            <w:r>
              <w:rPr>
                <w:rFonts w:hint="eastAsia" w:ascii="仿宋" w:hAnsi="仿宋" w:eastAsia="仿宋" w:cs="仿宋"/>
                <w:sz w:val="24"/>
                <w:szCs w:val="24"/>
              </w:rPr>
              <w:t>特殊评估业务</w:t>
            </w:r>
          </w:p>
        </w:tc>
        <w:tc>
          <w:tcPr>
            <w:tcW w:w="1620" w:type="dxa"/>
            <w:noWrap w:val="0"/>
            <w:vAlign w:val="center"/>
          </w:tcPr>
          <w:p w14:paraId="4C03705E">
            <w:pPr>
              <w:jc w:val="center"/>
              <w:rPr>
                <w:rFonts w:ascii="仿宋" w:hAnsi="仿宋" w:eastAsia="仿宋" w:cs="仿宋"/>
                <w:sz w:val="24"/>
                <w:szCs w:val="24"/>
              </w:rPr>
            </w:pPr>
            <w:r>
              <w:rPr>
                <w:rFonts w:hint="eastAsia" w:ascii="仿宋" w:hAnsi="仿宋" w:eastAsia="仿宋" w:cs="仿宋"/>
                <w:b/>
                <w:bCs/>
                <w:sz w:val="24"/>
                <w:szCs w:val="24"/>
              </w:rPr>
              <w:t>10000</w:t>
            </w:r>
          </w:p>
        </w:tc>
        <w:tc>
          <w:tcPr>
            <w:tcW w:w="4138" w:type="dxa"/>
            <w:noWrap w:val="0"/>
            <w:vAlign w:val="top"/>
          </w:tcPr>
          <w:p w14:paraId="4FD03D9C">
            <w:pPr>
              <w:jc w:val="center"/>
              <w:rPr>
                <w:rFonts w:ascii="仿宋" w:hAnsi="仿宋" w:eastAsia="仿宋" w:cs="仿宋"/>
                <w:sz w:val="24"/>
                <w:szCs w:val="24"/>
              </w:rPr>
            </w:pPr>
            <w:r>
              <w:rPr>
                <w:rFonts w:hint="eastAsia" w:ascii="仿宋" w:hAnsi="仿宋" w:eastAsia="仿宋" w:cs="仿宋"/>
                <w:sz w:val="24"/>
                <w:szCs w:val="24"/>
              </w:rPr>
              <w:t>证券、期货、金融相关评估业务、以诉讼、仲裁为目的的评估业务、以无形资产为评估对象的评估业务为特殊评估业务</w:t>
            </w:r>
          </w:p>
        </w:tc>
      </w:tr>
    </w:tbl>
    <w:p w14:paraId="06D5A1EC">
      <w:pPr>
        <w:jc w:val="left"/>
        <w:rPr>
          <w:rFonts w:hint="eastAsia" w:ascii="仿宋" w:hAnsi="仿宋" w:eastAsia="仿宋"/>
          <w:sz w:val="24"/>
          <w:szCs w:val="24"/>
        </w:rPr>
      </w:pPr>
    </w:p>
    <w:p w14:paraId="108FFE13">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bookmarkStart w:id="17" w:name="_Toc124771274"/>
      <w:r>
        <w:rPr>
          <w:rFonts w:hint="eastAsia" w:ascii="仿宋" w:hAnsi="仿宋" w:eastAsia="仿宋"/>
          <w:bCs w:val="0"/>
          <w:sz w:val="32"/>
          <w:szCs w:val="32"/>
          <w:lang w:val="zh-CN"/>
        </w:rPr>
        <w:t>其他要求</w:t>
      </w:r>
      <w:bookmarkEnd w:id="17"/>
    </w:p>
    <w:p w14:paraId="2CBBB210">
      <w:pPr>
        <w:spacing w:line="360" w:lineRule="auto"/>
        <w:ind w:left="420" w:leftChars="200"/>
        <w:rPr>
          <w:rFonts w:hint="eastAsia" w:ascii="仿宋" w:hAnsi="仿宋" w:eastAsia="仿宋"/>
          <w:sz w:val="32"/>
          <w:szCs w:val="32"/>
        </w:rPr>
      </w:pPr>
      <w:r>
        <w:rPr>
          <w:rFonts w:hint="eastAsia" w:ascii="仿宋" w:hAnsi="仿宋" w:eastAsia="仿宋"/>
          <w:sz w:val="32"/>
          <w:szCs w:val="32"/>
        </w:rPr>
        <w:t>1.供应商报价应为含税价，包含后期服务实施全过程中可能发生的所有费用，供应商报价应充分考虑相关因素，后期不额外收取交通费、住宿费等费用。</w:t>
      </w:r>
    </w:p>
    <w:p w14:paraId="49D3AD30">
      <w:pPr>
        <w:spacing w:line="360" w:lineRule="auto"/>
        <w:ind w:left="420" w:leftChars="200"/>
        <w:rPr>
          <w:rFonts w:hint="eastAsia" w:ascii="仿宋" w:hAnsi="仿宋" w:eastAsia="仿宋"/>
          <w:b w:val="0"/>
          <w:bCs/>
          <w:sz w:val="32"/>
          <w:szCs w:val="32"/>
        </w:rPr>
      </w:pPr>
      <w:r>
        <w:rPr>
          <w:rFonts w:hint="eastAsia" w:ascii="仿宋" w:hAnsi="仿宋" w:eastAsia="仿宋"/>
          <w:b w:val="0"/>
          <w:bCs/>
          <w:sz w:val="32"/>
          <w:szCs w:val="32"/>
        </w:rPr>
        <w:t>2.供应商根据前述报价要求，对所投采购包进行报价，填写“供应商报价”栏目（报价填报详见第七章附件《开标一览表》）。报价须满足以下要求，否则作为无效响应处理：</w:t>
      </w:r>
    </w:p>
    <w:p w14:paraId="2F3EE5D6">
      <w:pPr>
        <w:spacing w:line="360" w:lineRule="auto"/>
        <w:ind w:left="420" w:leftChars="200"/>
        <w:rPr>
          <w:rFonts w:hint="eastAsia" w:ascii="仿宋" w:hAnsi="仿宋" w:eastAsia="仿宋"/>
          <w:b w:val="0"/>
          <w:bCs/>
          <w:sz w:val="32"/>
          <w:szCs w:val="32"/>
        </w:rPr>
      </w:pPr>
      <w:r>
        <w:rPr>
          <w:rFonts w:hint="eastAsia" w:ascii="仿宋" w:hAnsi="仿宋" w:eastAsia="仿宋"/>
          <w:b w:val="0"/>
          <w:bCs/>
          <w:sz w:val="32"/>
          <w:szCs w:val="32"/>
        </w:rPr>
        <w:t>（1）必须对各包列明的项目进行报价，不得缺项、漏项。</w:t>
      </w:r>
    </w:p>
    <w:p w14:paraId="410701BC">
      <w:pPr>
        <w:spacing w:line="360" w:lineRule="auto"/>
        <w:ind w:firstLine="640" w:firstLineChars="200"/>
        <w:rPr>
          <w:rFonts w:ascii="仿宋" w:hAnsi="仿宋" w:eastAsia="仿宋"/>
          <w:b w:val="0"/>
          <w:bCs/>
          <w:sz w:val="32"/>
          <w:szCs w:val="32"/>
        </w:rPr>
      </w:pPr>
      <w:r>
        <w:rPr>
          <w:rFonts w:hint="eastAsia" w:ascii="仿宋" w:hAnsi="仿宋" w:eastAsia="仿宋"/>
          <w:b w:val="0"/>
          <w:bCs/>
          <w:sz w:val="32"/>
          <w:szCs w:val="32"/>
        </w:rPr>
        <w:t>（2）报价不得超过各项最高限价。报折扣率的不得超过100％。</w:t>
      </w:r>
    </w:p>
    <w:p w14:paraId="2862D4BF">
      <w:pPr>
        <w:spacing w:line="360" w:lineRule="auto"/>
        <w:ind w:firstLine="640" w:firstLineChars="200"/>
        <w:rPr>
          <w:rFonts w:hint="eastAsia"/>
          <w:b w:val="0"/>
          <w:bCs/>
          <w:sz w:val="32"/>
          <w:szCs w:val="32"/>
        </w:rPr>
      </w:pPr>
      <w:r>
        <w:rPr>
          <w:rFonts w:hint="eastAsia" w:ascii="仿宋" w:hAnsi="仿宋" w:eastAsia="仿宋"/>
          <w:b w:val="0"/>
          <w:bCs/>
          <w:sz w:val="32"/>
          <w:szCs w:val="32"/>
        </w:rPr>
        <w:t>（3）不得采取区间报价，各项报价应是一个固定数值。</w:t>
      </w:r>
    </w:p>
    <w:p w14:paraId="203A55EF">
      <w:pPr>
        <w:spacing w:line="360" w:lineRule="auto"/>
        <w:ind w:firstLine="640" w:firstLineChars="200"/>
        <w:rPr>
          <w:rFonts w:hint="eastAsia" w:ascii="仿宋" w:hAnsi="仿宋" w:eastAsia="仿宋"/>
          <w:b w:val="0"/>
          <w:bCs/>
          <w:sz w:val="32"/>
          <w:szCs w:val="32"/>
        </w:rPr>
      </w:pPr>
      <w:r>
        <w:rPr>
          <w:rFonts w:hint="eastAsia" w:ascii="仿宋" w:hAnsi="仿宋" w:eastAsia="仿宋"/>
          <w:b w:val="0"/>
          <w:bCs/>
          <w:sz w:val="32"/>
          <w:szCs w:val="32"/>
        </w:rPr>
        <w:t>3.供应商应提供</w:t>
      </w:r>
      <w:r>
        <w:rPr>
          <w:rFonts w:ascii="仿宋" w:hAnsi="仿宋" w:eastAsia="仿宋" w:cs="仿宋"/>
          <w:b w:val="0"/>
          <w:bCs/>
          <w:sz w:val="32"/>
          <w:szCs w:val="32"/>
          <w:lang w:val="zh-CN"/>
        </w:rPr>
        <w:t>登记至供应商名下的资产评估师</w:t>
      </w:r>
      <w:r>
        <w:rPr>
          <w:rFonts w:hint="eastAsia" w:ascii="仿宋" w:hAnsi="仿宋" w:eastAsia="仿宋"/>
          <w:b w:val="0"/>
          <w:bCs/>
          <w:sz w:val="32"/>
          <w:szCs w:val="32"/>
        </w:rPr>
        <w:t>的相关资格证书。</w:t>
      </w:r>
    </w:p>
    <w:p w14:paraId="4DE12EA4">
      <w:pPr>
        <w:spacing w:line="360" w:lineRule="auto"/>
        <w:ind w:firstLine="640" w:firstLineChars="200"/>
        <w:rPr>
          <w:rFonts w:ascii="仿宋" w:hAnsi="仿宋" w:eastAsia="仿宋"/>
          <w:color w:val="FF0000"/>
          <w:sz w:val="32"/>
          <w:szCs w:val="32"/>
        </w:rPr>
      </w:pPr>
      <w:r>
        <w:rPr>
          <w:rFonts w:hint="eastAsia" w:ascii="仿宋" w:hAnsi="仿宋" w:eastAsia="仿宋"/>
          <w:color w:val="FF0000"/>
          <w:sz w:val="32"/>
          <w:szCs w:val="32"/>
        </w:rPr>
        <w:t>说明：如本处提供资产评估师相关资格证书的人数与开标一览表中注明的资产评估师的人数不一致的，以实际提供了相关资格证书的人数为准。</w:t>
      </w:r>
    </w:p>
    <w:p w14:paraId="62309540">
      <w:pPr>
        <w:spacing w:line="360" w:lineRule="auto"/>
        <w:ind w:firstLine="640" w:firstLineChars="200"/>
        <w:rPr>
          <w:rFonts w:ascii="仿宋" w:hAnsi="仿宋" w:eastAsia="仿宋"/>
          <w:sz w:val="32"/>
          <w:szCs w:val="32"/>
        </w:rPr>
      </w:pPr>
      <w:r>
        <w:rPr>
          <w:rFonts w:hint="eastAsia" w:ascii="仿宋" w:hAnsi="仿宋" w:eastAsia="仿宋"/>
          <w:sz w:val="32"/>
          <w:szCs w:val="32"/>
        </w:rPr>
        <w:t>4.供应商应当遵守法律、行政法规和评估准则，遵循独立、客观、公正的原则对受托资产进行评估，并对其出具的评估报告负责。</w:t>
      </w:r>
    </w:p>
    <w:p w14:paraId="5A005D4E">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5.供应商中标后需按照本章附件一的要求入驻</w:t>
      </w:r>
      <w:r>
        <w:rPr>
          <w:rFonts w:hint="eastAsia" w:ascii="仿宋" w:hAnsi="仿宋" w:eastAsia="仿宋"/>
          <w:sz w:val="32"/>
          <w:szCs w:val="32"/>
          <w:lang w:eastAsia="zh-CN"/>
        </w:rPr>
        <w:t>鄂州市</w:t>
      </w:r>
      <w:r>
        <w:rPr>
          <w:rFonts w:hint="eastAsia" w:ascii="仿宋" w:hAnsi="仿宋" w:eastAsia="仿宋"/>
          <w:sz w:val="32"/>
          <w:szCs w:val="32"/>
        </w:rPr>
        <w:t>政府采购</w:t>
      </w:r>
      <w:r>
        <w:rPr>
          <w:rFonts w:hint="eastAsia" w:ascii="仿宋" w:hAnsi="仿宋" w:eastAsia="仿宋"/>
          <w:sz w:val="32"/>
          <w:szCs w:val="32"/>
          <w:lang w:val="en-US" w:eastAsia="zh-CN"/>
        </w:rPr>
        <w:t>框架协议电子平台</w:t>
      </w:r>
      <w:r>
        <w:rPr>
          <w:rFonts w:hint="eastAsia" w:ascii="仿宋" w:hAnsi="仿宋" w:eastAsia="仿宋"/>
          <w:sz w:val="32"/>
          <w:szCs w:val="32"/>
        </w:rPr>
        <w:t>。</w:t>
      </w:r>
    </w:p>
    <w:p w14:paraId="62980F94">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6.严格依据征集文件要求和响应文件的承诺，向各级单位提供服务。不实行任何形式的不合理限制，提出任何附加条款。全面履行投标承诺，圆满完成各级单位的相关服务工作，确保质量，提供快捷、方便、满意的服务。</w:t>
      </w:r>
    </w:p>
    <w:p w14:paraId="513857AF">
      <w:pPr>
        <w:rPr>
          <w:rFonts w:hint="eastAsia" w:ascii="仿宋" w:hAnsi="仿宋" w:eastAsia="仿宋" w:cs="仿宋"/>
          <w:b/>
          <w:sz w:val="32"/>
          <w:szCs w:val="32"/>
        </w:rPr>
      </w:pPr>
      <w:r>
        <w:rPr>
          <w:rFonts w:hint="eastAsia" w:ascii="仿宋" w:hAnsi="仿宋" w:eastAsia="仿宋" w:cs="仿宋"/>
          <w:b/>
          <w:sz w:val="32"/>
          <w:szCs w:val="32"/>
        </w:rPr>
        <w:br w:type="page"/>
      </w:r>
    </w:p>
    <w:p w14:paraId="3E725AA5">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确定入围及成交供应商</w:t>
      </w:r>
    </w:p>
    <w:p w14:paraId="38052630">
      <w:pPr>
        <w:numPr>
          <w:ilvl w:val="0"/>
          <w:numId w:val="4"/>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确定第一阶段入围供应商的评审方法</w:t>
      </w:r>
    </w:p>
    <w:p w14:paraId="2C194D8A">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14:paraId="718D3AC7">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2、入围供应商的淘汰比例：20%，且至少淘汰一家供应商（提交响应文件和符合资格条件、实质性要求的供应商少于2家时，采购活动终止）。</w:t>
      </w:r>
    </w:p>
    <w:p w14:paraId="24CEC520">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（1）</w:t>
      </w:r>
      <w:r>
        <w:rPr>
          <w:rFonts w:ascii="仿宋" w:hAnsi="仿宋" w:eastAsia="仿宋" w:cs="仿宋"/>
          <w:bCs/>
          <w:sz w:val="32"/>
          <w:szCs w:val="32"/>
        </w:rPr>
        <w:t>若计算的淘汰数非整数，则按照向上取整原则进行处理。即，淘汰数量=向上取整[供应商数量×20%]（示例：如有11家供应商投标</w:t>
      </w:r>
      <w:r>
        <w:rPr>
          <w:rFonts w:hint="eastAsia" w:ascii="仿宋" w:hAnsi="仿宋" w:eastAsia="仿宋" w:cs="仿宋"/>
          <w:bCs/>
          <w:sz w:val="32"/>
          <w:szCs w:val="32"/>
        </w:rPr>
        <w:t>，淘汰数量=向上取整</w:t>
      </w:r>
      <w:r>
        <w:rPr>
          <w:rFonts w:ascii="仿宋" w:hAnsi="仿宋" w:eastAsia="仿宋" w:cs="仿宋"/>
          <w:bCs/>
          <w:sz w:val="32"/>
          <w:szCs w:val="32"/>
        </w:rPr>
        <w:t>[</w:t>
      </w:r>
      <w:r>
        <w:rPr>
          <w:rFonts w:hint="eastAsia" w:ascii="仿宋" w:hAnsi="仿宋" w:eastAsia="仿宋" w:cs="仿宋"/>
          <w:bCs/>
          <w:sz w:val="32"/>
          <w:szCs w:val="32"/>
        </w:rPr>
        <w:t>11</w:t>
      </w:r>
      <w:r>
        <w:rPr>
          <w:rFonts w:ascii="仿宋" w:hAnsi="仿宋" w:eastAsia="仿宋" w:cs="仿宋"/>
          <w:bCs/>
          <w:sz w:val="32"/>
          <w:szCs w:val="32"/>
        </w:rPr>
        <w:t>×20%]=向上取整[</w:t>
      </w:r>
      <w:r>
        <w:rPr>
          <w:rFonts w:hint="eastAsia" w:ascii="仿宋" w:hAnsi="仿宋" w:eastAsia="仿宋" w:cs="仿宋"/>
          <w:bCs/>
          <w:sz w:val="32"/>
          <w:szCs w:val="32"/>
        </w:rPr>
        <w:t>2.2</w:t>
      </w:r>
      <w:r>
        <w:rPr>
          <w:rFonts w:ascii="仿宋" w:hAnsi="仿宋" w:eastAsia="仿宋" w:cs="仿宋"/>
          <w:bCs/>
          <w:sz w:val="32"/>
          <w:szCs w:val="32"/>
        </w:rPr>
        <w:t>]</w:t>
      </w:r>
      <w:r>
        <w:rPr>
          <w:rFonts w:hint="eastAsia" w:ascii="仿宋" w:hAnsi="仿宋" w:eastAsia="仿宋" w:cs="仿宋"/>
          <w:bCs/>
          <w:sz w:val="32"/>
          <w:szCs w:val="32"/>
        </w:rPr>
        <w:t>=3</w:t>
      </w:r>
      <w:r>
        <w:rPr>
          <w:rFonts w:ascii="仿宋" w:hAnsi="仿宋" w:eastAsia="仿宋" w:cs="仿宋"/>
          <w:bCs/>
          <w:sz w:val="32"/>
          <w:szCs w:val="32"/>
        </w:rPr>
        <w:t>,最终实际淘汰3家供应商）</w:t>
      </w:r>
      <w:r>
        <w:rPr>
          <w:rFonts w:hint="eastAsia" w:ascii="仿宋" w:hAnsi="仿宋" w:eastAsia="仿宋" w:cs="仿宋"/>
          <w:bCs/>
          <w:sz w:val="32"/>
          <w:szCs w:val="32"/>
        </w:rPr>
        <w:t>；</w:t>
      </w:r>
    </w:p>
    <w:p w14:paraId="062A45C8">
      <w:pPr>
        <w:spacing w:line="360" w:lineRule="auto"/>
        <w:ind w:firstLine="640" w:firstLineChars="200"/>
        <w:rPr>
          <w:rFonts w:hint="eastAsia" w:ascii="仿宋" w:hAnsi="仿宋" w:eastAsia="仿宋" w:cs="仿宋"/>
          <w:bCs/>
          <w:sz w:val="32"/>
          <w:szCs w:val="32"/>
          <w:lang w:val="en-US" w:eastAsia="zh-CN"/>
        </w:rPr>
      </w:pPr>
      <w:r>
        <w:rPr>
          <w:rFonts w:ascii="仿宋" w:hAnsi="仿宋" w:eastAsia="仿宋" w:cs="仿宋"/>
          <w:bCs/>
          <w:sz w:val="32"/>
          <w:szCs w:val="32"/>
        </w:rPr>
        <w:t>（2）</w:t>
      </w:r>
      <w:r>
        <w:rPr>
          <w:rFonts w:hint="eastAsia" w:ascii="仿宋" w:hAnsi="仿宋" w:eastAsia="仿宋" w:cs="仿宋"/>
          <w:bCs/>
          <w:sz w:val="32"/>
          <w:szCs w:val="32"/>
        </w:rPr>
        <w:t>淘汰率得出的淘汰名次存在并列情形，按照下列规定进行排序</w:t>
      </w:r>
      <w:r>
        <w:rPr>
          <w:rFonts w:hint="eastAsia" w:ascii="仿宋" w:hAnsi="仿宋" w:eastAsia="仿宋" w:cs="仿宋"/>
          <w:bCs/>
          <w:sz w:val="32"/>
          <w:szCs w:val="32"/>
          <w:lang w:val="en-US" w:eastAsia="zh-CN"/>
        </w:rPr>
        <w:t>：</w:t>
      </w:r>
    </w:p>
    <w:p w14:paraId="7E1029F9">
      <w:pPr>
        <w:numPr>
          <w:ilvl w:val="0"/>
          <w:numId w:val="5"/>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比较登记至供应商名下的资产评估师人数，按照数量由多到少的顺序排序。</w:t>
      </w:r>
    </w:p>
    <w:p w14:paraId="04CACC6D">
      <w:pPr>
        <w:numPr>
          <w:ilvl w:val="0"/>
          <w:numId w:val="5"/>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前述方式仍不能确定拟淘汰供应商排序的，由评审小组采取随机抽取方式确定拟淘汰供应商排序（抽取过程全程监控录音录像，以确保公正）：</w:t>
      </w:r>
    </w:p>
    <w:p w14:paraId="25E0EBB3">
      <w:pPr>
        <w:spacing w:line="360" w:lineRule="auto"/>
        <w:ind w:left="1277" w:leftChars="608" w:firstLine="0" w:firstLineChars="0"/>
        <w:rPr>
          <w:rFonts w:ascii="仿宋" w:hAnsi="仿宋" w:eastAsia="仿宋" w:cs="仿宋"/>
          <w:bCs/>
          <w:sz w:val="32"/>
          <w:szCs w:val="32"/>
        </w:rPr>
      </w:pPr>
      <w:r>
        <w:rPr>
          <w:rFonts w:hint="eastAsia" w:ascii="仿宋" w:hAnsi="仿宋" w:eastAsia="仿宋" w:cs="仿宋"/>
          <w:bCs/>
          <w:sz w:val="32"/>
          <w:szCs w:val="32"/>
        </w:rPr>
        <w:t>①评审小组随机抽取不同花色数字的扑克牌与不同供应商对应，并记录对应关系；</w:t>
      </w:r>
    </w:p>
    <w:p w14:paraId="7DCE4590">
      <w:pPr>
        <w:spacing w:line="360" w:lineRule="auto"/>
        <w:ind w:left="1277" w:leftChars="608" w:firstLine="0" w:firstLineChars="0"/>
        <w:rPr>
          <w:rFonts w:ascii="仿宋" w:hAnsi="仿宋" w:eastAsia="仿宋" w:cs="仿宋"/>
          <w:bCs/>
          <w:sz w:val="32"/>
          <w:szCs w:val="32"/>
        </w:rPr>
      </w:pPr>
      <w:r>
        <w:rPr>
          <w:rFonts w:hint="eastAsia" w:ascii="仿宋" w:hAnsi="仿宋" w:eastAsia="仿宋" w:cs="仿宋"/>
          <w:bCs/>
          <w:sz w:val="32"/>
          <w:szCs w:val="32"/>
        </w:rPr>
        <w:t>②由</w:t>
      </w:r>
      <w:r>
        <w:rPr>
          <w:rFonts w:hint="eastAsia" w:ascii="仿宋" w:hAnsi="仿宋" w:eastAsia="仿宋" w:cs="仿宋"/>
          <w:bCs/>
          <w:sz w:val="32"/>
          <w:szCs w:val="32"/>
          <w:lang w:eastAsia="zh-CN"/>
        </w:rPr>
        <w:t>鄂州市</w:t>
      </w:r>
      <w:r>
        <w:rPr>
          <w:rFonts w:hint="eastAsia" w:ascii="仿宋" w:hAnsi="仿宋" w:eastAsia="仿宋" w:cs="仿宋"/>
          <w:bCs/>
          <w:sz w:val="32"/>
          <w:szCs w:val="32"/>
        </w:rPr>
        <w:t xml:space="preserve">政府采购中心工作人员将扑克牌背面朝上打乱排序，随机摆放在桌面上（此过程评审小组需回避）； </w:t>
      </w:r>
    </w:p>
    <w:p w14:paraId="48B586B2">
      <w:pPr>
        <w:spacing w:line="360" w:lineRule="auto"/>
        <w:ind w:left="1277" w:leftChars="608" w:firstLine="0" w:firstLineChars="0"/>
        <w:rPr>
          <w:rFonts w:ascii="仿宋" w:hAnsi="仿宋" w:eastAsia="仿宋" w:cs="仿宋"/>
          <w:bCs/>
          <w:sz w:val="32"/>
          <w:szCs w:val="32"/>
        </w:rPr>
      </w:pPr>
      <w:r>
        <w:rPr>
          <w:rFonts w:hint="eastAsia" w:ascii="仿宋" w:hAnsi="仿宋" w:eastAsia="仿宋" w:cs="仿宋"/>
          <w:bCs/>
          <w:sz w:val="32"/>
          <w:szCs w:val="32"/>
        </w:rPr>
        <w:t>③评审小组随机抽取扑克牌，数量与须淘汰供应商数量相等。与被抽取扑克牌对应的供应商即为淘汰供应商；</w:t>
      </w:r>
    </w:p>
    <w:p w14:paraId="401AC649">
      <w:pPr>
        <w:numPr>
          <w:ilvl w:val="0"/>
          <w:numId w:val="0"/>
        </w:numPr>
        <w:spacing w:line="360" w:lineRule="auto"/>
        <w:ind w:left="1159" w:leftChars="552" w:firstLine="0" w:firstLineChars="0"/>
        <w:rPr>
          <w:rFonts w:hint="eastAsia" w:ascii="仿宋" w:hAnsi="仿宋" w:eastAsia="仿宋" w:cs="仿宋"/>
          <w:bCs/>
          <w:sz w:val="32"/>
          <w:szCs w:val="32"/>
          <w:lang w:val="en-US" w:eastAsia="zh-CN"/>
        </w:rPr>
      </w:pPr>
      <w:r>
        <w:rPr>
          <w:rFonts w:hint="eastAsia" w:ascii="仿宋" w:hAnsi="仿宋" w:eastAsia="仿宋" w:cs="仿宋"/>
          <w:bCs/>
          <w:sz w:val="32"/>
          <w:szCs w:val="32"/>
        </w:rPr>
        <w:t>④评审小组记录被抽取扑克牌花色数字，并确认淘汰供应商名称。</w:t>
      </w:r>
    </w:p>
    <w:p w14:paraId="0FF70772">
      <w:pPr>
        <w:numPr>
          <w:ilvl w:val="0"/>
          <w:numId w:val="4"/>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政府采购政策功能落实</w:t>
      </w:r>
    </w:p>
    <w:p w14:paraId="0F142D5F">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1、小微型企业价格扣除</w:t>
      </w:r>
    </w:p>
    <w:p w14:paraId="218B7294">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（1）本项目对小型和微型企业产品给予</w:t>
      </w:r>
      <w:r>
        <w:rPr>
          <w:rFonts w:hint="eastAsia" w:ascii="仿宋" w:hAnsi="仿宋" w:eastAsia="仿宋" w:cs="仿宋"/>
          <w:bCs/>
          <w:sz w:val="32"/>
          <w:szCs w:val="32"/>
          <w:lang w:val="en-US" w:eastAsia="zh-CN"/>
        </w:rPr>
        <w:t>10%</w:t>
      </w:r>
      <w:r>
        <w:rPr>
          <w:rFonts w:ascii="仿宋" w:hAnsi="仿宋" w:eastAsia="仿宋" w:cs="仿宋"/>
          <w:bCs/>
          <w:sz w:val="32"/>
          <w:szCs w:val="32"/>
        </w:rPr>
        <w:t>的扣除价格，用扣除后的价格参与排序。</w:t>
      </w:r>
    </w:p>
    <w:p w14:paraId="04A18568">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（2）供应商需按照征集文件的要求提供相应的《小微企业声明函》。</w:t>
      </w:r>
    </w:p>
    <w:p w14:paraId="5019C5AD">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（3）企业标准请参照《关于印发中小企业划型标准规定的通知》（工信部联企业[2011]300号）文件规定自行填写。</w:t>
      </w:r>
    </w:p>
    <w:p w14:paraId="2F964F4E">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2、残疾人福利单位价格扣除</w:t>
      </w:r>
    </w:p>
    <w:p w14:paraId="022A281B">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（1）本项目对残疾人福利性单位视同小型、微型企业，给予</w:t>
      </w:r>
      <w:r>
        <w:rPr>
          <w:rFonts w:hint="eastAsia" w:ascii="仿宋" w:hAnsi="仿宋" w:eastAsia="仿宋" w:cs="仿宋"/>
          <w:bCs/>
          <w:sz w:val="32"/>
          <w:szCs w:val="32"/>
          <w:lang w:val="en-US" w:eastAsia="zh-CN"/>
        </w:rPr>
        <w:t>10%</w:t>
      </w:r>
      <w:r>
        <w:rPr>
          <w:rFonts w:ascii="仿宋" w:hAnsi="仿宋" w:eastAsia="仿宋" w:cs="仿宋"/>
          <w:bCs/>
          <w:sz w:val="32"/>
          <w:szCs w:val="32"/>
        </w:rPr>
        <w:t>的价格扣除，用扣除后的价格参与排序。</w:t>
      </w:r>
    </w:p>
    <w:p w14:paraId="639E33BA">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（2）残疾人福利单位需按照征集文件的要求提供《残疾人福利性单位声明函》。</w:t>
      </w:r>
    </w:p>
    <w:p w14:paraId="5400ED2C">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（3）残疾人福利单位标准请参照《关于促进残疾人就业政府采购政策的通知》（财库〔2017〕141号）。</w:t>
      </w:r>
    </w:p>
    <w:p w14:paraId="7F376FDA">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3、监狱和戒毒企业价格扣除</w:t>
      </w:r>
    </w:p>
    <w:p w14:paraId="16927CBF">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（1）本项目对监狱和戒毒企业（简称监狱企业）视同小型、微型企业，给予</w:t>
      </w:r>
      <w:r>
        <w:rPr>
          <w:rFonts w:hint="eastAsia" w:ascii="仿宋" w:hAnsi="仿宋" w:eastAsia="仿宋" w:cs="仿宋"/>
          <w:bCs/>
          <w:sz w:val="32"/>
          <w:szCs w:val="32"/>
          <w:lang w:val="en-US" w:eastAsia="zh-CN"/>
        </w:rPr>
        <w:t>10%</w:t>
      </w:r>
      <w:r>
        <w:rPr>
          <w:rFonts w:ascii="仿宋" w:hAnsi="仿宋" w:eastAsia="仿宋" w:cs="仿宋"/>
          <w:bCs/>
          <w:sz w:val="32"/>
          <w:szCs w:val="32"/>
        </w:rPr>
        <w:t>的价格扣除，用扣除后的价格参与排序。</w:t>
      </w:r>
    </w:p>
    <w:p w14:paraId="1E8ED0B6">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（2）监狱企业参加政府采购活动时，需提供由省级以上监狱管理局、戒毒管理局(含新疆生产建设兵团)出具的属于监狱企业的证明文件。供应商如不提供上述证明文件，价格将不做相应扣除。</w:t>
      </w:r>
    </w:p>
    <w:p w14:paraId="5BD4049A">
      <w:pPr>
        <w:spacing w:line="360" w:lineRule="auto"/>
        <w:ind w:firstLine="640" w:firstLineChars="200"/>
        <w:rPr>
          <w:rFonts w:hint="eastAsia" w:ascii="仿宋" w:hAnsi="仿宋" w:eastAsia="仿宋" w:cs="仿宋"/>
          <w:bCs/>
          <w:sz w:val="32"/>
          <w:szCs w:val="32"/>
          <w:lang w:eastAsia="zh-CN"/>
        </w:rPr>
      </w:pPr>
      <w:r>
        <w:rPr>
          <w:rFonts w:ascii="仿宋" w:hAnsi="仿宋" w:eastAsia="仿宋" w:cs="仿宋"/>
          <w:bCs/>
          <w:sz w:val="32"/>
          <w:szCs w:val="32"/>
        </w:rPr>
        <w:t>（3）监狱企业标准请参照《关于政府采购支持监狱企业发展有关问题的通知》（财库[2014]68号）</w:t>
      </w:r>
      <w:r>
        <w:rPr>
          <w:rFonts w:hint="eastAsia" w:ascii="仿宋" w:hAnsi="仿宋" w:eastAsia="仿宋" w:cs="仿宋"/>
          <w:bCs/>
          <w:sz w:val="32"/>
          <w:szCs w:val="32"/>
          <w:lang w:eastAsia="zh-CN"/>
        </w:rPr>
        <w:t>。</w:t>
      </w:r>
    </w:p>
    <w:p w14:paraId="7221746E">
      <w:pPr>
        <w:spacing w:line="360" w:lineRule="auto"/>
        <w:ind w:firstLine="640" w:firstLineChars="200"/>
        <w:rPr>
          <w:rFonts w:ascii="仿宋" w:hAnsi="仿宋" w:eastAsia="仿宋" w:cs="仿宋"/>
          <w:bCs/>
          <w:sz w:val="32"/>
          <w:szCs w:val="32"/>
        </w:rPr>
      </w:pPr>
      <w:r>
        <w:rPr>
          <w:rFonts w:hint="default" w:ascii="仿宋" w:hAnsi="仿宋" w:eastAsia="仿宋" w:cs="仿宋"/>
          <w:bCs/>
          <w:sz w:val="32"/>
          <w:szCs w:val="32"/>
          <w:lang w:val="en-US" w:eastAsia="zh-CN"/>
        </w:rPr>
        <w:t>4、残疾人福利单位、监狱企业属于小型、微型企业的，不重复享受政策</w:t>
      </w:r>
      <w:r>
        <w:rPr>
          <w:rFonts w:ascii="仿宋" w:hAnsi="仿宋" w:eastAsia="仿宋" w:cs="仿宋"/>
          <w:bCs/>
          <w:sz w:val="32"/>
          <w:szCs w:val="32"/>
        </w:rPr>
        <w:t>。</w:t>
      </w:r>
    </w:p>
    <w:p w14:paraId="1F8AAE0F">
      <w:pPr>
        <w:numPr>
          <w:ilvl w:val="0"/>
          <w:numId w:val="4"/>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确定第二阶段成交供应商的方式</w:t>
      </w:r>
    </w:p>
    <w:p w14:paraId="1153CA34">
      <w:pPr>
        <w:keepNext w:val="0"/>
        <w:keepLines w:val="0"/>
        <w:widowControl w:val="0"/>
        <w:numPr>
          <w:ilvl w:val="0"/>
          <w:numId w:val="0"/>
        </w:numPr>
        <w:suppressLineNumbers w:val="0"/>
        <w:spacing w:before="0" w:beforeAutospacing="0" w:after="0" w:afterAutospacing="0" w:line="460" w:lineRule="exact"/>
        <w:ind w:leftChars="0" w:right="0" w:rightChars="0" w:firstLine="640" w:firstLineChars="200"/>
        <w:jc w:val="both"/>
        <w:rPr>
          <w:rFonts w:hint="default" w:ascii="华文仿宋" w:hAnsi="华文仿宋" w:eastAsia="华文仿宋" w:cs="Times New Roman"/>
          <w:sz w:val="32"/>
          <w:szCs w:val="32"/>
        </w:rPr>
      </w:pPr>
      <w:r>
        <w:rPr>
          <w:rFonts w:hint="default" w:ascii="仿宋" w:hAnsi="仿宋" w:eastAsia="仿宋" w:cs="仿宋"/>
          <w:bCs/>
          <w:sz w:val="32"/>
          <w:szCs w:val="32"/>
          <w:lang w:val="en-US" w:eastAsia="zh-CN"/>
        </w:rPr>
        <w:t>1.确定第二阶段成交供应商的方式为</w:t>
      </w:r>
      <w:r>
        <w:rPr>
          <w:rStyle w:val="16"/>
          <w:rFonts w:hint="default" w:ascii="华文仿宋" w:hAnsi="华文仿宋" w:eastAsia="华文仿宋" w:cs="华文仿宋"/>
          <w:kern w:val="2"/>
          <w:sz w:val="32"/>
          <w:szCs w:val="32"/>
          <w:lang w:val="en-US" w:eastAsia="zh-CN" w:bidi="ar"/>
        </w:rPr>
        <w:t>直接选定和二次竞价。</w:t>
      </w:r>
    </w:p>
    <w:p w14:paraId="1D8B875C">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32"/>
          <w:szCs w:val="32"/>
        </w:rPr>
      </w:pPr>
      <w:r>
        <w:rPr>
          <w:rStyle w:val="16"/>
          <w:rFonts w:hint="default" w:ascii="华文仿宋" w:hAnsi="华文仿宋" w:eastAsia="华文仿宋" w:cs="华文仿宋"/>
          <w:b/>
          <w:bCs/>
          <w:kern w:val="2"/>
          <w:sz w:val="32"/>
          <w:szCs w:val="32"/>
          <w:u w:val="none"/>
          <w:lang w:eastAsia="zh-CN" w:bidi="ar"/>
        </w:rPr>
        <w:t xml:space="preserve">    </w:t>
      </w:r>
      <w:r>
        <w:rPr>
          <w:rStyle w:val="16"/>
          <w:rFonts w:hint="default" w:ascii="华文仿宋" w:hAnsi="华文仿宋" w:eastAsia="华文仿宋" w:cs="华文仿宋"/>
          <w:b/>
          <w:bCs/>
          <w:kern w:val="2"/>
          <w:sz w:val="32"/>
          <w:szCs w:val="32"/>
          <w:u w:val="single"/>
          <w:lang w:val="en-US" w:eastAsia="zh-CN" w:bidi="ar"/>
        </w:rPr>
        <w:t>直接选定</w:t>
      </w:r>
      <w:r>
        <w:rPr>
          <w:rStyle w:val="16"/>
          <w:rFonts w:hint="default" w:ascii="华文仿宋" w:hAnsi="华文仿宋" w:eastAsia="华文仿宋" w:cs="华文仿宋"/>
          <w:kern w:val="2"/>
          <w:sz w:val="32"/>
          <w:szCs w:val="32"/>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14:paraId="05C6A80C">
      <w:pPr>
        <w:numPr>
          <w:ilvl w:val="0"/>
          <w:numId w:val="0"/>
        </w:numPr>
        <w:spacing w:line="440" w:lineRule="exact"/>
        <w:ind w:firstLine="641" w:firstLineChars="200"/>
        <w:rPr>
          <w:rStyle w:val="16"/>
          <w:rFonts w:hint="default" w:ascii="华文仿宋" w:hAnsi="华文仿宋" w:eastAsia="华文仿宋" w:cs="华文仿宋"/>
          <w:kern w:val="2"/>
          <w:sz w:val="24"/>
          <w:szCs w:val="24"/>
          <w:lang w:val="en-US" w:eastAsia="zh-CN" w:bidi="ar"/>
        </w:rPr>
      </w:pPr>
      <w:r>
        <w:rPr>
          <w:rStyle w:val="16"/>
          <w:rFonts w:hint="default" w:ascii="华文仿宋" w:hAnsi="华文仿宋" w:eastAsia="华文仿宋" w:cs="华文仿宋"/>
          <w:b/>
          <w:bCs/>
          <w:kern w:val="2"/>
          <w:sz w:val="32"/>
          <w:szCs w:val="32"/>
          <w:u w:val="single"/>
          <w:lang w:val="en-US" w:eastAsia="zh-CN" w:bidi="ar"/>
        </w:rPr>
        <w:t>二次竞价</w:t>
      </w:r>
      <w:r>
        <w:rPr>
          <w:rStyle w:val="16"/>
          <w:rFonts w:hint="default" w:ascii="华文仿宋" w:hAnsi="华文仿宋" w:eastAsia="华文仿宋" w:cs="华文仿宋"/>
          <w:kern w:val="2"/>
          <w:sz w:val="32"/>
          <w:szCs w:val="32"/>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14:paraId="72FEC0EB">
      <w:pPr>
        <w:numPr>
          <w:ilvl w:val="0"/>
          <w:numId w:val="0"/>
        </w:numPr>
        <w:spacing w:line="440" w:lineRule="exact"/>
        <w:ind w:firstLine="640" w:firstLineChars="20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2.采购人在确定成交供应商后，双方应当按照框架协议中规定的“采购合同文本”格式签订电子采购合同，不得擅自改变框架协议约定的合同实质性条款。</w:t>
      </w:r>
    </w:p>
    <w:p w14:paraId="66F448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500D7"/>
    <w:multiLevelType w:val="singleLevel"/>
    <w:tmpl w:val="877500D7"/>
    <w:lvl w:ilvl="0" w:tentative="0">
      <w:start w:val="1"/>
      <w:numFmt w:val="chineseCounting"/>
      <w:suff w:val="nothing"/>
      <w:lvlText w:val="（%1）"/>
      <w:lvlJc w:val="left"/>
      <w:pPr>
        <w:ind w:left="-420" w:firstLine="420"/>
      </w:pPr>
      <w:rPr>
        <w:rFonts w:hint="eastAsia"/>
      </w:rPr>
    </w:lvl>
  </w:abstractNum>
  <w:abstractNum w:abstractNumId="1">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2">
    <w:nsid w:val="283A093C"/>
    <w:multiLevelType w:val="singleLevel"/>
    <w:tmpl w:val="283A093C"/>
    <w:lvl w:ilvl="0" w:tentative="0">
      <w:start w:val="1"/>
      <w:numFmt w:val="decimal"/>
      <w:pStyle w:val="13"/>
      <w:lvlText w:val="%1."/>
      <w:lvlJc w:val="left"/>
      <w:pPr>
        <w:ind w:left="425" w:hanging="425"/>
      </w:pPr>
      <w:rPr>
        <w:rFonts w:hint="default"/>
      </w:rPr>
    </w:lvl>
  </w:abstractNum>
  <w:abstractNum w:abstractNumId="3">
    <w:nsid w:val="397FE4A7"/>
    <w:multiLevelType w:val="singleLevel"/>
    <w:tmpl w:val="397FE4A7"/>
    <w:lvl w:ilvl="0" w:tentative="0">
      <w:start w:val="1"/>
      <w:numFmt w:val="decimal"/>
      <w:lvlText w:val="%1)"/>
      <w:lvlJc w:val="left"/>
      <w:pPr>
        <w:ind w:left="1265" w:hanging="425"/>
      </w:pPr>
      <w:rPr>
        <w:rFonts w:hint="default"/>
      </w:rPr>
    </w:lvl>
  </w:abstractNum>
  <w:abstractNum w:abstractNumId="4">
    <w:nsid w:val="68D6FC8E"/>
    <w:multiLevelType w:val="multilevel"/>
    <w:tmpl w:val="68D6FC8E"/>
    <w:lvl w:ilvl="0" w:tentative="0">
      <w:start w:val="1"/>
      <w:numFmt w:val="chineseCountingThousand"/>
      <w:lvlText w:val="%1、"/>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6FCE7B2F"/>
    <w:rsid w:val="02903E23"/>
    <w:rsid w:val="07A46426"/>
    <w:rsid w:val="0A1B7A65"/>
    <w:rsid w:val="0FA71AB0"/>
    <w:rsid w:val="109F0DA6"/>
    <w:rsid w:val="10C224C6"/>
    <w:rsid w:val="110A36DF"/>
    <w:rsid w:val="113813CF"/>
    <w:rsid w:val="12293034"/>
    <w:rsid w:val="14E320B0"/>
    <w:rsid w:val="15023959"/>
    <w:rsid w:val="1524411E"/>
    <w:rsid w:val="15E73190"/>
    <w:rsid w:val="17840074"/>
    <w:rsid w:val="17A421AD"/>
    <w:rsid w:val="186D16A3"/>
    <w:rsid w:val="19E05F6E"/>
    <w:rsid w:val="1A4E4190"/>
    <w:rsid w:val="1B4937B9"/>
    <w:rsid w:val="1E174F29"/>
    <w:rsid w:val="1EBF13E4"/>
    <w:rsid w:val="20074F05"/>
    <w:rsid w:val="201A1C01"/>
    <w:rsid w:val="202B45EC"/>
    <w:rsid w:val="21C5198C"/>
    <w:rsid w:val="21FF0315"/>
    <w:rsid w:val="21FF7BED"/>
    <w:rsid w:val="23CE5E23"/>
    <w:rsid w:val="23E93A3E"/>
    <w:rsid w:val="24AA5945"/>
    <w:rsid w:val="24EF501E"/>
    <w:rsid w:val="2512712B"/>
    <w:rsid w:val="257B381A"/>
    <w:rsid w:val="283107D1"/>
    <w:rsid w:val="28AD06AC"/>
    <w:rsid w:val="29833786"/>
    <w:rsid w:val="2A7726AA"/>
    <w:rsid w:val="2A981E58"/>
    <w:rsid w:val="2D0363AE"/>
    <w:rsid w:val="2DDF58EC"/>
    <w:rsid w:val="306618D1"/>
    <w:rsid w:val="30AF4F3B"/>
    <w:rsid w:val="327A61A4"/>
    <w:rsid w:val="34E30418"/>
    <w:rsid w:val="3536154B"/>
    <w:rsid w:val="355A2F35"/>
    <w:rsid w:val="35C67432"/>
    <w:rsid w:val="37B0410A"/>
    <w:rsid w:val="39391233"/>
    <w:rsid w:val="3A8C2A1C"/>
    <w:rsid w:val="3BAE439B"/>
    <w:rsid w:val="3DF2E7AF"/>
    <w:rsid w:val="3E421123"/>
    <w:rsid w:val="3E700421"/>
    <w:rsid w:val="3EBC5401"/>
    <w:rsid w:val="40613DDF"/>
    <w:rsid w:val="41C21F7E"/>
    <w:rsid w:val="42880975"/>
    <w:rsid w:val="450E365C"/>
    <w:rsid w:val="45CC7A2A"/>
    <w:rsid w:val="470372DD"/>
    <w:rsid w:val="4AF86B0D"/>
    <w:rsid w:val="4F9A270D"/>
    <w:rsid w:val="4FC413CF"/>
    <w:rsid w:val="51FA1B6A"/>
    <w:rsid w:val="5289405B"/>
    <w:rsid w:val="53176D69"/>
    <w:rsid w:val="557D7657"/>
    <w:rsid w:val="584C63C9"/>
    <w:rsid w:val="5C230915"/>
    <w:rsid w:val="5DEA0EA5"/>
    <w:rsid w:val="5ED2720A"/>
    <w:rsid w:val="60603794"/>
    <w:rsid w:val="60C921C2"/>
    <w:rsid w:val="610A6613"/>
    <w:rsid w:val="614A0B9E"/>
    <w:rsid w:val="629A7E85"/>
    <w:rsid w:val="633A0B7D"/>
    <w:rsid w:val="63CF7DD1"/>
    <w:rsid w:val="64B834D3"/>
    <w:rsid w:val="6604084B"/>
    <w:rsid w:val="671640FE"/>
    <w:rsid w:val="68251AD9"/>
    <w:rsid w:val="6968106F"/>
    <w:rsid w:val="69CE1257"/>
    <w:rsid w:val="6A665103"/>
    <w:rsid w:val="6D3140E4"/>
    <w:rsid w:val="6FCE7B2F"/>
    <w:rsid w:val="700E788E"/>
    <w:rsid w:val="71721973"/>
    <w:rsid w:val="77111F80"/>
    <w:rsid w:val="7821576C"/>
    <w:rsid w:val="79DF08B7"/>
    <w:rsid w:val="7B8E5E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next w:val="8"/>
    <w:semiHidden/>
    <w:unhideWhenUsed/>
    <w:qFormat/>
    <w:uiPriority w:val="99"/>
    <w:pPr>
      <w:spacing w:after="120"/>
      <w:ind w:left="420" w:leftChars="200"/>
    </w:pPr>
  </w:style>
  <w:style w:type="paragraph" w:styleId="8">
    <w:name w:val="Body Text First Indent 2"/>
    <w:basedOn w:val="7"/>
    <w:semiHidden/>
    <w:unhideWhenUsed/>
    <w:qFormat/>
    <w:uiPriority w:val="99"/>
    <w:pPr>
      <w:ind w:firstLine="420" w:firstLine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13">
    <w:name w:val="样式1"/>
    <w:basedOn w:val="1"/>
    <w:qFormat/>
    <w:uiPriority w:val="0"/>
    <w:pPr>
      <w:numPr>
        <w:ilvl w:val="0"/>
        <w:numId w:val="1"/>
      </w:numPr>
      <w:spacing w:line="360" w:lineRule="auto"/>
      <w:ind w:left="425" w:hanging="425"/>
    </w:pPr>
    <w:rPr>
      <w:rFonts w:hint="eastAsia" w:ascii="仿宋" w:hAnsi="仿宋" w:eastAsia="仿宋" w:cs="Times New Roman"/>
      <w:b/>
      <w:sz w:val="24"/>
      <w:szCs w:val="24"/>
      <w:lang w:val="zh-CN"/>
    </w:rPr>
  </w:style>
  <w:style w:type="paragraph" w:customStyle="1" w:styleId="14">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5">
    <w:name w:val="fontstyle21"/>
    <w:basedOn w:val="11"/>
    <w:qFormat/>
    <w:uiPriority w:val="0"/>
    <w:rPr>
      <w:rFonts w:hint="eastAsia" w:ascii="华文仿宋" w:hAnsi="华文仿宋" w:eastAsia="华文仿宋"/>
      <w:color w:val="000000"/>
      <w:sz w:val="28"/>
      <w:szCs w:val="28"/>
    </w:rPr>
  </w:style>
  <w:style w:type="character" w:customStyle="1" w:styleId="16">
    <w:name w:val="15"/>
    <w:basedOn w:val="11"/>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3789</Words>
  <Characters>4055</Characters>
  <Lines>0</Lines>
  <Paragraphs>0</Paragraphs>
  <TotalTime>0</TotalTime>
  <ScaleCrop>false</ScaleCrop>
  <LinksUpToDate>false</LinksUpToDate>
  <CharactersWithSpaces>4062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2022-07-18T14:33:00Z</dcterms:created>
  <dc:creator>NS4</dc:creator>
  <cp:lastModifiedBy>夏之雪</cp:lastModifiedBy>
  <dcterms:modified xsi:type="dcterms:W3CDTF">2025-06-11T01:25:48Z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0B93DB6219944A8D9ECB604FC7B59F24</vt:lpwstr>
  </property>
</Properties>
</file>