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rPr>
        <w:t>车辆维修和保养服务</w:t>
      </w:r>
      <w:r>
        <w:rPr>
          <w:rFonts w:hint="eastAsia" w:ascii="黑体" w:hAnsi="黑体" w:eastAsia="黑体" w:cs="黑体"/>
          <w:sz w:val="44"/>
          <w:szCs w:val="44"/>
          <w:lang w:val="en-US" w:eastAsia="zh-CN"/>
        </w:rPr>
        <w:t>框架协议采购需求</w:t>
      </w:r>
    </w:p>
    <w:p>
      <w:pPr>
        <w:pStyle w:val="3"/>
        <w:keepNext/>
        <w:keepLines/>
        <w:pageBreakBefore w:val="0"/>
        <w:widowControl w:val="0"/>
        <w:numPr>
          <w:ilvl w:val="0"/>
          <w:numId w:val="1"/>
        </w:numPr>
        <w:kinsoku/>
        <w:wordWrap/>
        <w:overflowPunct/>
        <w:topLinePunct w:val="0"/>
        <w:autoSpaceDE/>
        <w:autoSpaceDN/>
        <w:bidi w:val="0"/>
        <w:adjustRightInd/>
        <w:snapToGrid/>
        <w:spacing w:before="313" w:beforeLines="100" w:after="313" w:afterLines="100" w:line="360" w:lineRule="auto"/>
        <w:ind w:left="618" w:hanging="618"/>
        <w:jc w:val="left"/>
        <w:textAlignment w:val="auto"/>
        <w:outlineLvl w:val="0"/>
        <w:rPr>
          <w:rFonts w:hint="eastAsia" w:ascii="黑体" w:hAnsi="黑体" w:eastAsia="黑体" w:cs="黑体"/>
          <w:b w:val="0"/>
          <w:bCs/>
          <w:sz w:val="32"/>
          <w:szCs w:val="32"/>
          <w:highlight w:val="none"/>
          <w:lang w:val="en-US" w:eastAsia="zh-CN"/>
        </w:rPr>
      </w:pPr>
      <w:r>
        <w:rPr>
          <w:rFonts w:hint="eastAsia" w:ascii="黑体" w:hAnsi="黑体" w:eastAsia="黑体" w:cs="黑体"/>
          <w:b w:val="0"/>
          <w:bCs/>
          <w:sz w:val="32"/>
          <w:szCs w:val="32"/>
          <w:highlight w:val="none"/>
          <w:lang w:val="en-US" w:eastAsia="zh-CN"/>
        </w:rPr>
        <w:t>资格要求</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1.满足《中华人民共和国政府采购法》第二十二条规定，即：</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2.单位负责人为同一人或者存在直接控股、管理关系的不同投标人，不得参加本项目同一合同项下的政府采购活动。</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4.未被列入失信被执行人、重大税收违法案件当事人名单，未被列入政府采购严重违法失信行为记录名单。</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5.落实政府采购政策需满足的资格要求：无</w:t>
      </w:r>
    </w:p>
    <w:p>
      <w:pPr>
        <w:widowControl/>
        <w:snapToGrid w:val="0"/>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6.本项目的特定资格要求：</w:t>
      </w:r>
    </w:p>
    <w:p>
      <w:pPr>
        <w:widowControl/>
        <w:snapToGrid w:val="0"/>
        <w:spacing w:line="360" w:lineRule="auto"/>
        <w:ind w:firstLine="480" w:firstLineChars="200"/>
        <w:jc w:val="left"/>
        <w:rPr>
          <w:rFonts w:hint="eastAsia" w:ascii="仿宋" w:hAnsi="仿宋" w:eastAsia="仿宋"/>
          <w:bCs/>
          <w:sz w:val="24"/>
          <w:szCs w:val="24"/>
          <w:lang w:eastAsia="zh-CN"/>
        </w:rPr>
      </w:pPr>
      <w:r>
        <w:rPr>
          <w:rFonts w:hint="eastAsia" w:ascii="仿宋" w:hAnsi="仿宋" w:eastAsia="仿宋"/>
          <w:bCs/>
          <w:sz w:val="24"/>
          <w:szCs w:val="24"/>
          <w:lang w:val="en-US" w:eastAsia="zh-CN"/>
        </w:rPr>
        <w:t>第1包：</w:t>
      </w:r>
      <w:r>
        <w:rPr>
          <w:rFonts w:hint="eastAsia" w:ascii="仿宋" w:hAnsi="仿宋" w:eastAsia="仿宋"/>
          <w:bCs/>
          <w:sz w:val="24"/>
          <w:szCs w:val="24"/>
          <w:lang w:eastAsia="zh-CN"/>
        </w:rPr>
        <w:t>供应商应通过一类机动车维修企业经营备案；</w:t>
      </w:r>
    </w:p>
    <w:p>
      <w:pPr>
        <w:widowControl/>
        <w:snapToGrid w:val="0"/>
        <w:spacing w:line="360" w:lineRule="auto"/>
        <w:ind w:firstLine="480" w:firstLineChars="200"/>
        <w:jc w:val="left"/>
        <w:rPr>
          <w:rFonts w:hint="eastAsia" w:ascii="仿宋" w:hAnsi="仿宋" w:eastAsia="仿宋"/>
          <w:bCs/>
          <w:sz w:val="24"/>
          <w:szCs w:val="24"/>
          <w:lang w:eastAsia="zh-CN"/>
        </w:rPr>
      </w:pPr>
      <w:r>
        <w:rPr>
          <w:rFonts w:hint="eastAsia" w:ascii="仿宋" w:hAnsi="仿宋" w:eastAsia="仿宋"/>
          <w:bCs/>
          <w:sz w:val="24"/>
          <w:szCs w:val="24"/>
          <w:lang w:val="en-US" w:eastAsia="zh-CN"/>
        </w:rPr>
        <w:t>第2包：供应商应通过</w:t>
      </w:r>
      <w:r>
        <w:rPr>
          <w:rFonts w:hint="eastAsia" w:ascii="仿宋" w:hAnsi="仿宋" w:eastAsia="仿宋"/>
          <w:bCs/>
          <w:sz w:val="24"/>
          <w:szCs w:val="24"/>
          <w:lang w:eastAsia="zh-CN"/>
        </w:rPr>
        <w:t>二类</w:t>
      </w:r>
      <w:r>
        <w:rPr>
          <w:rFonts w:hint="eastAsia" w:ascii="仿宋" w:hAnsi="仿宋" w:eastAsia="仿宋"/>
          <w:bCs/>
          <w:sz w:val="24"/>
          <w:szCs w:val="24"/>
          <w:lang w:val="en-US" w:eastAsia="zh-CN"/>
        </w:rPr>
        <w:t>或三类</w:t>
      </w:r>
      <w:r>
        <w:rPr>
          <w:rFonts w:hint="eastAsia" w:ascii="仿宋" w:hAnsi="仿宋" w:eastAsia="仿宋"/>
          <w:bCs/>
          <w:sz w:val="24"/>
          <w:szCs w:val="24"/>
          <w:lang w:eastAsia="zh-CN"/>
        </w:rPr>
        <w:t>机动车维修企业经营备案。</w:t>
      </w:r>
    </w:p>
    <w:p>
      <w:pPr>
        <w:widowControl/>
        <w:snapToGrid w:val="0"/>
        <w:spacing w:line="360" w:lineRule="auto"/>
        <w:ind w:firstLine="480" w:firstLineChars="200"/>
        <w:jc w:val="left"/>
        <w:rPr>
          <w:rFonts w:hint="default" w:ascii="仿宋" w:hAnsi="仿宋" w:eastAsia="仿宋"/>
          <w:bCs/>
          <w:sz w:val="24"/>
          <w:szCs w:val="24"/>
          <w:lang w:val="en-US" w:eastAsia="zh-CN"/>
        </w:rPr>
      </w:pPr>
      <w:r>
        <w:rPr>
          <w:rFonts w:hint="eastAsia" w:ascii="仿宋" w:hAnsi="仿宋" w:eastAsia="仿宋"/>
          <w:bCs/>
          <w:sz w:val="24"/>
          <w:szCs w:val="24"/>
          <w:lang w:val="en-US" w:eastAsia="zh-CN"/>
        </w:rPr>
        <w:t>如分公司、分支机构或分所参与投标，须提供总公司、总机构或总所出具的唯一授权书。</w:t>
      </w:r>
    </w:p>
    <w:p>
      <w:pPr>
        <w:pStyle w:val="11"/>
        <w:numPr>
          <w:ilvl w:val="0"/>
          <w:numId w:val="2"/>
        </w:numPr>
        <w:rPr>
          <w:rFonts w:hint="eastAsia" w:ascii="黑体" w:hAnsi="黑体" w:eastAsia="黑体"/>
          <w:sz w:val="32"/>
          <w:szCs w:val="32"/>
        </w:rPr>
      </w:pPr>
      <w:bookmarkStart w:id="0" w:name="_Toc13831"/>
      <w:r>
        <w:rPr>
          <w:rFonts w:hint="eastAsia" w:ascii="黑体" w:hAnsi="黑体" w:eastAsia="黑体"/>
          <w:sz w:val="32"/>
          <w:szCs w:val="32"/>
        </w:rPr>
        <w:t>项目技术、服务及商务要求</w:t>
      </w:r>
      <w:bookmarkEnd w:id="0"/>
    </w:p>
    <w:p>
      <w:pPr>
        <w:pStyle w:val="4"/>
        <w:numPr>
          <w:ilvl w:val="0"/>
          <w:numId w:val="0"/>
        </w:numPr>
        <w:spacing w:before="0" w:after="0" w:line="360" w:lineRule="auto"/>
        <w:ind w:leftChars="0" w:firstLine="562" w:firstLineChars="200"/>
        <w:jc w:val="left"/>
        <w:rPr>
          <w:rFonts w:ascii="仿宋" w:hAnsi="仿宋" w:eastAsia="仿宋"/>
          <w:bCs w:val="0"/>
          <w:sz w:val="28"/>
          <w:szCs w:val="28"/>
          <w:highlight w:val="none"/>
          <w:lang w:val="zh-CN"/>
        </w:rPr>
      </w:pPr>
      <w:bookmarkStart w:id="1" w:name="_Toc20494"/>
      <w:bookmarkStart w:id="2" w:name="_Toc10337"/>
      <w:r>
        <w:rPr>
          <w:rFonts w:hint="eastAsia" w:ascii="仿宋" w:hAnsi="仿宋" w:eastAsia="仿宋"/>
          <w:bCs w:val="0"/>
          <w:sz w:val="28"/>
          <w:szCs w:val="28"/>
          <w:highlight w:val="none"/>
          <w:lang w:val="zh-CN"/>
        </w:rPr>
        <w:t>（</w:t>
      </w:r>
      <w:r>
        <w:rPr>
          <w:rFonts w:hint="eastAsia" w:ascii="仿宋" w:hAnsi="仿宋" w:eastAsia="仿宋"/>
          <w:bCs w:val="0"/>
          <w:sz w:val="28"/>
          <w:szCs w:val="28"/>
          <w:highlight w:val="none"/>
          <w:lang w:val="en-US" w:eastAsia="zh-CN"/>
        </w:rPr>
        <w:t>一</w:t>
      </w:r>
      <w:r>
        <w:rPr>
          <w:rFonts w:hint="eastAsia" w:ascii="仿宋" w:hAnsi="仿宋" w:eastAsia="仿宋"/>
          <w:bCs w:val="0"/>
          <w:sz w:val="28"/>
          <w:szCs w:val="28"/>
          <w:highlight w:val="none"/>
          <w:lang w:val="zh-CN"/>
        </w:rPr>
        <w:t>）项目概况</w:t>
      </w:r>
      <w:bookmarkEnd w:id="1"/>
      <w:bookmarkEnd w:id="2"/>
    </w:p>
    <w:p>
      <w:pPr>
        <w:spacing w:line="360" w:lineRule="auto"/>
        <w:ind w:firstLine="480" w:firstLineChars="200"/>
      </w:pPr>
      <w:r>
        <w:rPr>
          <w:rFonts w:hint="eastAsia" w:ascii="仿宋" w:hAnsi="仿宋" w:eastAsia="仿宋"/>
          <w:sz w:val="24"/>
          <w:szCs w:val="24"/>
          <w:highlight w:val="none"/>
        </w:rPr>
        <w:t>1.</w:t>
      </w:r>
      <w:r>
        <w:rPr>
          <w:rFonts w:hint="eastAsia" w:ascii="仿宋" w:hAnsi="仿宋" w:eastAsia="仿宋"/>
          <w:sz w:val="24"/>
          <w:szCs w:val="24"/>
          <w:highlight w:val="none"/>
          <w:lang w:eastAsia="zh-CN"/>
        </w:rPr>
        <w:t>征集</w:t>
      </w:r>
      <w:r>
        <w:rPr>
          <w:rFonts w:hint="eastAsia" w:ascii="仿宋" w:hAnsi="仿宋" w:eastAsia="仿宋"/>
          <w:sz w:val="24"/>
          <w:szCs w:val="24"/>
          <w:highlight w:val="none"/>
        </w:rPr>
        <w:t>内容：</w:t>
      </w:r>
      <w:bookmarkStart w:id="12" w:name="_GoBack"/>
      <w:bookmarkEnd w:id="12"/>
      <w:r>
        <w:rPr>
          <w:rFonts w:hint="eastAsia" w:ascii="仿宋" w:hAnsi="仿宋" w:eastAsia="仿宋"/>
          <w:sz w:val="24"/>
          <w:szCs w:val="24"/>
          <w:highlight w:val="none"/>
          <w:lang w:val="en-US" w:eastAsia="zh-CN"/>
        </w:rPr>
        <w:t>车辆维修和保养服务</w:t>
      </w:r>
      <w:r>
        <w:rPr>
          <w:rFonts w:hint="eastAsia" w:ascii="仿宋" w:hAnsi="仿宋" w:eastAsia="仿宋"/>
          <w:sz w:val="24"/>
          <w:szCs w:val="24"/>
          <w:highlight w:val="none"/>
        </w:rPr>
        <w:t>。</w:t>
      </w:r>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firstLine="480" w:firstLineChars="200"/>
        <w:textAlignment w:val="auto"/>
        <w:rPr>
          <w:rFonts w:hint="eastAsia" w:ascii="仿宋" w:hAnsi="仿宋" w:eastAsia="仿宋" w:cstheme="minorBidi"/>
          <w:color w:val="auto"/>
          <w:kern w:val="2"/>
          <w:sz w:val="24"/>
          <w:szCs w:val="24"/>
          <w:highlight w:val="none"/>
          <w:lang w:val="en-US" w:eastAsia="zh-CN" w:bidi="ar-SA"/>
        </w:rPr>
      </w:pPr>
      <w:r>
        <w:rPr>
          <w:rFonts w:hint="eastAsia" w:ascii="仿宋" w:hAnsi="仿宋" w:eastAsia="仿宋" w:cstheme="minorBidi"/>
          <w:color w:val="auto"/>
          <w:kern w:val="2"/>
          <w:sz w:val="24"/>
          <w:szCs w:val="24"/>
          <w:highlight w:val="none"/>
          <w:lang w:val="en-US" w:eastAsia="zh-CN" w:bidi="ar-SA"/>
        </w:rPr>
        <w:t>2.服务对象：鄂州市各级预算单位。</w:t>
      </w:r>
    </w:p>
    <w:p>
      <w:pPr>
        <w:spacing w:line="360" w:lineRule="auto"/>
        <w:ind w:firstLine="480" w:firstLineChars="200"/>
        <w:rPr>
          <w:rFonts w:hint="eastAsia" w:ascii="仿宋" w:hAnsi="仿宋" w:eastAsia="仿宋"/>
          <w:sz w:val="24"/>
          <w:szCs w:val="24"/>
          <w:highlight w:val="none"/>
          <w:lang w:eastAsia="zh-CN"/>
        </w:rPr>
      </w:pPr>
      <w:r>
        <w:rPr>
          <w:rFonts w:hint="eastAsia" w:ascii="仿宋" w:hAnsi="仿宋" w:eastAsia="仿宋"/>
          <w:sz w:val="24"/>
          <w:szCs w:val="24"/>
          <w:highlight w:val="none"/>
        </w:rPr>
        <w:t>3.框架协议期限：</w:t>
      </w:r>
      <w:r>
        <w:rPr>
          <w:rFonts w:hint="eastAsia" w:ascii="仿宋" w:hAnsi="仿宋" w:eastAsia="仿宋"/>
          <w:sz w:val="24"/>
          <w:szCs w:val="24"/>
          <w:lang w:val="en-US" w:eastAsia="zh-CN"/>
        </w:rPr>
        <w:t>2024年1月1日</w:t>
      </w:r>
      <w:r>
        <w:rPr>
          <w:rFonts w:hint="eastAsia" w:ascii="仿宋" w:hAnsi="仿宋" w:eastAsia="仿宋"/>
          <w:sz w:val="24"/>
          <w:szCs w:val="24"/>
          <w:highlight w:val="none"/>
        </w:rPr>
        <w:t>至202</w:t>
      </w:r>
      <w:r>
        <w:rPr>
          <w:rFonts w:hint="eastAsia" w:ascii="仿宋" w:hAnsi="仿宋" w:eastAsia="仿宋"/>
          <w:sz w:val="24"/>
          <w:szCs w:val="24"/>
          <w:highlight w:val="none"/>
          <w:lang w:val="en-US" w:eastAsia="zh-CN"/>
        </w:rPr>
        <w:t>4</w:t>
      </w:r>
      <w:r>
        <w:rPr>
          <w:rFonts w:hint="eastAsia" w:ascii="仿宋" w:hAnsi="仿宋" w:eastAsia="仿宋"/>
          <w:sz w:val="24"/>
          <w:szCs w:val="24"/>
          <w:highlight w:val="none"/>
        </w:rPr>
        <w:t>年12月31日</w:t>
      </w:r>
      <w:r>
        <w:rPr>
          <w:rFonts w:hint="eastAsia" w:ascii="仿宋" w:hAnsi="仿宋" w:eastAsia="仿宋"/>
          <w:sz w:val="24"/>
          <w:szCs w:val="24"/>
          <w:highlight w:val="none"/>
          <w:lang w:eastAsia="zh-CN"/>
        </w:rPr>
        <w:t>。</w:t>
      </w:r>
    </w:p>
    <w:p>
      <w:pPr>
        <w:pStyle w:val="6"/>
        <w:rPr>
          <w:rFonts w:hint="default"/>
          <w:lang w:val="en-US" w:eastAsia="zh-CN"/>
        </w:rPr>
      </w:pPr>
      <w:r>
        <w:rPr>
          <w:rFonts w:hint="eastAsia" w:ascii="仿宋" w:hAnsi="仿宋" w:eastAsia="仿宋"/>
          <w:sz w:val="24"/>
          <w:szCs w:val="24"/>
          <w:highlight w:val="none"/>
          <w:lang w:val="en-US" w:eastAsia="zh-CN"/>
        </w:rPr>
        <w:t xml:space="preserve">    4.征集人：鄂州市政府采购中心</w:t>
      </w:r>
    </w:p>
    <w:p>
      <w:pPr>
        <w:keepNext/>
        <w:keepLines/>
        <w:numPr>
          <w:ilvl w:val="0"/>
          <w:numId w:val="0"/>
        </w:numPr>
        <w:spacing w:line="360" w:lineRule="auto"/>
        <w:ind w:firstLine="562" w:firstLineChars="200"/>
        <w:jc w:val="left"/>
        <w:outlineLvl w:val="1"/>
        <w:rPr>
          <w:rFonts w:ascii="仿宋" w:hAnsi="仿宋" w:eastAsia="仿宋" w:cs="Times New Roman"/>
          <w:b/>
          <w:sz w:val="28"/>
          <w:szCs w:val="28"/>
          <w:lang w:val="zh-CN"/>
        </w:rPr>
      </w:pPr>
      <w:bookmarkStart w:id="3" w:name="_Toc27554"/>
      <w:r>
        <w:rPr>
          <w:rFonts w:hint="eastAsia" w:ascii="仿宋" w:hAnsi="仿宋" w:eastAsia="仿宋" w:cs="Times New Roman"/>
          <w:b/>
          <w:sz w:val="28"/>
          <w:szCs w:val="28"/>
          <w:lang w:val="zh-CN"/>
        </w:rPr>
        <w:t>（</w:t>
      </w:r>
      <w:r>
        <w:rPr>
          <w:rFonts w:hint="eastAsia" w:ascii="仿宋" w:hAnsi="仿宋" w:eastAsia="仿宋" w:cs="Times New Roman"/>
          <w:b/>
          <w:sz w:val="28"/>
          <w:szCs w:val="28"/>
          <w:lang w:val="en-US" w:eastAsia="zh-CN"/>
        </w:rPr>
        <w:t>二</w:t>
      </w:r>
      <w:r>
        <w:rPr>
          <w:rFonts w:hint="eastAsia" w:ascii="仿宋" w:hAnsi="仿宋" w:eastAsia="仿宋" w:cs="Times New Roman"/>
          <w:b/>
          <w:sz w:val="28"/>
          <w:szCs w:val="28"/>
          <w:lang w:val="zh-CN"/>
        </w:rPr>
        <w:t>）</w:t>
      </w:r>
      <w:r>
        <w:rPr>
          <w:rFonts w:ascii="仿宋" w:hAnsi="仿宋" w:eastAsia="仿宋" w:cs="Times New Roman"/>
          <w:b/>
          <w:sz w:val="28"/>
          <w:szCs w:val="28"/>
          <w:lang w:val="zh-CN"/>
        </w:rPr>
        <w:t>服务内容</w:t>
      </w:r>
      <w:bookmarkEnd w:id="3"/>
    </w:p>
    <w:p>
      <w:pPr>
        <w:spacing w:line="360" w:lineRule="auto"/>
        <w:ind w:firstLine="480" w:firstLineChars="200"/>
        <w:rPr>
          <w:rFonts w:hint="eastAsia" w:ascii="仿宋" w:hAnsi="仿宋" w:eastAsia="仿宋" w:cs="Times New Roman"/>
          <w:sz w:val="24"/>
          <w:szCs w:val="20"/>
          <w:lang w:val="en-US" w:eastAsia="zh-CN"/>
        </w:rPr>
      </w:pPr>
      <w:r>
        <w:rPr>
          <w:rFonts w:hint="eastAsia" w:ascii="仿宋" w:hAnsi="仿宋" w:eastAsia="仿宋" w:cs="Times New Roman"/>
          <w:sz w:val="24"/>
          <w:szCs w:val="20"/>
          <w:lang w:val="en-US" w:eastAsia="zh-CN"/>
        </w:rPr>
        <w:t>本项目主要服务内容为车辆维修和保养服务，共分为2个项目包，其中第一包为一类综合机动车维修企业，第二包为二类或三类综合机动车维修企业，供应商需根据自身实际选择相适应的项目包进行投标，</w:t>
      </w:r>
      <w:r>
        <w:rPr>
          <w:rFonts w:hint="eastAsia" w:ascii="仿宋" w:hAnsi="仿宋" w:eastAsia="仿宋" w:cs="Times New Roman"/>
          <w:b/>
          <w:bCs/>
          <w:sz w:val="24"/>
          <w:szCs w:val="20"/>
          <w:u w:val="single"/>
          <w:lang w:val="en-US" w:eastAsia="zh-CN"/>
        </w:rPr>
        <w:t>如投错将作为无效投标处理</w:t>
      </w:r>
      <w:r>
        <w:rPr>
          <w:rFonts w:hint="eastAsia" w:ascii="仿宋" w:hAnsi="仿宋" w:eastAsia="仿宋" w:cs="Times New Roman"/>
          <w:sz w:val="24"/>
          <w:szCs w:val="20"/>
          <w:lang w:val="en-US" w:eastAsia="zh-CN"/>
        </w:rPr>
        <w:t>。各供应商若可以承接新能源汽车、摩托车的维修可在开标一览表中说明。</w:t>
      </w:r>
    </w:p>
    <w:p>
      <w:pPr>
        <w:keepNext/>
        <w:keepLines/>
        <w:numPr>
          <w:ilvl w:val="0"/>
          <w:numId w:val="0"/>
        </w:numPr>
        <w:spacing w:line="360" w:lineRule="auto"/>
        <w:ind w:firstLine="562" w:firstLineChars="200"/>
        <w:jc w:val="left"/>
        <w:outlineLvl w:val="1"/>
        <w:rPr>
          <w:rFonts w:ascii="仿宋" w:hAnsi="仿宋" w:eastAsia="仿宋" w:cs="Times New Roman"/>
          <w:b/>
          <w:sz w:val="28"/>
          <w:szCs w:val="28"/>
          <w:lang w:val="zh-CN"/>
        </w:rPr>
      </w:pPr>
      <w:bookmarkStart w:id="4" w:name="_Toc26188"/>
      <w:r>
        <w:rPr>
          <w:rFonts w:hint="eastAsia" w:ascii="仿宋" w:hAnsi="仿宋" w:eastAsia="仿宋" w:cs="Times New Roman"/>
          <w:b/>
          <w:sz w:val="28"/>
          <w:szCs w:val="28"/>
          <w:lang w:val="zh-CN"/>
        </w:rPr>
        <w:t>（</w:t>
      </w:r>
      <w:r>
        <w:rPr>
          <w:rFonts w:hint="eastAsia" w:ascii="仿宋" w:hAnsi="仿宋" w:eastAsia="仿宋" w:cs="Times New Roman"/>
          <w:b/>
          <w:sz w:val="28"/>
          <w:szCs w:val="28"/>
          <w:lang w:val="en-US" w:eastAsia="zh-CN"/>
        </w:rPr>
        <w:t>三</w:t>
      </w:r>
      <w:r>
        <w:rPr>
          <w:rFonts w:hint="eastAsia" w:ascii="仿宋" w:hAnsi="仿宋" w:eastAsia="仿宋" w:cs="Times New Roman"/>
          <w:b/>
          <w:sz w:val="28"/>
          <w:szCs w:val="28"/>
          <w:lang w:val="zh-CN"/>
        </w:rPr>
        <w:t>）</w:t>
      </w:r>
      <w:r>
        <w:rPr>
          <w:rFonts w:ascii="仿宋" w:hAnsi="仿宋" w:eastAsia="仿宋" w:cs="Times New Roman"/>
          <w:b/>
          <w:sz w:val="28"/>
          <w:szCs w:val="28"/>
          <w:lang w:val="zh-CN"/>
        </w:rPr>
        <w:t>服务</w:t>
      </w:r>
      <w:r>
        <w:rPr>
          <w:rFonts w:hint="eastAsia" w:ascii="仿宋" w:hAnsi="仿宋" w:eastAsia="仿宋" w:cs="Times New Roman"/>
          <w:b/>
          <w:sz w:val="28"/>
          <w:szCs w:val="28"/>
          <w:lang w:val="zh-CN"/>
        </w:rPr>
        <w:t>要求</w:t>
      </w:r>
      <w:bookmarkEnd w:id="4"/>
    </w:p>
    <w:p>
      <w:pPr>
        <w:numPr>
          <w:ilvl w:val="0"/>
          <w:numId w:val="3"/>
        </w:numPr>
        <w:spacing w:line="360" w:lineRule="auto"/>
        <w:ind w:left="5" w:leftChars="0" w:hanging="5" w:firstLineChars="0"/>
        <w:rPr>
          <w:rFonts w:ascii="仿宋" w:hAnsi="仿宋" w:eastAsia="仿宋" w:cs="Helvetica"/>
          <w:kern w:val="0"/>
          <w:sz w:val="24"/>
          <w:szCs w:val="24"/>
        </w:rPr>
      </w:pPr>
      <w:r>
        <w:rPr>
          <w:rFonts w:hint="eastAsia" w:ascii="仿宋" w:hAnsi="仿宋" w:eastAsia="仿宋" w:cs="Helvetica"/>
          <w:kern w:val="0"/>
          <w:sz w:val="24"/>
          <w:szCs w:val="24"/>
        </w:rPr>
        <w:t>所采用的零部件、零配件等材料符合国家标准，不使用假冒伪劣产品或以次充好，以旧顶新。维修时，重在修理，以节省支出；确需更换零配件时，使用合格产品或正品。</w:t>
      </w:r>
    </w:p>
    <w:p>
      <w:pPr>
        <w:numPr>
          <w:ilvl w:val="0"/>
          <w:numId w:val="3"/>
        </w:numPr>
        <w:spacing w:line="360" w:lineRule="auto"/>
        <w:ind w:left="5" w:leftChars="0" w:hanging="5" w:firstLineChars="0"/>
        <w:rPr>
          <w:rFonts w:ascii="仿宋" w:hAnsi="仿宋" w:eastAsia="仿宋" w:cs="Helvetica"/>
          <w:kern w:val="0"/>
          <w:sz w:val="24"/>
          <w:szCs w:val="24"/>
        </w:rPr>
      </w:pPr>
      <w:r>
        <w:rPr>
          <w:rFonts w:hint="eastAsia" w:ascii="仿宋" w:hAnsi="仿宋" w:eastAsia="仿宋" w:cs="Helvetica"/>
          <w:kern w:val="0"/>
          <w:sz w:val="24"/>
          <w:szCs w:val="24"/>
        </w:rPr>
        <w:t>对各级单位的维修车辆，提供如下服务：</w:t>
      </w:r>
    </w:p>
    <w:p>
      <w:pPr>
        <w:numPr>
          <w:ilvl w:val="0"/>
          <w:numId w:val="4"/>
        </w:numPr>
        <w:tabs>
          <w:tab w:val="left" w:pos="0"/>
          <w:tab w:val="clear" w:pos="399"/>
        </w:tabs>
        <w:spacing w:line="360" w:lineRule="auto"/>
        <w:ind w:left="5" w:leftChars="0" w:hanging="5" w:firstLineChars="0"/>
        <w:rPr>
          <w:rFonts w:ascii="仿宋" w:hAnsi="仿宋" w:eastAsia="仿宋" w:cs="Helvetica"/>
          <w:kern w:val="0"/>
          <w:sz w:val="24"/>
          <w:szCs w:val="24"/>
        </w:rPr>
      </w:pPr>
      <w:r>
        <w:rPr>
          <w:rFonts w:hint="eastAsia" w:ascii="仿宋" w:hAnsi="仿宋" w:eastAsia="仿宋" w:cs="Helvetica"/>
          <w:kern w:val="0"/>
          <w:sz w:val="24"/>
          <w:szCs w:val="24"/>
        </w:rPr>
        <w:t>全年每天24小时维修服务，设立应急电话，实行24小时专人值班制度，值班电话：    （座机/手机）；</w:t>
      </w:r>
    </w:p>
    <w:p>
      <w:pPr>
        <w:numPr>
          <w:ilvl w:val="0"/>
          <w:numId w:val="4"/>
        </w:numPr>
        <w:tabs>
          <w:tab w:val="left" w:pos="0"/>
          <w:tab w:val="clear" w:pos="399"/>
        </w:tabs>
        <w:spacing w:line="360" w:lineRule="auto"/>
        <w:ind w:left="5" w:leftChars="0" w:hanging="5" w:firstLineChars="0"/>
        <w:rPr>
          <w:rFonts w:ascii="仿宋" w:hAnsi="仿宋" w:eastAsia="仿宋" w:cs="Helvetica"/>
          <w:kern w:val="0"/>
          <w:sz w:val="24"/>
          <w:szCs w:val="24"/>
        </w:rPr>
      </w:pPr>
      <w:r>
        <w:rPr>
          <w:rFonts w:hint="eastAsia" w:ascii="仿宋" w:hAnsi="仿宋" w:eastAsia="仿宋" w:cs="Helvetica"/>
          <w:kern w:val="0"/>
          <w:sz w:val="24"/>
          <w:szCs w:val="24"/>
        </w:rPr>
        <w:t>二十四小时免费且</w:t>
      </w:r>
      <w:r>
        <w:rPr>
          <w:rFonts w:hint="eastAsia" w:ascii="仿宋" w:hAnsi="仿宋" w:eastAsia="仿宋" w:cs="Helvetica"/>
          <w:kern w:val="0"/>
          <w:sz w:val="24"/>
          <w:szCs w:val="24"/>
          <w:lang w:val="en-US" w:eastAsia="zh-CN"/>
        </w:rPr>
        <w:t>45分钟</w:t>
      </w:r>
      <w:r>
        <w:rPr>
          <w:rFonts w:hint="eastAsia" w:ascii="仿宋" w:hAnsi="仿宋" w:eastAsia="仿宋" w:cs="Helvetica"/>
          <w:kern w:val="0"/>
          <w:sz w:val="24"/>
          <w:szCs w:val="24"/>
        </w:rPr>
        <w:t>内到达现场的紧急救援（含节假日）；</w:t>
      </w:r>
    </w:p>
    <w:p>
      <w:pPr>
        <w:numPr>
          <w:ilvl w:val="0"/>
          <w:numId w:val="4"/>
        </w:numPr>
        <w:tabs>
          <w:tab w:val="left" w:pos="0"/>
          <w:tab w:val="clear" w:pos="399"/>
        </w:tabs>
        <w:spacing w:line="360" w:lineRule="auto"/>
        <w:ind w:left="5" w:leftChars="0" w:hanging="5" w:firstLineChars="0"/>
        <w:rPr>
          <w:rFonts w:ascii="仿宋" w:hAnsi="仿宋" w:eastAsia="仿宋" w:cs="Helvetica"/>
          <w:kern w:val="0"/>
          <w:sz w:val="24"/>
          <w:szCs w:val="24"/>
        </w:rPr>
      </w:pPr>
      <w:r>
        <w:rPr>
          <w:rFonts w:hint="eastAsia" w:ascii="仿宋" w:hAnsi="仿宋" w:eastAsia="仿宋" w:cs="Helvetica"/>
          <w:kern w:val="0"/>
          <w:sz w:val="24"/>
          <w:szCs w:val="24"/>
        </w:rPr>
        <w:t>应客户要求提供上门接送车服务；</w:t>
      </w:r>
    </w:p>
    <w:p>
      <w:pPr>
        <w:numPr>
          <w:ilvl w:val="0"/>
          <w:numId w:val="4"/>
        </w:numPr>
        <w:tabs>
          <w:tab w:val="left" w:pos="0"/>
          <w:tab w:val="clear" w:pos="399"/>
        </w:tabs>
        <w:spacing w:line="360" w:lineRule="auto"/>
        <w:ind w:left="5" w:leftChars="0" w:hanging="5" w:firstLineChars="0"/>
        <w:rPr>
          <w:rFonts w:ascii="仿宋" w:hAnsi="仿宋" w:eastAsia="仿宋" w:cs="Helvetica"/>
          <w:kern w:val="0"/>
          <w:sz w:val="24"/>
          <w:szCs w:val="24"/>
        </w:rPr>
      </w:pPr>
      <w:r>
        <w:rPr>
          <w:rFonts w:hint="eastAsia" w:ascii="仿宋" w:hAnsi="仿宋" w:eastAsia="仿宋" w:cs="Helvetica"/>
          <w:kern w:val="0"/>
          <w:sz w:val="24"/>
          <w:szCs w:val="24"/>
        </w:rPr>
        <w:t>免费代送修单位提供年检服务；</w:t>
      </w:r>
    </w:p>
    <w:p>
      <w:pPr>
        <w:numPr>
          <w:ilvl w:val="0"/>
          <w:numId w:val="4"/>
        </w:numPr>
        <w:tabs>
          <w:tab w:val="left" w:pos="0"/>
          <w:tab w:val="clear" w:pos="399"/>
        </w:tabs>
        <w:spacing w:line="360" w:lineRule="auto"/>
        <w:ind w:left="5" w:leftChars="0" w:hanging="5" w:firstLineChars="0"/>
        <w:rPr>
          <w:rFonts w:ascii="仿宋" w:hAnsi="仿宋" w:eastAsia="仿宋" w:cs="Helvetica"/>
          <w:kern w:val="0"/>
          <w:sz w:val="24"/>
          <w:szCs w:val="24"/>
        </w:rPr>
      </w:pPr>
      <w:r>
        <w:rPr>
          <w:rFonts w:hint="eastAsia" w:ascii="仿宋" w:hAnsi="仿宋" w:eastAsia="仿宋" w:cs="Helvetica"/>
          <w:kern w:val="0"/>
          <w:sz w:val="24"/>
          <w:szCs w:val="24"/>
        </w:rPr>
        <w:t>建立车辆详细维修档案，免费进行日常维保的技术咨询及培训；</w:t>
      </w:r>
    </w:p>
    <w:p>
      <w:pPr>
        <w:numPr>
          <w:ilvl w:val="0"/>
          <w:numId w:val="4"/>
        </w:numPr>
        <w:tabs>
          <w:tab w:val="left" w:pos="0"/>
          <w:tab w:val="clear" w:pos="399"/>
        </w:tabs>
        <w:spacing w:line="360" w:lineRule="auto"/>
        <w:ind w:left="5" w:leftChars="0" w:hanging="5" w:firstLineChars="0"/>
        <w:rPr>
          <w:rFonts w:ascii="仿宋" w:hAnsi="仿宋" w:eastAsia="仿宋" w:cs="Helvetica"/>
          <w:kern w:val="0"/>
          <w:sz w:val="24"/>
          <w:szCs w:val="24"/>
        </w:rPr>
      </w:pPr>
      <w:r>
        <w:rPr>
          <w:rFonts w:hint="eastAsia" w:ascii="仿宋" w:hAnsi="仿宋" w:eastAsia="仿宋" w:cs="Helvetica"/>
          <w:kern w:val="0"/>
          <w:sz w:val="24"/>
          <w:szCs w:val="24"/>
        </w:rPr>
        <w:t>为完工出厂车辆提供免费清洁、吸尘服务；</w:t>
      </w:r>
    </w:p>
    <w:p>
      <w:pPr>
        <w:numPr>
          <w:ilvl w:val="0"/>
          <w:numId w:val="4"/>
        </w:numPr>
        <w:tabs>
          <w:tab w:val="left" w:pos="0"/>
          <w:tab w:val="clear" w:pos="399"/>
        </w:tabs>
        <w:spacing w:line="360" w:lineRule="auto"/>
        <w:ind w:left="5" w:leftChars="0" w:hanging="5" w:firstLineChars="0"/>
        <w:rPr>
          <w:rFonts w:ascii="仿宋" w:hAnsi="仿宋" w:eastAsia="仿宋" w:cs="Helvetica"/>
          <w:kern w:val="0"/>
          <w:sz w:val="24"/>
          <w:szCs w:val="24"/>
        </w:rPr>
      </w:pPr>
      <w:r>
        <w:rPr>
          <w:rFonts w:hint="eastAsia" w:ascii="仿宋" w:hAnsi="仿宋" w:eastAsia="仿宋" w:cs="Helvetica"/>
          <w:kern w:val="0"/>
          <w:sz w:val="24"/>
          <w:szCs w:val="24"/>
        </w:rPr>
        <w:t>设立各级单位汽车维修服务专柜和专人，及时做好维修车辆的接待和交送车服务。</w:t>
      </w:r>
    </w:p>
    <w:p>
      <w:pPr>
        <w:numPr>
          <w:ilvl w:val="0"/>
          <w:numId w:val="4"/>
        </w:numPr>
        <w:tabs>
          <w:tab w:val="left" w:pos="0"/>
          <w:tab w:val="clear" w:pos="399"/>
        </w:tabs>
        <w:spacing w:line="360" w:lineRule="auto"/>
        <w:ind w:left="5" w:leftChars="0" w:hanging="5" w:firstLineChars="0"/>
        <w:rPr>
          <w:rFonts w:ascii="仿宋" w:hAnsi="仿宋" w:eastAsia="仿宋" w:cs="Helvetica"/>
          <w:kern w:val="0"/>
          <w:sz w:val="24"/>
          <w:szCs w:val="24"/>
        </w:rPr>
      </w:pPr>
      <w:r>
        <w:rPr>
          <w:rFonts w:hint="eastAsia" w:ascii="仿宋" w:hAnsi="仿宋" w:eastAsia="仿宋" w:cs="Helvetica"/>
          <w:kern w:val="0"/>
          <w:sz w:val="24"/>
          <w:szCs w:val="24"/>
        </w:rPr>
        <w:t>除此之外，按照投标文件响应和承诺内容提供相应服务。</w:t>
      </w:r>
    </w:p>
    <w:p>
      <w:pPr>
        <w:numPr>
          <w:ilvl w:val="0"/>
          <w:numId w:val="3"/>
        </w:numPr>
        <w:spacing w:line="360" w:lineRule="auto"/>
        <w:ind w:left="5" w:leftChars="0" w:hanging="5" w:firstLineChars="0"/>
        <w:rPr>
          <w:rFonts w:ascii="仿宋" w:hAnsi="仿宋" w:eastAsia="仿宋" w:cs="Helvetica"/>
          <w:kern w:val="0"/>
          <w:sz w:val="24"/>
          <w:szCs w:val="24"/>
        </w:rPr>
      </w:pPr>
      <w:r>
        <w:rPr>
          <w:rFonts w:hint="eastAsia" w:ascii="仿宋" w:hAnsi="仿宋" w:eastAsia="仿宋" w:cs="Helvetica"/>
          <w:kern w:val="0"/>
          <w:sz w:val="24"/>
          <w:szCs w:val="24"/>
        </w:rPr>
        <w:t>集中技术骨干力量，成立各级单位汽车维修小组，为各级单位汽车维修提供及时维修服务；车辆维修质量及质量保修期保证不低于国家及</w:t>
      </w:r>
      <w:r>
        <w:rPr>
          <w:rFonts w:hint="eastAsia" w:ascii="仿宋" w:hAnsi="仿宋" w:eastAsia="仿宋" w:cs="Helvetica"/>
          <w:kern w:val="0"/>
          <w:sz w:val="24"/>
          <w:szCs w:val="24"/>
          <w:lang w:eastAsia="zh-CN"/>
        </w:rPr>
        <w:t>鄂州市</w:t>
      </w:r>
      <w:r>
        <w:rPr>
          <w:rFonts w:hint="eastAsia" w:ascii="仿宋" w:hAnsi="仿宋" w:eastAsia="仿宋" w:cs="Helvetica"/>
          <w:kern w:val="0"/>
          <w:sz w:val="24"/>
          <w:szCs w:val="24"/>
        </w:rPr>
        <w:t>行业相关标准。车辆小修、保养当天完成，若修车单位有完工时间要求时尽最大限度满足。</w:t>
      </w:r>
    </w:p>
    <w:p>
      <w:pPr>
        <w:numPr>
          <w:ilvl w:val="0"/>
          <w:numId w:val="3"/>
        </w:numPr>
        <w:spacing w:line="360" w:lineRule="auto"/>
        <w:ind w:left="5" w:leftChars="0" w:hanging="5" w:firstLineChars="0"/>
        <w:rPr>
          <w:rFonts w:ascii="仿宋" w:hAnsi="仿宋" w:eastAsia="仿宋" w:cs="Helvetica"/>
          <w:kern w:val="0"/>
          <w:sz w:val="24"/>
          <w:szCs w:val="24"/>
        </w:rPr>
      </w:pPr>
      <w:r>
        <w:rPr>
          <w:rFonts w:hint="eastAsia" w:ascii="仿宋" w:hAnsi="仿宋" w:eastAsia="仿宋" w:cs="Helvetica"/>
          <w:kern w:val="0"/>
          <w:sz w:val="24"/>
          <w:szCs w:val="24"/>
        </w:rPr>
        <w:t>汽车维修完工出厂实行出厂合格证制度（汽车小修和部分专项修理除外），维修质量不合格的车辆不准出厂。汽车维修完工出厂时按完工出厂技术要求进行检查和检测。对维修竣工出厂车辆出现的质量问题或与合同约定的项目不符的问题进行无偿返工。因投标人违反合同给修车单位造成损失时，给予经济赔偿。</w:t>
      </w:r>
    </w:p>
    <w:p>
      <w:pPr>
        <w:numPr>
          <w:ilvl w:val="0"/>
          <w:numId w:val="3"/>
        </w:numPr>
        <w:spacing w:line="360" w:lineRule="auto"/>
        <w:ind w:left="5" w:leftChars="0" w:hanging="5" w:firstLineChars="0"/>
        <w:rPr>
          <w:rFonts w:ascii="仿宋" w:hAnsi="仿宋" w:eastAsia="仿宋" w:cs="Helvetica"/>
          <w:kern w:val="0"/>
          <w:sz w:val="24"/>
          <w:szCs w:val="24"/>
        </w:rPr>
      </w:pPr>
      <w:r>
        <w:rPr>
          <w:rFonts w:hint="eastAsia" w:ascii="仿宋" w:hAnsi="仿宋" w:eastAsia="仿宋" w:cs="Helvetica"/>
          <w:kern w:val="0"/>
          <w:sz w:val="24"/>
          <w:szCs w:val="24"/>
        </w:rPr>
        <w:t>保证以经道路运输管理机构批准的维修方式和形式（如上门抢修）对公务车辆维修均统一执行其面向集团客户的最优惠价格和最完善的服务、质量标准。如由投标人引起的一切服务纠纷、质量责任均由投标人负责。</w:t>
      </w:r>
    </w:p>
    <w:p>
      <w:pPr>
        <w:numPr>
          <w:ilvl w:val="0"/>
          <w:numId w:val="3"/>
        </w:numPr>
        <w:spacing w:line="360" w:lineRule="auto"/>
        <w:ind w:left="5" w:leftChars="0" w:hanging="5" w:firstLineChars="0"/>
        <w:rPr>
          <w:rFonts w:ascii="仿宋" w:hAnsi="仿宋" w:eastAsia="仿宋" w:cs="Helvetica"/>
          <w:kern w:val="0"/>
          <w:sz w:val="24"/>
          <w:szCs w:val="24"/>
        </w:rPr>
      </w:pPr>
      <w:r>
        <w:rPr>
          <w:rFonts w:hint="eastAsia" w:ascii="仿宋" w:hAnsi="仿宋" w:eastAsia="仿宋" w:cs="Helvetica"/>
          <w:kern w:val="0"/>
          <w:sz w:val="24"/>
          <w:szCs w:val="24"/>
        </w:rPr>
        <w:t>接受各行政事业单位对生产、管理情况和车辆维修质量进行监督和检查，对发现和修车单位投诉的问题进行调查和处理。</w:t>
      </w:r>
    </w:p>
    <w:p>
      <w:pPr>
        <w:numPr>
          <w:ilvl w:val="0"/>
          <w:numId w:val="3"/>
        </w:numPr>
        <w:spacing w:line="360" w:lineRule="auto"/>
        <w:ind w:left="5" w:leftChars="0" w:hanging="5" w:firstLineChars="0"/>
        <w:rPr>
          <w:rFonts w:ascii="仿宋" w:hAnsi="仿宋" w:eastAsia="仿宋" w:cs="Helvetica"/>
          <w:kern w:val="0"/>
          <w:sz w:val="24"/>
          <w:szCs w:val="24"/>
        </w:rPr>
      </w:pPr>
      <w:r>
        <w:rPr>
          <w:rFonts w:hint="eastAsia" w:ascii="仿宋" w:hAnsi="仿宋" w:eastAsia="仿宋" w:cs="Helvetica"/>
          <w:kern w:val="0"/>
          <w:sz w:val="24"/>
          <w:szCs w:val="24"/>
        </w:rPr>
        <w:t>保证公务维修车辆在修理期间的安全，做到不丢失、不损坏，否则承担全部损失。</w:t>
      </w:r>
    </w:p>
    <w:p>
      <w:pPr>
        <w:numPr>
          <w:ilvl w:val="0"/>
          <w:numId w:val="3"/>
        </w:numPr>
        <w:spacing w:line="360" w:lineRule="auto"/>
        <w:ind w:left="5" w:leftChars="0" w:hanging="5" w:firstLineChars="0"/>
        <w:rPr>
          <w:rFonts w:ascii="仿宋" w:hAnsi="仿宋" w:eastAsia="仿宋" w:cs="Helvetica"/>
          <w:kern w:val="0"/>
          <w:sz w:val="24"/>
          <w:szCs w:val="24"/>
        </w:rPr>
      </w:pPr>
      <w:r>
        <w:rPr>
          <w:rFonts w:hint="eastAsia" w:ascii="仿宋" w:hAnsi="仿宋" w:eastAsia="仿宋" w:cs="Helvetica"/>
          <w:kern w:val="0"/>
          <w:sz w:val="24"/>
          <w:szCs w:val="24"/>
        </w:rPr>
        <w:t>设立投诉制度，认真听取送修单位意见，并及时做出修正。</w:t>
      </w:r>
    </w:p>
    <w:p>
      <w:pPr>
        <w:keepNext/>
        <w:keepLines/>
        <w:numPr>
          <w:ilvl w:val="0"/>
          <w:numId w:val="0"/>
        </w:numPr>
        <w:spacing w:line="360" w:lineRule="auto"/>
        <w:ind w:left="210" w:leftChars="0"/>
        <w:jc w:val="left"/>
        <w:outlineLvl w:val="1"/>
        <w:rPr>
          <w:rFonts w:hint="eastAsia" w:ascii="仿宋" w:hAnsi="仿宋" w:eastAsia="仿宋" w:cs="Times New Roman"/>
          <w:b/>
          <w:sz w:val="28"/>
          <w:szCs w:val="28"/>
          <w:lang w:val="zh-CN" w:eastAsia="zh-CN"/>
        </w:rPr>
      </w:pPr>
      <w:r>
        <w:rPr>
          <w:rFonts w:hint="eastAsia" w:ascii="仿宋" w:hAnsi="仿宋" w:eastAsia="仿宋" w:cs="Times New Roman"/>
          <w:b/>
          <w:sz w:val="28"/>
          <w:szCs w:val="28"/>
          <w:lang w:val="zh-CN"/>
        </w:rPr>
        <w:t>（</w:t>
      </w:r>
      <w:r>
        <w:rPr>
          <w:rFonts w:hint="eastAsia" w:ascii="仿宋" w:hAnsi="仿宋" w:eastAsia="仿宋" w:cs="Times New Roman"/>
          <w:b/>
          <w:sz w:val="28"/>
          <w:szCs w:val="28"/>
          <w:lang w:val="en-US" w:eastAsia="zh-CN"/>
        </w:rPr>
        <w:t>四</w:t>
      </w:r>
      <w:r>
        <w:rPr>
          <w:rFonts w:hint="eastAsia" w:ascii="仿宋" w:hAnsi="仿宋" w:eastAsia="仿宋" w:cs="Times New Roman"/>
          <w:b/>
          <w:sz w:val="28"/>
          <w:szCs w:val="28"/>
          <w:lang w:val="zh-CN"/>
        </w:rPr>
        <w:t>）</w:t>
      </w:r>
      <w:r>
        <w:rPr>
          <w:rFonts w:hint="eastAsia" w:ascii="仿宋" w:hAnsi="仿宋" w:eastAsia="仿宋" w:cs="Times New Roman"/>
          <w:b/>
          <w:sz w:val="28"/>
          <w:szCs w:val="28"/>
          <w:lang w:val="en-US" w:eastAsia="zh-CN"/>
        </w:rPr>
        <w:t>商务要求</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1.合同履行期限：自封闭式框架协议签订之日起至202</w:t>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年12月31日。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2.服务交付或者实施的地域范围：采购人指定。</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.响应报价要求：</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）供应商的报价将在定点服务期内作为采购人提供车辆维修服务</w:t>
      </w:r>
      <w:r>
        <w:rPr>
          <w:rFonts w:hint="eastAsia" w:ascii="仿宋" w:hAnsi="仿宋" w:eastAsia="仿宋" w:cs="仿宋"/>
          <w:b/>
          <w:bCs/>
          <w:sz w:val="24"/>
          <w:szCs w:val="24"/>
          <w:highlight w:val="yellow"/>
          <w:lang w:eastAsia="zh-CN"/>
        </w:rPr>
        <w:t>最高限</w:t>
      </w:r>
      <w:r>
        <w:rPr>
          <w:rFonts w:hint="eastAsia" w:ascii="宋体" w:hAnsi="宋体" w:eastAsia="宋体" w:cs="宋体"/>
          <w:b/>
          <w:bCs/>
          <w:sz w:val="24"/>
          <w:szCs w:val="24"/>
          <w:highlight w:val="yellow"/>
          <w:lang w:eastAsia="zh-CN"/>
        </w:rPr>
        <w:t>价。</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仿宋"/>
          <w:color w:val="000000"/>
        </w:rPr>
      </w:pPr>
      <w:r>
        <w:rPr>
          <w:rFonts w:hint="eastAsia" w:ascii="仿宋" w:hAnsi="仿宋" w:eastAsia="仿宋" w:cs="仿宋"/>
          <w:b/>
          <w:bCs/>
          <w:color w:val="000000"/>
          <w:sz w:val="24"/>
          <w:szCs w:val="24"/>
          <w:lang w:eastAsia="zh-CN"/>
        </w:rPr>
        <w:t>（</w:t>
      </w:r>
      <w:r>
        <w:rPr>
          <w:rFonts w:hint="eastAsia" w:ascii="仿宋" w:hAnsi="仿宋" w:eastAsia="仿宋" w:cs="仿宋"/>
          <w:b/>
          <w:bCs/>
          <w:color w:val="000000"/>
          <w:sz w:val="24"/>
          <w:szCs w:val="24"/>
          <w:lang w:val="en-US" w:eastAsia="zh-CN"/>
        </w:rPr>
        <w:t>2</w:t>
      </w:r>
      <w:r>
        <w:rPr>
          <w:rFonts w:hint="eastAsia" w:ascii="仿宋" w:hAnsi="仿宋" w:eastAsia="仿宋" w:cs="仿宋"/>
          <w:b/>
          <w:bCs/>
          <w:color w:val="000000"/>
          <w:sz w:val="24"/>
          <w:szCs w:val="24"/>
          <w:lang w:eastAsia="zh-CN"/>
        </w:rPr>
        <w:t>）</w:t>
      </w:r>
      <w:r>
        <w:rPr>
          <w:rFonts w:hint="eastAsia" w:ascii="仿宋" w:hAnsi="仿宋" w:eastAsia="仿宋" w:cs="仿宋"/>
          <w:b/>
          <w:bCs/>
          <w:color w:val="000000"/>
          <w:sz w:val="24"/>
          <w:szCs w:val="24"/>
        </w:rPr>
        <w:t>★</w:t>
      </w:r>
      <w:r>
        <w:rPr>
          <w:rFonts w:hint="eastAsia" w:ascii="仿宋" w:hAnsi="仿宋" w:eastAsia="仿宋" w:cs="仿宋"/>
          <w:b/>
          <w:bCs/>
          <w:color w:val="000000"/>
          <w:sz w:val="24"/>
          <w:szCs w:val="24"/>
          <w:u w:val="single"/>
          <w:lang w:val="zh-CN" w:eastAsia="zh-CN"/>
        </w:rPr>
        <w:t>采购需求中规定了常用的车辆维修和保养项目的维修分项人工单价、材料费加价率以及代</w:t>
      </w:r>
      <w:r>
        <w:rPr>
          <w:rFonts w:hint="eastAsia" w:ascii="仿宋" w:hAnsi="仿宋" w:eastAsia="仿宋" w:cs="仿宋"/>
          <w:b/>
          <w:bCs/>
          <w:color w:val="000000"/>
          <w:sz w:val="24"/>
          <w:szCs w:val="24"/>
          <w:u w:val="single"/>
          <w:lang w:val="en-US" w:eastAsia="zh-CN"/>
        </w:rPr>
        <w:t>办</w:t>
      </w:r>
      <w:r>
        <w:rPr>
          <w:rFonts w:hint="eastAsia" w:ascii="仿宋" w:hAnsi="仿宋" w:eastAsia="仿宋" w:cs="仿宋"/>
          <w:b/>
          <w:bCs/>
          <w:color w:val="000000"/>
          <w:sz w:val="24"/>
          <w:szCs w:val="24"/>
          <w:u w:val="single"/>
          <w:lang w:val="zh-CN" w:eastAsia="zh-CN"/>
        </w:rPr>
        <w:t>车辆年审费用（含上线检测费）的最高限制单价，第一阶段协议价格由供应商根据自身实际情况，</w:t>
      </w:r>
      <w:r>
        <w:rPr>
          <w:rFonts w:hint="eastAsia" w:ascii="仿宋" w:hAnsi="仿宋" w:eastAsia="仿宋" w:cs="仿宋"/>
          <w:b/>
          <w:bCs/>
          <w:color w:val="000000"/>
          <w:sz w:val="24"/>
          <w:szCs w:val="24"/>
          <w:u w:val="single"/>
          <w:lang w:val="en-US" w:eastAsia="zh-CN"/>
        </w:rPr>
        <w:t>以文件中规定</w:t>
      </w:r>
      <w:r>
        <w:rPr>
          <w:rFonts w:hint="eastAsia" w:ascii="仿宋" w:hAnsi="仿宋" w:eastAsia="仿宋" w:cs="仿宋"/>
          <w:b/>
          <w:bCs/>
          <w:color w:val="000000"/>
          <w:sz w:val="24"/>
          <w:szCs w:val="24"/>
          <w:u w:val="single"/>
          <w:lang w:val="zh-CN" w:eastAsia="zh-CN"/>
        </w:rPr>
        <w:t>最高限价</w:t>
      </w:r>
      <w:r>
        <w:rPr>
          <w:rFonts w:hint="eastAsia" w:ascii="仿宋" w:hAnsi="仿宋" w:eastAsia="仿宋" w:cs="仿宋"/>
          <w:b/>
          <w:bCs/>
          <w:color w:val="000000"/>
          <w:sz w:val="24"/>
          <w:szCs w:val="24"/>
          <w:u w:val="single"/>
          <w:lang w:val="en-US" w:eastAsia="zh-CN"/>
        </w:rPr>
        <w:t>为基准</w:t>
      </w:r>
      <w:r>
        <w:rPr>
          <w:rFonts w:hint="eastAsia" w:ascii="仿宋" w:hAnsi="仿宋" w:eastAsia="仿宋" w:cs="仿宋"/>
          <w:b/>
          <w:bCs/>
          <w:color w:val="000000"/>
          <w:sz w:val="24"/>
          <w:szCs w:val="24"/>
          <w:u w:val="single"/>
          <w:lang w:val="zh-CN" w:eastAsia="zh-CN"/>
        </w:rPr>
        <w:t>填</w:t>
      </w:r>
      <w:r>
        <w:rPr>
          <w:rFonts w:hint="eastAsia" w:ascii="仿宋" w:hAnsi="仿宋" w:eastAsia="仿宋" w:cs="仿宋"/>
          <w:b/>
          <w:bCs/>
          <w:color w:val="000000"/>
          <w:sz w:val="24"/>
          <w:szCs w:val="24"/>
          <w:highlight w:val="yellow"/>
          <w:u w:val="single"/>
          <w:lang w:val="zh-CN" w:eastAsia="zh-CN"/>
        </w:rPr>
        <w:t>报折扣</w:t>
      </w:r>
      <w:r>
        <w:rPr>
          <w:rFonts w:hint="eastAsia" w:ascii="仿宋" w:hAnsi="仿宋" w:eastAsia="仿宋" w:cs="仿宋"/>
          <w:b/>
          <w:bCs/>
          <w:color w:val="000000"/>
          <w:sz w:val="24"/>
          <w:szCs w:val="24"/>
          <w:u w:val="single"/>
          <w:lang w:val="zh-CN" w:eastAsia="zh-CN"/>
        </w:rPr>
        <w:t>，</w:t>
      </w:r>
      <w:r>
        <w:rPr>
          <w:rFonts w:hint="eastAsia" w:ascii="仿宋" w:hAnsi="仿宋" w:eastAsia="仿宋" w:cs="仿宋"/>
          <w:b/>
          <w:bCs/>
          <w:color w:val="000000"/>
          <w:sz w:val="24"/>
          <w:szCs w:val="24"/>
          <w:highlight w:val="yellow"/>
          <w:u w:val="single"/>
          <w:lang w:val="en-US" w:eastAsia="zh-CN"/>
        </w:rPr>
        <w:t>例如在最高限价的基础上打八折，则折扣填写80%，</w:t>
      </w:r>
      <w:r>
        <w:rPr>
          <w:rFonts w:hint="eastAsia" w:ascii="仿宋" w:hAnsi="仿宋" w:eastAsia="仿宋" w:cs="仿宋"/>
          <w:b/>
          <w:bCs/>
          <w:color w:val="000000"/>
          <w:sz w:val="24"/>
          <w:szCs w:val="24"/>
          <w:highlight w:val="yellow"/>
          <w:u w:val="single"/>
          <w:lang w:val="zh-CN" w:eastAsia="zh-CN"/>
        </w:rPr>
        <w:t>折扣最高不得超过100%。</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u w:val="none"/>
          <w:lang w:eastAsia="zh-CN"/>
        </w:rPr>
        <w:t>（</w:t>
      </w:r>
      <w:r>
        <w:rPr>
          <w:rFonts w:hint="eastAsia" w:ascii="仿宋" w:hAnsi="仿宋" w:eastAsia="仿宋" w:cs="仿宋"/>
          <w:b/>
          <w:bCs/>
          <w:color w:val="000000"/>
          <w:sz w:val="24"/>
          <w:szCs w:val="24"/>
          <w:u w:val="none"/>
          <w:lang w:val="en-US" w:eastAsia="zh-CN"/>
        </w:rPr>
        <w:t>3</w:t>
      </w:r>
      <w:r>
        <w:rPr>
          <w:rFonts w:hint="eastAsia" w:ascii="仿宋" w:hAnsi="仿宋" w:eastAsia="仿宋" w:cs="仿宋"/>
          <w:b/>
          <w:bCs/>
          <w:color w:val="000000"/>
          <w:sz w:val="24"/>
          <w:szCs w:val="24"/>
          <w:u w:val="none"/>
          <w:lang w:eastAsia="zh-CN"/>
        </w:rPr>
        <w:t>）</w:t>
      </w:r>
      <w:r>
        <w:rPr>
          <w:rFonts w:hint="eastAsia" w:ascii="仿宋" w:hAnsi="仿宋" w:eastAsia="仿宋" w:cs="仿宋"/>
          <w:b/>
          <w:bCs/>
          <w:color w:val="000000"/>
          <w:sz w:val="24"/>
          <w:szCs w:val="24"/>
          <w:u w:val="single"/>
          <w:lang w:eastAsia="zh-CN"/>
        </w:rPr>
        <w:t>实际结算价格=量化后的工时定额×工时</w:t>
      </w:r>
      <w:r>
        <w:rPr>
          <w:rFonts w:hint="eastAsia" w:ascii="仿宋" w:hAnsi="仿宋" w:eastAsia="仿宋" w:cs="仿宋"/>
          <w:b/>
          <w:bCs/>
          <w:color w:val="000000"/>
          <w:sz w:val="24"/>
          <w:szCs w:val="24"/>
          <w:u w:val="single"/>
          <w:lang w:val="en-US" w:eastAsia="zh-CN"/>
        </w:rPr>
        <w:t>最高限制</w:t>
      </w:r>
      <w:r>
        <w:rPr>
          <w:rFonts w:hint="eastAsia" w:ascii="仿宋" w:hAnsi="仿宋" w:eastAsia="仿宋" w:cs="仿宋"/>
          <w:b/>
          <w:bCs/>
          <w:color w:val="000000"/>
          <w:sz w:val="24"/>
          <w:szCs w:val="24"/>
          <w:u w:val="single"/>
          <w:lang w:eastAsia="zh-CN"/>
        </w:rPr>
        <w:t>单价×</w:t>
      </w:r>
      <w:r>
        <w:rPr>
          <w:rFonts w:hint="eastAsia" w:ascii="仿宋" w:hAnsi="仿宋" w:eastAsia="仿宋" w:cs="仿宋"/>
          <w:b/>
          <w:bCs/>
          <w:color w:val="000000"/>
          <w:sz w:val="24"/>
          <w:szCs w:val="24"/>
          <w:u w:val="single"/>
          <w:lang w:val="en-US" w:eastAsia="zh-CN"/>
        </w:rPr>
        <w:t>供应商所报折扣</w:t>
      </w:r>
      <w:r>
        <w:rPr>
          <w:rFonts w:hint="eastAsia" w:ascii="仿宋" w:hAnsi="仿宋" w:eastAsia="仿宋" w:cs="仿宋"/>
          <w:b/>
          <w:bCs/>
          <w:color w:val="000000"/>
          <w:sz w:val="24"/>
          <w:szCs w:val="24"/>
          <w:u w:val="single"/>
          <w:lang w:eastAsia="zh-CN"/>
        </w:rPr>
        <w:t>+维修材料成本费×</w:t>
      </w:r>
      <w:r>
        <w:rPr>
          <w:rFonts w:hint="eastAsia" w:ascii="仿宋" w:hAnsi="仿宋" w:eastAsia="仿宋" w:cs="仿宋"/>
          <w:b/>
          <w:bCs/>
          <w:color w:val="000000"/>
          <w:sz w:val="24"/>
          <w:szCs w:val="24"/>
          <w:u w:val="single"/>
          <w:lang w:val="en-US" w:eastAsia="zh-CN"/>
        </w:rPr>
        <w:t>（1+供应商所报的材料费加价率）</w:t>
      </w:r>
      <w:r>
        <w:rPr>
          <w:rFonts w:hint="eastAsia" w:ascii="仿宋" w:hAnsi="仿宋" w:eastAsia="仿宋" w:cs="仿宋"/>
          <w:b/>
          <w:bCs/>
          <w:color w:val="000000"/>
          <w:sz w:val="24"/>
          <w:szCs w:val="24"/>
          <w:u w:val="single"/>
          <w:lang w:eastAsia="zh-CN"/>
        </w:rPr>
        <w:t>。</w:t>
      </w:r>
    </w:p>
    <w:p>
      <w:pPr>
        <w:spacing w:line="4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拟派服务人员中，具备机动车机电维修技术、机动车整形技术或机动车检测评估与运用技术等机动车检测维修士职业资格证书或机动车机电维修技术、机动车整形技术或机动车检测评估与运用技术等机动车检测维修工程师职业资格证书。</w:t>
      </w:r>
    </w:p>
    <w:p>
      <w:pPr>
        <w:spacing w:line="4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5.服务能力及保障</w:t>
      </w:r>
    </w:p>
    <w:p>
      <w:pPr>
        <w:spacing w:line="4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1）节假日提供不间断维修服务的，提供承诺函及服务保障方案。</w:t>
      </w:r>
    </w:p>
    <w:p>
      <w:pPr>
        <w:spacing w:line="4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2）具备新能源汽车维修能力的，在响应文件中承诺并提供相关佐证资料。</w:t>
      </w:r>
    </w:p>
    <w:p>
      <w:pPr>
        <w:spacing w:line="4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3）承诺免费提供上门检测服务、简易维修上门维修且不另外收费的，提供符合要求的承诺函。</w:t>
      </w:r>
    </w:p>
    <w:p>
      <w:pPr>
        <w:spacing w:line="400" w:lineRule="exact"/>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en-US" w:eastAsia="zh-CN"/>
        </w:rPr>
        <w:t>6</w:t>
      </w:r>
      <w:r>
        <w:rPr>
          <w:rFonts w:hint="eastAsia" w:ascii="仿宋" w:hAnsi="仿宋" w:eastAsia="仿宋" w:cs="仿宋"/>
          <w:sz w:val="24"/>
          <w:szCs w:val="24"/>
          <w:lang w:val="zh-CN"/>
        </w:rPr>
        <w:t>.供应商入围后，在框架协议有效期内需服从征集人的管理要求，入围供应商须严格履行服务承诺，框架协议有效期内，征集人对成交供应商服务价格、服务质量及履约情况等进行监督，并依据相关管理办法进行处理。</w:t>
      </w:r>
    </w:p>
    <w:p>
      <w:pPr>
        <w:spacing w:line="400" w:lineRule="exact"/>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en-US" w:eastAsia="zh-CN"/>
        </w:rPr>
        <w:t>7</w:t>
      </w:r>
      <w:r>
        <w:rPr>
          <w:rFonts w:hint="eastAsia" w:ascii="仿宋" w:hAnsi="仿宋" w:eastAsia="仿宋" w:cs="仿宋"/>
          <w:sz w:val="24"/>
          <w:szCs w:val="24"/>
          <w:lang w:val="zh-CN"/>
        </w:rPr>
        <w:t>.采购资金的支付方式、时间和条件</w:t>
      </w:r>
    </w:p>
    <w:p>
      <w:pPr>
        <w:spacing w:line="400" w:lineRule="exact"/>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en-US" w:eastAsia="zh-CN"/>
        </w:rPr>
        <w:t>7</w:t>
      </w:r>
      <w:r>
        <w:rPr>
          <w:rFonts w:hint="eastAsia" w:ascii="仿宋" w:hAnsi="仿宋" w:eastAsia="仿宋" w:cs="仿宋"/>
          <w:sz w:val="24"/>
          <w:szCs w:val="24"/>
          <w:lang w:val="zh-CN"/>
        </w:rPr>
        <w:t>.1）支付方式：由采购人按照采购合同约定的方式自行与乙方结算。</w:t>
      </w:r>
    </w:p>
    <w:p>
      <w:pPr>
        <w:spacing w:line="400" w:lineRule="exact"/>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en-US" w:eastAsia="zh-CN"/>
        </w:rPr>
        <w:t>7</w:t>
      </w:r>
      <w:r>
        <w:rPr>
          <w:rFonts w:hint="eastAsia" w:ascii="仿宋" w:hAnsi="仿宋" w:eastAsia="仿宋" w:cs="仿宋"/>
          <w:sz w:val="24"/>
          <w:szCs w:val="24"/>
          <w:lang w:val="zh-CN"/>
        </w:rPr>
        <w:t>.2）支付时间：由采购人按照采购合同约定的时间支付价款。约定不明确的，采购人可以随时支付，乙方可以随时请求支付，但应该给采购人必要的准备时间以满足财政资金支付条件。</w:t>
      </w:r>
    </w:p>
    <w:p>
      <w:pPr>
        <w:spacing w:line="400" w:lineRule="exact"/>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en-US" w:eastAsia="zh-CN"/>
        </w:rPr>
        <w:t>7</w:t>
      </w:r>
      <w:r>
        <w:rPr>
          <w:rFonts w:hint="eastAsia" w:ascii="仿宋" w:hAnsi="仿宋" w:eastAsia="仿宋" w:cs="仿宋"/>
          <w:sz w:val="24"/>
          <w:szCs w:val="24"/>
          <w:lang w:val="zh-CN"/>
        </w:rPr>
        <w:t>.3）支付条件：按照采购合同约定的支付条件支付价款。采购合同约定不得违反国家有关财政资金支付管理的规定。</w:t>
      </w:r>
    </w:p>
    <w:p>
      <w:pPr>
        <w:spacing w:line="400" w:lineRule="exact"/>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en-US" w:eastAsia="zh-CN"/>
        </w:rPr>
        <w:t>7</w:t>
      </w:r>
      <w:r>
        <w:rPr>
          <w:rFonts w:hint="eastAsia" w:ascii="仿宋" w:hAnsi="仿宋" w:eastAsia="仿宋" w:cs="仿宋"/>
          <w:sz w:val="24"/>
          <w:szCs w:val="24"/>
          <w:lang w:val="zh-CN"/>
        </w:rPr>
        <w:t>.4）政府采购合同履行完毕，采购人应于收到供应商验收申请后7日内组织履约验收。对于满足合同约定支付条件的，采购人应当自收到发票后25日内完成资金支付。</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8.质保期要求</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整车修理或总成修理质量保证期为车辆行驶20000公里或者100日；二级维护质量保证期为车辆行驶5000公里或者30日；一级维护、小修及专项修理质量保证期为车辆行驶2000公里或者10日。</w:t>
      </w:r>
    </w:p>
    <w:p>
      <w:pPr>
        <w:pStyle w:val="6"/>
        <w:numPr>
          <w:ilvl w:val="0"/>
          <w:numId w:val="0"/>
        </w:numPr>
        <w:ind w:leftChars="0"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9.</w:t>
      </w:r>
      <w:r>
        <w:rPr>
          <w:rFonts w:hint="eastAsia" w:ascii="仿宋" w:hAnsi="仿宋" w:eastAsia="仿宋" w:cs="仿宋"/>
          <w:sz w:val="24"/>
          <w:szCs w:val="24"/>
          <w:lang w:eastAsia="zh-CN"/>
        </w:rPr>
        <w:t>供应商应在响应文件中提供经营场地（含接待室、停车场、生产厂房）简介（包括但不限于地理位置、结构分布、面积、设施、实景图片等）；同时，自有经营场地的，后附经营场地产权登记证书复印件；租赁经营场地的，后附租赁合同清晰扫描件（提供的产权登记证书或租赁合同须清晰标注面积）。</w:t>
      </w:r>
    </w:p>
    <w:p>
      <w:pPr>
        <w:numPr>
          <w:ilvl w:val="0"/>
          <w:numId w:val="0"/>
        </w:numPr>
        <w:ind w:leftChars="0"/>
        <w:rPr>
          <w:rFonts w:hint="eastAsia" w:ascii="仿宋" w:hAnsi="仿宋" w:eastAsia="仿宋" w:cs="仿宋"/>
          <w:lang w:val="en-US" w:eastAsia="zh-CN"/>
        </w:rPr>
      </w:pPr>
    </w:p>
    <w:p>
      <w:pPr>
        <w:pStyle w:val="6"/>
        <w:jc w:val="left"/>
        <w:rPr>
          <w:rFonts w:hint="eastAsia" w:ascii="仿宋" w:hAnsi="仿宋" w:eastAsia="仿宋" w:cs="仿宋"/>
          <w:lang w:val="en-US" w:eastAsia="zh-CN"/>
        </w:rPr>
      </w:pPr>
      <w:r>
        <w:rPr>
          <w:rFonts w:hint="eastAsia" w:ascii="仿宋" w:hAnsi="仿宋" w:eastAsia="仿宋" w:cs="仿宋"/>
          <w:lang w:val="en-US" w:eastAsia="zh-CN"/>
        </w:rPr>
        <w:t>附表</w:t>
      </w:r>
    </w:p>
    <w:tbl>
      <w:tblPr>
        <w:tblStyle w:val="8"/>
        <w:tblW w:w="9485" w:type="dxa"/>
        <w:tblInd w:w="-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73"/>
        <w:gridCol w:w="162"/>
        <w:gridCol w:w="2413"/>
        <w:gridCol w:w="566"/>
        <w:gridCol w:w="1401"/>
        <w:gridCol w:w="713"/>
        <w:gridCol w:w="759"/>
        <w:gridCol w:w="1453"/>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36" w:hRule="atLeast"/>
        </w:trPr>
        <w:tc>
          <w:tcPr>
            <w:tcW w:w="9485" w:type="dxa"/>
            <w:gridSpan w:val="9"/>
            <w:vAlign w:val="center"/>
          </w:tcPr>
          <w:p>
            <w:pPr>
              <w:keepNext w:val="0"/>
              <w:keepLines w:val="0"/>
              <w:widowControl/>
              <w:suppressLineNumbers w:val="0"/>
              <w:spacing w:before="0" w:beforeAutospacing="0" w:after="0" w:afterAutospacing="0"/>
              <w:ind w:left="0" w:right="0"/>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分项报价表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36" w:hRule="atLeast"/>
        </w:trPr>
        <w:tc>
          <w:tcPr>
            <w:tcW w:w="935" w:type="dxa"/>
            <w:gridSpan w:val="2"/>
            <w:vAlign w:val="center"/>
          </w:tcPr>
          <w:p>
            <w:pPr>
              <w:keepNext w:val="0"/>
              <w:keepLines w:val="0"/>
              <w:widowControl/>
              <w:suppressLineNumbers w:val="0"/>
              <w:spacing w:before="0" w:beforeAutospacing="0" w:after="0" w:afterAutospacing="0"/>
              <w:ind w:left="0" w:right="0"/>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序号</w:t>
            </w:r>
          </w:p>
        </w:tc>
        <w:tc>
          <w:tcPr>
            <w:tcW w:w="5093" w:type="dxa"/>
            <w:gridSpan w:val="4"/>
            <w:tcMar>
              <w:top w:w="30" w:type="dxa"/>
              <w:left w:w="30" w:type="dxa"/>
              <w:bottom w:w="0" w:type="dxa"/>
              <w:right w:w="30" w:type="dxa"/>
            </w:tcMar>
            <w:vAlign w:val="center"/>
          </w:tcPr>
          <w:p>
            <w:pPr>
              <w:keepNext w:val="0"/>
              <w:keepLines w:val="0"/>
              <w:widowControl/>
              <w:suppressLineNumbers w:val="0"/>
              <w:spacing w:before="0" w:beforeAutospacing="0" w:after="0" w:afterAutospacing="0"/>
              <w:ind w:left="0" w:right="0"/>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内容</w:t>
            </w:r>
          </w:p>
        </w:tc>
        <w:tc>
          <w:tcPr>
            <w:tcW w:w="3457" w:type="dxa"/>
            <w:gridSpan w:val="3"/>
            <w:tcMar>
              <w:top w:w="30" w:type="dxa"/>
              <w:left w:w="30" w:type="dxa"/>
              <w:bottom w:w="0" w:type="dxa"/>
              <w:right w:w="30" w:type="dxa"/>
            </w:tcMar>
            <w:vAlign w:val="center"/>
          </w:tcPr>
          <w:p>
            <w:pPr>
              <w:keepNext w:val="0"/>
              <w:keepLines w:val="0"/>
              <w:widowControl/>
              <w:suppressLineNumbers w:val="0"/>
              <w:spacing w:before="0" w:beforeAutospacing="0" w:after="0" w:afterAutospacing="0"/>
              <w:ind w:left="0" w:right="0"/>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rPr>
              <w:t>投标</w:t>
            </w:r>
            <w:r>
              <w:rPr>
                <w:rFonts w:hint="eastAsia" w:ascii="黑体" w:hAnsi="黑体" w:eastAsia="黑体" w:cs="黑体"/>
                <w:color w:val="000000"/>
                <w:kern w:val="0"/>
                <w:sz w:val="24"/>
                <w:szCs w:val="24"/>
                <w:highlight w:val="none"/>
                <w:lang w:val="en-US" w:eastAsia="zh-CN"/>
              </w:rPr>
              <w:t>限制单价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 w:hRule="atLeast"/>
        </w:trPr>
        <w:tc>
          <w:tcPr>
            <w:tcW w:w="935" w:type="dxa"/>
            <w:gridSpan w:val="2"/>
            <w:vAlign w:val="center"/>
          </w:tcPr>
          <w:p>
            <w:pPr>
              <w:keepNext w:val="0"/>
              <w:keepLines w:val="0"/>
              <w:widowControl/>
              <w:suppressLineNumbers w:val="0"/>
              <w:spacing w:before="0" w:beforeAutospacing="0" w:after="0" w:afterAutospacing="0"/>
              <w:ind w:left="0" w:right="0"/>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w:t>
            </w:r>
          </w:p>
        </w:tc>
        <w:tc>
          <w:tcPr>
            <w:tcW w:w="5093" w:type="dxa"/>
            <w:gridSpan w:val="4"/>
            <w:tcMar>
              <w:top w:w="30" w:type="dxa"/>
              <w:left w:w="30" w:type="dxa"/>
              <w:bottom w:w="0" w:type="dxa"/>
              <w:right w:w="30" w:type="dxa"/>
            </w:tcMar>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材料费加价率</w:t>
            </w:r>
          </w:p>
        </w:tc>
        <w:tc>
          <w:tcPr>
            <w:tcW w:w="3457" w:type="dxa"/>
            <w:gridSpan w:val="3"/>
            <w:tcMar>
              <w:top w:w="30" w:type="dxa"/>
              <w:left w:w="30" w:type="dxa"/>
              <w:bottom w:w="0" w:type="dxa"/>
              <w:right w:w="30" w:type="dxa"/>
            </w:tcMar>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5" w:hRule="atLeast"/>
        </w:trPr>
        <w:tc>
          <w:tcPr>
            <w:tcW w:w="935" w:type="dxa"/>
            <w:gridSpan w:val="2"/>
            <w:vMerge w:val="restart"/>
            <w:vAlign w:val="center"/>
          </w:tcPr>
          <w:p>
            <w:pPr>
              <w:keepNext w:val="0"/>
              <w:keepLines w:val="0"/>
              <w:widowControl/>
              <w:suppressLineNumbers w:val="0"/>
              <w:spacing w:before="0" w:beforeAutospacing="0" w:after="0" w:afterAutospacing="0"/>
              <w:ind w:left="0" w:right="0"/>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2</w:t>
            </w:r>
          </w:p>
          <w:p>
            <w:pPr>
              <w:keepNext w:val="0"/>
              <w:keepLines w:val="0"/>
              <w:widowControl/>
              <w:suppressLineNumbers w:val="0"/>
              <w:spacing w:before="0" w:beforeAutospacing="0" w:after="0" w:afterAutospacing="0"/>
              <w:ind w:left="0" w:right="0"/>
              <w:jc w:val="center"/>
              <w:rPr>
                <w:rFonts w:hint="eastAsia" w:ascii="楷体_GB2312" w:hAnsi="楷体_GB2312" w:eastAsia="楷体_GB2312" w:cs="楷体_GB2312"/>
                <w:color w:val="000000"/>
                <w:kern w:val="0"/>
                <w:sz w:val="24"/>
                <w:szCs w:val="24"/>
                <w:highlight w:val="none"/>
                <w:lang w:val="en-US" w:eastAsia="zh-CN"/>
              </w:rPr>
            </w:pPr>
          </w:p>
        </w:tc>
        <w:tc>
          <w:tcPr>
            <w:tcW w:w="2413" w:type="dxa"/>
            <w:vMerge w:val="restart"/>
            <w:tcMar>
              <w:top w:w="30" w:type="dxa"/>
              <w:left w:w="30" w:type="dxa"/>
              <w:bottom w:w="0" w:type="dxa"/>
              <w:right w:w="30" w:type="dxa"/>
            </w:tcMar>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shd w:val="clear" w:color="auto" w:fill="FFFF00"/>
              </w:rPr>
            </w:pPr>
            <w:r>
              <w:rPr>
                <w:rFonts w:hint="eastAsia" w:ascii="仿宋_GB2312" w:hAnsi="仿宋_GB2312" w:eastAsia="仿宋_GB2312" w:cs="仿宋_GB2312"/>
                <w:color w:val="000000"/>
                <w:kern w:val="0"/>
                <w:sz w:val="24"/>
                <w:szCs w:val="24"/>
                <w:highlight w:val="none"/>
              </w:rPr>
              <w:t>代办车辆年审费用（含上线检测费</w:t>
            </w:r>
            <w:r>
              <w:rPr>
                <w:rFonts w:hint="eastAsia" w:ascii="仿宋_GB2312" w:hAnsi="仿宋_GB2312" w:eastAsia="仿宋_GB2312" w:cs="仿宋_GB2312"/>
                <w:color w:val="000000"/>
                <w:kern w:val="0"/>
                <w:sz w:val="24"/>
                <w:szCs w:val="24"/>
                <w:highlight w:val="none"/>
                <w:lang w:eastAsia="zh-CN"/>
              </w:rPr>
              <w:t>，</w:t>
            </w:r>
            <w:r>
              <w:rPr>
                <w:rFonts w:hint="eastAsia" w:ascii="仿宋_GB2312" w:hAnsi="仿宋_GB2312" w:eastAsia="仿宋_GB2312" w:cs="仿宋_GB2312"/>
                <w:color w:val="000000"/>
                <w:kern w:val="0"/>
                <w:sz w:val="24"/>
                <w:szCs w:val="24"/>
                <w:highlight w:val="none"/>
                <w:lang w:val="en-US" w:eastAsia="zh-CN"/>
              </w:rPr>
              <w:t>不含税</w:t>
            </w:r>
            <w:r>
              <w:rPr>
                <w:rFonts w:hint="eastAsia" w:ascii="仿宋_GB2312" w:hAnsi="仿宋_GB2312" w:eastAsia="仿宋_GB2312" w:cs="仿宋_GB2312"/>
                <w:color w:val="000000"/>
                <w:kern w:val="0"/>
                <w:sz w:val="24"/>
                <w:szCs w:val="24"/>
                <w:highlight w:val="none"/>
              </w:rPr>
              <w:t>）</w:t>
            </w:r>
          </w:p>
        </w:tc>
        <w:tc>
          <w:tcPr>
            <w:tcW w:w="2680" w:type="dxa"/>
            <w:gridSpan w:val="3"/>
            <w:tcMar>
              <w:top w:w="30" w:type="dxa"/>
              <w:left w:w="30" w:type="dxa"/>
              <w:bottom w:w="0" w:type="dxa"/>
              <w:right w:w="30" w:type="dxa"/>
            </w:tcMar>
            <w:vAlign w:val="center"/>
          </w:tcPr>
          <w:p>
            <w:pPr>
              <w:pStyle w:val="7"/>
              <w:keepNext w:val="0"/>
              <w:keepLines w:val="0"/>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shd w:val="clear" w:color="auto" w:fill="FFFF00"/>
                <w:lang w:val="en-US" w:eastAsia="zh-CN"/>
              </w:rPr>
            </w:pPr>
            <w:r>
              <w:rPr>
                <w:rFonts w:hint="eastAsia" w:ascii="仿宋_GB2312" w:hAnsi="仿宋_GB2312" w:eastAsia="仿宋_GB2312" w:cs="仿宋_GB2312"/>
                <w:color w:val="000000"/>
                <w:kern w:val="0"/>
                <w:sz w:val="24"/>
                <w:szCs w:val="24"/>
                <w:highlight w:val="none"/>
                <w:lang w:val="en-US" w:eastAsia="zh-CN"/>
              </w:rPr>
              <w:t>小型车</w:t>
            </w:r>
          </w:p>
        </w:tc>
        <w:tc>
          <w:tcPr>
            <w:tcW w:w="3457" w:type="dxa"/>
            <w:gridSpan w:val="3"/>
            <w:tcMar>
              <w:top w:w="30" w:type="dxa"/>
              <w:left w:w="30" w:type="dxa"/>
              <w:bottom w:w="0" w:type="dxa"/>
              <w:right w:w="30" w:type="dxa"/>
            </w:tcMar>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bidi="ar-SA"/>
              </w:rPr>
            </w:pPr>
            <w:r>
              <w:rPr>
                <w:rFonts w:hint="eastAsia" w:ascii="仿宋_GB2312" w:hAnsi="仿宋_GB2312" w:eastAsia="仿宋_GB2312" w:cs="仿宋_GB2312"/>
                <w:color w:val="000000"/>
                <w:kern w:val="0"/>
                <w:sz w:val="24"/>
                <w:szCs w:val="24"/>
                <w:highlight w:val="none"/>
                <w:lang w:val="en-US" w:eastAsia="zh-CN"/>
              </w:rPr>
              <w:t>320元/辆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5" w:hRule="atLeast"/>
        </w:trPr>
        <w:tc>
          <w:tcPr>
            <w:tcW w:w="935" w:type="dxa"/>
            <w:gridSpan w:val="2"/>
            <w:vMerge w:val="continue"/>
            <w:vAlign w:val="center"/>
          </w:tcPr>
          <w:p>
            <w:pPr>
              <w:keepNext w:val="0"/>
              <w:keepLines w:val="0"/>
              <w:widowControl/>
              <w:suppressLineNumbers w:val="0"/>
              <w:spacing w:before="0" w:beforeAutospacing="0" w:after="0" w:afterAutospacing="0"/>
              <w:ind w:left="0" w:right="0"/>
              <w:jc w:val="center"/>
              <w:rPr>
                <w:rFonts w:hint="eastAsia" w:ascii="楷体_GB2312" w:hAnsi="楷体_GB2312" w:eastAsia="楷体_GB2312" w:cs="楷体_GB2312"/>
                <w:color w:val="000000"/>
                <w:kern w:val="0"/>
                <w:sz w:val="24"/>
                <w:szCs w:val="24"/>
                <w:highlight w:val="none"/>
              </w:rPr>
            </w:pPr>
          </w:p>
        </w:tc>
        <w:tc>
          <w:tcPr>
            <w:tcW w:w="2413" w:type="dxa"/>
            <w:vMerge w:val="continue"/>
            <w:tcMar>
              <w:top w:w="30" w:type="dxa"/>
              <w:left w:w="30" w:type="dxa"/>
              <w:bottom w:w="0" w:type="dxa"/>
              <w:right w:w="30" w:type="dxa"/>
            </w:tcMar>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shd w:val="clear" w:color="auto" w:fill="FFFF00"/>
                <w:lang w:val="en-US" w:eastAsia="zh-CN"/>
              </w:rPr>
            </w:pPr>
          </w:p>
        </w:tc>
        <w:tc>
          <w:tcPr>
            <w:tcW w:w="2680" w:type="dxa"/>
            <w:gridSpan w:val="3"/>
            <w:tcMar>
              <w:top w:w="30" w:type="dxa"/>
              <w:left w:w="30" w:type="dxa"/>
              <w:bottom w:w="0" w:type="dxa"/>
              <w:right w:w="30" w:type="dxa"/>
            </w:tcMar>
            <w:vAlign w:val="center"/>
          </w:tcPr>
          <w:p>
            <w:pPr>
              <w:pStyle w:val="7"/>
              <w:keepNext w:val="0"/>
              <w:keepLines w:val="0"/>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shd w:val="clear" w:color="auto" w:fill="FFFF00"/>
                <w:lang w:val="en-US" w:eastAsia="zh-CN"/>
              </w:rPr>
            </w:pPr>
            <w:r>
              <w:rPr>
                <w:rFonts w:hint="eastAsia" w:ascii="仿宋_GB2312" w:hAnsi="仿宋_GB2312" w:eastAsia="仿宋_GB2312" w:cs="仿宋_GB2312"/>
                <w:color w:val="000000"/>
                <w:kern w:val="0"/>
                <w:sz w:val="24"/>
                <w:szCs w:val="24"/>
                <w:highlight w:val="none"/>
                <w:lang w:val="en-US" w:eastAsia="zh-CN"/>
              </w:rPr>
              <w:t>中型车（包含轻型货车、轻型专项作业车）</w:t>
            </w:r>
          </w:p>
        </w:tc>
        <w:tc>
          <w:tcPr>
            <w:tcW w:w="3457" w:type="dxa"/>
            <w:gridSpan w:val="3"/>
            <w:tcMar>
              <w:top w:w="30" w:type="dxa"/>
              <w:left w:w="30" w:type="dxa"/>
              <w:bottom w:w="0" w:type="dxa"/>
              <w:right w:w="30" w:type="dxa"/>
            </w:tcMar>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bidi="ar-SA"/>
              </w:rPr>
            </w:pPr>
            <w:r>
              <w:rPr>
                <w:rFonts w:hint="eastAsia" w:ascii="仿宋_GB2312" w:hAnsi="仿宋_GB2312" w:eastAsia="仿宋_GB2312" w:cs="仿宋_GB2312"/>
                <w:color w:val="000000"/>
                <w:kern w:val="0"/>
                <w:sz w:val="24"/>
                <w:szCs w:val="24"/>
                <w:highlight w:val="none"/>
                <w:lang w:val="en-US" w:eastAsia="zh-CN"/>
              </w:rPr>
              <w:t>400元/辆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5" w:hRule="atLeast"/>
        </w:trPr>
        <w:tc>
          <w:tcPr>
            <w:tcW w:w="935" w:type="dxa"/>
            <w:gridSpan w:val="2"/>
            <w:vMerge w:val="continue"/>
            <w:vAlign w:val="center"/>
          </w:tcPr>
          <w:p>
            <w:pPr>
              <w:keepNext w:val="0"/>
              <w:keepLines w:val="0"/>
              <w:widowControl/>
              <w:suppressLineNumbers w:val="0"/>
              <w:spacing w:before="0" w:beforeAutospacing="0" w:after="0" w:afterAutospacing="0"/>
              <w:ind w:left="0" w:right="0"/>
              <w:jc w:val="center"/>
              <w:rPr>
                <w:rFonts w:hint="eastAsia" w:ascii="楷体_GB2312" w:hAnsi="楷体_GB2312" w:eastAsia="楷体_GB2312" w:cs="楷体_GB2312"/>
                <w:color w:val="000000"/>
                <w:kern w:val="0"/>
                <w:sz w:val="24"/>
                <w:szCs w:val="24"/>
                <w:highlight w:val="none"/>
              </w:rPr>
            </w:pPr>
          </w:p>
        </w:tc>
        <w:tc>
          <w:tcPr>
            <w:tcW w:w="2413" w:type="dxa"/>
            <w:vMerge w:val="continue"/>
            <w:tcMar>
              <w:top w:w="30" w:type="dxa"/>
              <w:left w:w="30" w:type="dxa"/>
              <w:bottom w:w="0" w:type="dxa"/>
              <w:right w:w="30" w:type="dxa"/>
            </w:tcMar>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shd w:val="clear" w:color="auto" w:fill="FFFF00"/>
                <w:lang w:val="en-US" w:eastAsia="zh-CN"/>
              </w:rPr>
            </w:pPr>
          </w:p>
        </w:tc>
        <w:tc>
          <w:tcPr>
            <w:tcW w:w="2680" w:type="dxa"/>
            <w:gridSpan w:val="3"/>
            <w:tcMar>
              <w:top w:w="30" w:type="dxa"/>
              <w:left w:w="30" w:type="dxa"/>
              <w:bottom w:w="0" w:type="dxa"/>
              <w:right w:w="30" w:type="dxa"/>
            </w:tcMar>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shd w:val="clear" w:color="auto" w:fill="FFFF00"/>
                <w:lang w:val="en-US" w:eastAsia="zh-CN"/>
              </w:rPr>
            </w:pPr>
            <w:r>
              <w:rPr>
                <w:rFonts w:hint="eastAsia" w:ascii="仿宋_GB2312" w:hAnsi="仿宋_GB2312" w:eastAsia="仿宋_GB2312" w:cs="仿宋_GB2312"/>
                <w:color w:val="000000"/>
                <w:kern w:val="0"/>
                <w:sz w:val="24"/>
                <w:szCs w:val="24"/>
                <w:highlight w:val="none"/>
                <w:lang w:val="en-US" w:eastAsia="zh-CN"/>
              </w:rPr>
              <w:t>重型车</w:t>
            </w:r>
          </w:p>
        </w:tc>
        <w:tc>
          <w:tcPr>
            <w:tcW w:w="3457" w:type="dxa"/>
            <w:gridSpan w:val="3"/>
            <w:tcMar>
              <w:top w:w="30" w:type="dxa"/>
              <w:left w:w="30" w:type="dxa"/>
              <w:bottom w:w="0" w:type="dxa"/>
              <w:right w:w="30" w:type="dxa"/>
            </w:tcMar>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bidi="ar-SA"/>
              </w:rPr>
            </w:pPr>
            <w:r>
              <w:rPr>
                <w:rFonts w:hint="eastAsia" w:ascii="仿宋_GB2312" w:hAnsi="仿宋_GB2312" w:eastAsia="仿宋_GB2312" w:cs="仿宋_GB2312"/>
                <w:color w:val="000000"/>
                <w:kern w:val="0"/>
                <w:sz w:val="24"/>
                <w:szCs w:val="24"/>
                <w:highlight w:val="none"/>
                <w:lang w:val="en-US" w:eastAsia="zh-CN"/>
              </w:rPr>
              <w:t>500元/辆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5" w:hRule="atLeast"/>
        </w:trPr>
        <w:tc>
          <w:tcPr>
            <w:tcW w:w="935" w:type="dxa"/>
            <w:gridSpan w:val="2"/>
            <w:vMerge w:val="continue"/>
            <w:vAlign w:val="center"/>
          </w:tcPr>
          <w:p>
            <w:pPr>
              <w:keepNext w:val="0"/>
              <w:keepLines w:val="0"/>
              <w:widowControl/>
              <w:suppressLineNumbers w:val="0"/>
              <w:spacing w:before="0" w:beforeAutospacing="0" w:after="0" w:afterAutospacing="0"/>
              <w:ind w:left="0" w:right="0"/>
              <w:jc w:val="center"/>
              <w:rPr>
                <w:rFonts w:hint="eastAsia" w:ascii="楷体_GB2312" w:hAnsi="楷体_GB2312" w:eastAsia="楷体_GB2312" w:cs="楷体_GB2312"/>
                <w:color w:val="000000"/>
                <w:kern w:val="0"/>
                <w:sz w:val="24"/>
                <w:szCs w:val="24"/>
                <w:highlight w:val="none"/>
                <w:lang w:val="en-US" w:eastAsia="zh-CN"/>
              </w:rPr>
            </w:pPr>
          </w:p>
        </w:tc>
        <w:tc>
          <w:tcPr>
            <w:tcW w:w="2413" w:type="dxa"/>
            <w:vMerge w:val="continue"/>
            <w:tcMar>
              <w:top w:w="30" w:type="dxa"/>
              <w:left w:w="30" w:type="dxa"/>
              <w:bottom w:w="0" w:type="dxa"/>
              <w:right w:w="30" w:type="dxa"/>
            </w:tcMar>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shd w:val="clear" w:color="auto" w:fill="FFFF00"/>
              </w:rPr>
            </w:pPr>
          </w:p>
        </w:tc>
        <w:tc>
          <w:tcPr>
            <w:tcW w:w="2680" w:type="dxa"/>
            <w:gridSpan w:val="3"/>
            <w:tcMar>
              <w:top w:w="30" w:type="dxa"/>
              <w:left w:w="30" w:type="dxa"/>
              <w:bottom w:w="0" w:type="dxa"/>
              <w:right w:w="30" w:type="dxa"/>
            </w:tcMar>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shd w:val="clear" w:color="auto" w:fill="FFFF00"/>
              </w:rPr>
            </w:pPr>
            <w:r>
              <w:rPr>
                <w:rFonts w:hint="eastAsia" w:ascii="仿宋_GB2312" w:hAnsi="仿宋_GB2312" w:eastAsia="仿宋_GB2312" w:cs="仿宋_GB2312"/>
                <w:color w:val="000000"/>
                <w:kern w:val="0"/>
                <w:sz w:val="24"/>
                <w:szCs w:val="24"/>
                <w:highlight w:val="none"/>
                <w:lang w:val="en-US" w:eastAsia="zh-CN"/>
              </w:rPr>
              <w:t>特种车</w:t>
            </w:r>
          </w:p>
        </w:tc>
        <w:tc>
          <w:tcPr>
            <w:tcW w:w="3457" w:type="dxa"/>
            <w:gridSpan w:val="3"/>
            <w:tcMar>
              <w:top w:w="30" w:type="dxa"/>
              <w:left w:w="30" w:type="dxa"/>
              <w:bottom w:w="0" w:type="dxa"/>
              <w:right w:w="30" w:type="dxa"/>
            </w:tcMar>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bidi="ar-SA"/>
              </w:rPr>
            </w:pPr>
            <w:r>
              <w:rPr>
                <w:rFonts w:hint="eastAsia" w:ascii="仿宋_GB2312" w:hAnsi="仿宋_GB2312" w:eastAsia="仿宋_GB2312" w:cs="仿宋_GB2312"/>
                <w:color w:val="000000"/>
                <w:kern w:val="0"/>
                <w:sz w:val="24"/>
                <w:szCs w:val="24"/>
                <w:highlight w:val="none"/>
                <w:lang w:val="en-US" w:eastAsia="zh-CN"/>
              </w:rPr>
              <w:t>800元/辆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4" w:hRule="atLeast"/>
          <w:tblHeader/>
        </w:trPr>
        <w:tc>
          <w:tcPr>
            <w:tcW w:w="9485" w:type="dxa"/>
            <w:gridSpan w:val="9"/>
            <w:vAlign w:val="center"/>
          </w:tcPr>
          <w:p>
            <w:pPr>
              <w:keepNext w:val="0"/>
              <w:keepLines w:val="0"/>
              <w:widowControl/>
              <w:suppressLineNumbers w:val="0"/>
              <w:spacing w:before="0" w:beforeAutospacing="0" w:after="0" w:afterAutospacing="0"/>
              <w:ind w:left="0" w:right="0"/>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维修分项人工单价表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3" w:hRule="atLeast"/>
          <w:tblHeader/>
        </w:trPr>
        <w:tc>
          <w:tcPr>
            <w:tcW w:w="773" w:type="dxa"/>
            <w:vMerge w:val="restart"/>
            <w:vAlign w:val="center"/>
          </w:tcPr>
          <w:p>
            <w:pPr>
              <w:keepNext w:val="0"/>
              <w:keepLines w:val="0"/>
              <w:widowControl/>
              <w:suppressLineNumbers w:val="0"/>
              <w:spacing w:before="0" w:beforeAutospacing="0" w:after="0" w:afterAutospacing="0"/>
              <w:ind w:left="0" w:right="0"/>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序号</w:t>
            </w:r>
          </w:p>
        </w:tc>
        <w:tc>
          <w:tcPr>
            <w:tcW w:w="3141" w:type="dxa"/>
            <w:gridSpan w:val="3"/>
            <w:vMerge w:val="restart"/>
            <w:vAlign w:val="center"/>
          </w:tcPr>
          <w:p>
            <w:pPr>
              <w:keepNext w:val="0"/>
              <w:keepLines w:val="0"/>
              <w:widowControl/>
              <w:suppressLineNumbers w:val="0"/>
              <w:spacing w:before="0" w:beforeAutospacing="0" w:after="0" w:afterAutospacing="0"/>
              <w:ind w:left="0" w:right="0"/>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维修项目</w:t>
            </w:r>
          </w:p>
        </w:tc>
        <w:tc>
          <w:tcPr>
            <w:tcW w:w="5571" w:type="dxa"/>
            <w:gridSpan w:val="5"/>
            <w:vAlign w:val="center"/>
          </w:tcPr>
          <w:p>
            <w:pPr>
              <w:keepNext w:val="0"/>
              <w:keepLines w:val="0"/>
              <w:widowControl/>
              <w:suppressLineNumbers w:val="0"/>
              <w:spacing w:before="0" w:beforeAutospacing="0" w:after="0" w:afterAutospacing="0"/>
              <w:ind w:left="0" w:right="0"/>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投标</w:t>
            </w:r>
            <w:r>
              <w:rPr>
                <w:rFonts w:hint="eastAsia" w:ascii="黑体" w:hAnsi="黑体" w:eastAsia="黑体" w:cs="黑体"/>
                <w:color w:val="000000"/>
                <w:kern w:val="0"/>
                <w:sz w:val="24"/>
                <w:szCs w:val="24"/>
                <w:highlight w:val="none"/>
                <w:lang w:val="en-US" w:eastAsia="zh-CN"/>
              </w:rPr>
              <w:t>限制单价</w:t>
            </w:r>
            <w:r>
              <w:rPr>
                <w:rFonts w:hint="eastAsia" w:ascii="黑体" w:hAnsi="黑体" w:eastAsia="黑体" w:cs="黑体"/>
                <w:color w:val="000000"/>
                <w:kern w:val="0"/>
                <w:sz w:val="24"/>
                <w:szCs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3" w:hRule="atLeast"/>
          <w:tblHeader/>
        </w:trPr>
        <w:tc>
          <w:tcPr>
            <w:tcW w:w="773" w:type="dxa"/>
            <w:vMerge w:val="continue"/>
            <w:vAlign w:val="center"/>
          </w:tcPr>
          <w:p>
            <w:pPr>
              <w:keepNext w:val="0"/>
              <w:keepLines w:val="0"/>
              <w:widowControl/>
              <w:suppressLineNumbers w:val="0"/>
              <w:spacing w:before="0" w:beforeAutospacing="0" w:after="0" w:afterAutospacing="0"/>
              <w:ind w:left="0" w:right="0"/>
              <w:jc w:val="center"/>
              <w:rPr>
                <w:rFonts w:hint="eastAsia" w:ascii="黑体" w:hAnsi="黑体" w:eastAsia="黑体" w:cs="黑体"/>
                <w:color w:val="000000"/>
                <w:kern w:val="0"/>
                <w:sz w:val="24"/>
                <w:szCs w:val="24"/>
                <w:highlight w:val="none"/>
              </w:rPr>
            </w:pPr>
          </w:p>
        </w:tc>
        <w:tc>
          <w:tcPr>
            <w:tcW w:w="3141" w:type="dxa"/>
            <w:gridSpan w:val="3"/>
            <w:vMerge w:val="continue"/>
            <w:vAlign w:val="center"/>
          </w:tcPr>
          <w:p>
            <w:pPr>
              <w:keepNext w:val="0"/>
              <w:keepLines w:val="0"/>
              <w:widowControl/>
              <w:suppressLineNumbers w:val="0"/>
              <w:spacing w:before="0" w:beforeAutospacing="0" w:after="0" w:afterAutospacing="0"/>
              <w:ind w:left="0" w:right="0"/>
              <w:jc w:val="center"/>
              <w:rPr>
                <w:rFonts w:hint="eastAsia" w:ascii="黑体" w:hAnsi="黑体" w:eastAsia="黑体" w:cs="黑体"/>
                <w:color w:val="000000"/>
                <w:kern w:val="0"/>
                <w:sz w:val="24"/>
                <w:szCs w:val="24"/>
                <w:highlight w:val="none"/>
              </w:rPr>
            </w:pPr>
          </w:p>
        </w:tc>
        <w:tc>
          <w:tcPr>
            <w:tcW w:w="4326" w:type="dxa"/>
            <w:gridSpan w:val="4"/>
            <w:vAlign w:val="center"/>
          </w:tcPr>
          <w:p>
            <w:pPr>
              <w:keepNext w:val="0"/>
              <w:keepLines w:val="0"/>
              <w:widowControl/>
              <w:suppressLineNumbers w:val="0"/>
              <w:spacing w:before="0" w:beforeAutospacing="0" w:after="0" w:afterAutospacing="0"/>
              <w:ind w:left="0" w:right="0"/>
              <w:jc w:val="center"/>
              <w:rPr>
                <w:rFonts w:hint="default"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普通公务用车</w:t>
            </w:r>
          </w:p>
        </w:tc>
        <w:tc>
          <w:tcPr>
            <w:tcW w:w="1245" w:type="dxa"/>
            <w:vMerge w:val="restart"/>
            <w:vAlign w:val="center"/>
          </w:tcPr>
          <w:p>
            <w:pPr>
              <w:keepNext w:val="0"/>
              <w:keepLines w:val="0"/>
              <w:widowControl/>
              <w:suppressLineNumbers w:val="0"/>
              <w:spacing w:before="0" w:beforeAutospacing="0" w:after="0" w:afterAutospacing="0"/>
              <w:ind w:left="0" w:right="0"/>
              <w:jc w:val="center"/>
              <w:rPr>
                <w:rFonts w:hint="default"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专项作业车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 w:hRule="atLeast"/>
          <w:tblHeader/>
        </w:trPr>
        <w:tc>
          <w:tcPr>
            <w:tcW w:w="773" w:type="dxa"/>
            <w:vMerge w:val="continue"/>
            <w:vAlign w:val="center"/>
          </w:tcPr>
          <w:p>
            <w:pPr>
              <w:keepNext w:val="0"/>
              <w:keepLines w:val="0"/>
              <w:widowControl/>
              <w:suppressLineNumbers w:val="0"/>
              <w:spacing w:before="0" w:beforeAutospacing="0" w:after="0" w:afterAutospacing="0"/>
              <w:ind w:left="0" w:right="0"/>
              <w:jc w:val="center"/>
              <w:rPr>
                <w:rFonts w:hint="eastAsia" w:ascii="黑体" w:hAnsi="黑体" w:eastAsia="黑体" w:cs="黑体"/>
                <w:color w:val="000000"/>
                <w:kern w:val="0"/>
                <w:sz w:val="24"/>
                <w:szCs w:val="24"/>
                <w:highlight w:val="none"/>
              </w:rPr>
            </w:pPr>
          </w:p>
        </w:tc>
        <w:tc>
          <w:tcPr>
            <w:tcW w:w="3141" w:type="dxa"/>
            <w:gridSpan w:val="3"/>
            <w:vMerge w:val="continue"/>
            <w:vAlign w:val="center"/>
          </w:tcPr>
          <w:p>
            <w:pPr>
              <w:keepNext w:val="0"/>
              <w:keepLines w:val="0"/>
              <w:widowControl/>
              <w:suppressLineNumbers w:val="0"/>
              <w:spacing w:before="0" w:beforeAutospacing="0" w:after="0" w:afterAutospacing="0"/>
              <w:ind w:left="0" w:right="0"/>
              <w:jc w:val="center"/>
              <w:rPr>
                <w:rFonts w:hint="eastAsia" w:ascii="黑体" w:hAnsi="黑体" w:eastAsia="黑体" w:cs="黑体"/>
                <w:color w:val="000000"/>
                <w:kern w:val="0"/>
                <w:sz w:val="24"/>
                <w:szCs w:val="24"/>
                <w:highlight w:val="none"/>
              </w:rPr>
            </w:pP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1.6L及以下</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1.8-2.0L（含2.0L）</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黑体" w:hAnsi="黑体" w:eastAsia="黑体" w:cs="黑体"/>
                <w:color w:val="000000"/>
                <w:kern w:val="0"/>
                <w:sz w:val="24"/>
                <w:szCs w:val="24"/>
                <w:highlight w:val="none"/>
              </w:rPr>
            </w:pPr>
            <w:r>
              <w:rPr>
                <w:rFonts w:hint="eastAsia" w:ascii="黑体" w:hAnsi="黑体" w:eastAsia="黑体" w:cs="黑体"/>
                <w:color w:val="000000"/>
                <w:kern w:val="0"/>
                <w:sz w:val="24"/>
                <w:szCs w:val="24"/>
                <w:highlight w:val="none"/>
              </w:rPr>
              <w:t>2.0L以上</w:t>
            </w:r>
          </w:p>
        </w:tc>
        <w:tc>
          <w:tcPr>
            <w:tcW w:w="1245" w:type="dxa"/>
            <w:vMerge w:val="continue"/>
            <w:vAlign w:val="center"/>
          </w:tcPr>
          <w:p>
            <w:pPr>
              <w:keepNext w:val="0"/>
              <w:keepLines w:val="0"/>
              <w:widowControl/>
              <w:suppressLineNumbers w:val="0"/>
              <w:spacing w:before="0" w:beforeAutospacing="0" w:after="0" w:afterAutospacing="0"/>
              <w:ind w:left="0" w:right="0"/>
              <w:jc w:val="center"/>
              <w:rPr>
                <w:rFonts w:hint="default" w:ascii="黑体" w:hAnsi="黑体" w:eastAsia="黑体" w:cs="黑体"/>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更换火花塞</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66</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hAnsi="楷体_GB2312" w:eastAsia="楷体_GB2312" w:cs="楷体_GB2312"/>
                <w:bCs/>
                <w:color w:val="000000"/>
                <w:kern w:val="0"/>
                <w:sz w:val="24"/>
                <w:highlight w:val="none"/>
                <w:lang w:val="en-US" w:bidi="ar"/>
              </w:rPr>
            </w:pPr>
            <w:r>
              <w:rPr>
                <w:rFonts w:hint="eastAsia" w:ascii="楷体_GB2312" w:hAnsi="宋体" w:eastAsia="楷体_GB2312" w:cs="楷体_GB2312"/>
                <w:i w:val="0"/>
                <w:iCs w:val="0"/>
                <w:color w:val="000000"/>
                <w:kern w:val="0"/>
                <w:sz w:val="24"/>
                <w:szCs w:val="24"/>
                <w:u w:val="none"/>
                <w:lang w:val="en-US" w:eastAsia="zh-CN" w:bidi="ar"/>
              </w:rPr>
              <w:t>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更换汽油滤芯</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40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更换空气滤芯</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13</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13</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更换花粉滤芯</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13</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13</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更换前刹车片</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119</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119</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119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更换后刹车片</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132</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158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191</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更换方向助力油</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26</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26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更换发动机润滑油</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66</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66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更换变速箱油</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79</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更换防冻液</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66</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79</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更换制动液</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53</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79</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清洗检测喷油嘴</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106</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清洗节气门体或怠速阀</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79</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吊装发动机总成</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660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792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924</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发动机大修</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rPr>
            </w:pPr>
            <w:r>
              <w:rPr>
                <w:rFonts w:hint="eastAsia" w:ascii="仿宋_GB2312" w:hAnsi="仿宋_GB2312" w:eastAsia="仿宋_GB2312" w:cs="仿宋_GB2312"/>
                <w:color w:val="000000"/>
                <w:kern w:val="0"/>
                <w:sz w:val="24"/>
                <w:highlight w:val="none"/>
                <w:lang w:val="en-US" w:eastAsia="zh-CN"/>
              </w:rPr>
              <w:t>1188</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1320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1584</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发动机二级维护</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211</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rPr>
            </w:pPr>
            <w:r>
              <w:rPr>
                <w:rFonts w:hint="eastAsia" w:ascii="仿宋_GB2312" w:hAnsi="仿宋_GB2312" w:eastAsia="仿宋_GB2312" w:cs="仿宋_GB2312"/>
                <w:color w:val="000000"/>
                <w:kern w:val="0"/>
                <w:sz w:val="24"/>
                <w:highlight w:val="none"/>
                <w:lang w:val="en-US" w:eastAsia="zh-CN"/>
              </w:rPr>
              <w:t>264</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396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更换气门盖垫（一边）</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79</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lang w:val="en-US" w:eastAsia="zh-CN"/>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更换气门盖垫（二边）</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检修气缸盖、更换气门</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198</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198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211</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更换凸轮轴油封（一边）</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更换凸轮轴油封（二边）</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i w:val="0"/>
                <w:iCs w:val="0"/>
                <w:color w:val="000000"/>
                <w:kern w:val="0"/>
                <w:sz w:val="24"/>
                <w:szCs w:val="24"/>
                <w:highlight w:val="none"/>
                <w:u w:val="none"/>
                <w:lang w:val="en-US" w:eastAsia="zh-CN" w:bidi="ar"/>
              </w:rPr>
              <w:t>238</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i w:val="0"/>
                <w:iCs w:val="0"/>
                <w:color w:val="000000"/>
                <w:kern w:val="0"/>
                <w:sz w:val="24"/>
                <w:szCs w:val="24"/>
                <w:highlight w:val="none"/>
                <w:u w:val="none"/>
                <w:lang w:val="en-US" w:eastAsia="zh-CN" w:bidi="ar"/>
              </w:rPr>
              <w:t>264</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290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更换进气歧管垫</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更换排气歧管垫</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更换气缸垫</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264</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264</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290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更换油底壳</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158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211</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更换曲轴前油封</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158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211</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8"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更换正时皮带</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238</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264</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264</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更换曲轴后油封</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158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更换发动机右上弹性支座</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30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更换发动机下支架总成</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31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更换发动机下支架衬套</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32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更换机油底座密封圈</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33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拆卸进气歧管,清除积碳</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158</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hAnsi="仿宋_GB2312" w:eastAsia="仿宋_GB2312" w:cs="仿宋_GB2312"/>
                <w:color w:val="000000"/>
                <w:kern w:val="0"/>
                <w:sz w:val="24"/>
                <w:szCs w:val="24"/>
                <w:highlight w:val="none"/>
                <w:lang w:val="en-US"/>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218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34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更换发电机</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158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211</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35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更换起动机</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158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211</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36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清洗油箱</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238</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264</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290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37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更换燃油加注管</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66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38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更换油位传感器</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39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更换汽油泵</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158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198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40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更换汽油管</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66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41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更换油门拉线</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42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更换油门踏板</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43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更换点火线路圈</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44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更换上水管</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40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45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拆装或更换散热器</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hAnsi="仿宋_GB2312" w:eastAsia="仿宋_GB2312" w:cs="仿宋_GB2312"/>
                <w:color w:val="000000"/>
                <w:kern w:val="0"/>
                <w:sz w:val="24"/>
                <w:szCs w:val="24"/>
                <w:highlight w:val="none"/>
                <w:lang w:val="en-US"/>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174</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46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更换下水管</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66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47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更换三通水管</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66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48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更换暖风水管</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49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更换水泵</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198</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264</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290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50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更换节温器</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51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加冷却液排空气</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40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52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更换暖风水箱</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158</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198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238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53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更换风扇电机（一边）</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54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更换风扇线束</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55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更换水温控制盒</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56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更换三元催化器</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158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198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57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更换前排气管</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58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更换中间消音器</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158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238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59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更换后消声器</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60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更换或拆卸前减震器</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61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更换前轮毂轴承</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158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198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62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更换底托架</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40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63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校正底护板</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64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更换前横向稳定杆支座</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65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更换连接杆</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lang w:val="en-US"/>
              </w:rPr>
            </w:pPr>
            <w:r>
              <w:rPr>
                <w:rFonts w:hint="eastAsia" w:ascii="仿宋_GB2312" w:hAnsi="仿宋_GB2312" w:eastAsia="仿宋_GB2312" w:cs="仿宋_GB2312"/>
                <w:i w:val="0"/>
                <w:iCs w:val="0"/>
                <w:color w:val="000000"/>
                <w:kern w:val="0"/>
                <w:sz w:val="24"/>
                <w:szCs w:val="24"/>
                <w:highlight w:val="none"/>
                <w:u w:val="none"/>
                <w:lang w:val="en-US" w:eastAsia="zh-CN" w:bidi="ar"/>
              </w:rPr>
              <w:t>83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66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更换三角臂总成</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hAnsi="仿宋_GB2312" w:eastAsia="仿宋_GB2312" w:cs="仿宋_GB2312"/>
                <w:color w:val="000000"/>
                <w:kern w:val="0"/>
                <w:sz w:val="24"/>
                <w:szCs w:val="24"/>
                <w:highlight w:val="none"/>
                <w:lang w:val="en-US"/>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174</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67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更换三角臂球销</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68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更换三角臂弹性铰节</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69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更换三角臂中心衬套</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70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更换轮胎及动平衡</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71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拆检分解手动变速箱</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396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hAnsi="仿宋_GB2312" w:eastAsia="仿宋_GB2312" w:cs="仿宋_GB2312"/>
                <w:color w:val="000000"/>
                <w:kern w:val="0"/>
                <w:sz w:val="24"/>
                <w:szCs w:val="24"/>
                <w:highlight w:val="none"/>
                <w:lang w:val="en-US"/>
              </w:rPr>
            </w:pPr>
            <w:r>
              <w:rPr>
                <w:rFonts w:hint="eastAsia" w:ascii="仿宋_GB2312" w:hAnsi="仿宋_GB2312" w:eastAsia="仿宋_GB2312" w:cs="仿宋_GB2312"/>
                <w:i w:val="0"/>
                <w:iCs w:val="0"/>
                <w:color w:val="000000"/>
                <w:kern w:val="0"/>
                <w:sz w:val="24"/>
                <w:szCs w:val="24"/>
                <w:highlight w:val="none"/>
                <w:u w:val="none"/>
                <w:lang w:val="en-US" w:eastAsia="zh-CN" w:bidi="ar"/>
              </w:rPr>
              <w:t>480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572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72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更换变速箱左支座</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73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更换手动排档操纵杆</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74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更换里程表传感器</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75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更换左传动轴</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76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更换右传动轴</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77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更换左传动轴防尘套</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78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更换右传动轴防尘套</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79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更换过桥轴承</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158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198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80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更换自动变速箱左油封</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81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更换自动变速箱右油封</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82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更换离合器片,压盘</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238</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264</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290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83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更换离合器拉索</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84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更换离合器拉索连接杆</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53</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85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更换5档同步器或齿轮</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158</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198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238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86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拆卸自动档变速箱</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660</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87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更换多功能开关或变速器电脑</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198</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264</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290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88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更换自动变速箱电磁阀</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158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264</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89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更换变扭器，油封</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90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更换输入传感器</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91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更换输出传感器</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92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更换排挡拉索&lt;自动&gt;</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93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拆装后桥总成</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158</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198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211</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94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后桥保养</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40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95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更换后弹性铰接(单)</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96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更换后弹性铰接(双)</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97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更换随动转向块&lt;单&gt;</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98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更换后轴管</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40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99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更换后减震器</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158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211</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100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更换后轮毂轴承</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198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211</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101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更换全车锁</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198</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264</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290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102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更换方向柱</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198</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238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264</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103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更换下转向轴</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158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211</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104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更换方向机总成</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238</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lang w:val="en-US"/>
              </w:rPr>
            </w:pPr>
            <w:r>
              <w:rPr>
                <w:rFonts w:hint="eastAsia" w:ascii="仿宋_GB2312" w:hAnsi="仿宋_GB2312" w:eastAsia="仿宋_GB2312" w:cs="仿宋_GB2312"/>
                <w:i w:val="0"/>
                <w:iCs w:val="0"/>
                <w:color w:val="000000"/>
                <w:kern w:val="0"/>
                <w:sz w:val="24"/>
                <w:szCs w:val="24"/>
                <w:highlight w:val="none"/>
                <w:u w:val="none"/>
                <w:lang w:val="en-US" w:eastAsia="zh-CN" w:bidi="ar"/>
              </w:rPr>
              <w:t>354</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396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105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更换转向机防尘套(单)</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106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更换转向拉杆(单)</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7"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107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更换转向拉杆球头(单)</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lang w:val="en-US"/>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108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调整前束</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109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更换分配阀</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110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更换助力油缸</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111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更换助力泵</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112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更换高压油管</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113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调整手刹</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66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114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更换制动总泵</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115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更换制动助力器</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53</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116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更换前制动硬管&lt;根&gt;</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66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117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更换ABS前制动硬管&lt;根&gt;</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66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118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更换前制动软管&lt;根&gt;</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66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119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更换后制动软管&lt;根&gt;</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66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120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更换手制动拉索(单)</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66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121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更换手制动拉索(双)</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122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更换前制动盘</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123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更换前制动分泵或卡钳&lt;单&gt;</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124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更换后制动分泵&lt;单&gt;</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125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更换ABS传感器&lt;单&gt;</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126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更换ABS电控单元</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127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更换干燥罐</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128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更换压力开关</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66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129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更换空调膨胀阀</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66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130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更换空调电脑</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131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更换压缩机电磁离合器</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66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132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更换压缩机皮带</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53</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133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更换压缩机皮带张紧轮</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134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加注制冷剂</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lang w:val="en-US"/>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135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更换鼓风机</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136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检修鼓风机</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137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更换冷凝器</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138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更换压缩机</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139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更换蒸发器</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140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更换空调高压管</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141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更换空调低压管</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79</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142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更换安全气囊电脑</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143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更换旋转开关</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144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更换灯光组合开关</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145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更换雨刮组合开关</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146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更换空调控制面板</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147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更换风道控制电机</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148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更换仪表灯泡</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53</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149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更换前围线束</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198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238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150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更换发动机线束</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198</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238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151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电瓶充电</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152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更换电瓶</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40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153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更换负极电缆</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40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154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更换正极电缆</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40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155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更换前雨刮电机或机构</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156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更换后雨刮电机或机构</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79</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106</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157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前照灯灯泡（单边）</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158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前转向灯泡（单边）</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159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前雾灯灯泡（单边）</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160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后尾灯灯泡（单边）</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13</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161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更换ABS线束</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162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更换发动机电脑</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163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更换智能控制盒</w:t>
            </w:r>
          </w:p>
        </w:tc>
        <w:tc>
          <w:tcPr>
            <w:tcW w:w="1401"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w:t>
            </w:r>
          </w:p>
        </w:tc>
        <w:tc>
          <w:tcPr>
            <w:tcW w:w="1472" w:type="dxa"/>
            <w:gridSpan w:val="2"/>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132</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158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164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kern w:val="0"/>
                <w:sz w:val="24"/>
                <w:szCs w:val="24"/>
                <w:highlight w:val="none"/>
                <w:lang w:val="en-US" w:eastAsia="zh-CN" w:bidi="ar-SA"/>
              </w:rPr>
            </w:pPr>
            <w:r>
              <w:rPr>
                <w:rFonts w:hint="eastAsia" w:ascii="仿宋_GB2312" w:hAnsi="仿宋_GB2312" w:eastAsia="仿宋_GB2312" w:cs="仿宋_GB2312"/>
                <w:kern w:val="0"/>
                <w:sz w:val="24"/>
                <w:szCs w:val="24"/>
                <w:highlight w:val="none"/>
                <w:lang w:val="en-US" w:eastAsia="zh-CN"/>
              </w:rPr>
              <w:t>免拆清洗刹车油路</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lang w:val="en-US" w:eastAsia="zh-CN" w:bidi="ar-SA"/>
              </w:rPr>
            </w:pPr>
            <w:r>
              <w:rPr>
                <w:rFonts w:hint="eastAsia" w:ascii="仿宋_GB2312" w:hAnsi="仿宋_GB2312" w:eastAsia="仿宋_GB2312" w:cs="仿宋_GB2312"/>
                <w:kern w:val="0"/>
                <w:sz w:val="24"/>
                <w:szCs w:val="24"/>
                <w:highlight w:val="none"/>
                <w:lang w:val="en-US" w:eastAsia="zh-CN"/>
              </w:rPr>
              <w:t>60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lang w:val="en-US" w:eastAsia="zh-CN" w:bidi="ar-SA"/>
              </w:rPr>
            </w:pPr>
            <w:r>
              <w:rPr>
                <w:rFonts w:hint="eastAsia" w:ascii="仿宋_GB2312" w:hAnsi="仿宋_GB2312" w:eastAsia="仿宋_GB2312" w:cs="仿宋_GB2312"/>
                <w:kern w:val="0"/>
                <w:sz w:val="24"/>
                <w:szCs w:val="24"/>
                <w:highlight w:val="none"/>
                <w:lang w:val="en-US" w:eastAsia="zh-CN"/>
              </w:rPr>
              <w:t>80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2"/>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100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2"/>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165</w:t>
            </w:r>
          </w:p>
        </w:tc>
        <w:tc>
          <w:tcPr>
            <w:tcW w:w="3141" w:type="dxa"/>
            <w:gridSpan w:val="3"/>
            <w:shd w:val="clear" w:color="auto" w:fill="auto"/>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检修倒车影像电器故障</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100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120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160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166</w:t>
            </w:r>
          </w:p>
        </w:tc>
        <w:tc>
          <w:tcPr>
            <w:tcW w:w="3141" w:type="dxa"/>
            <w:gridSpan w:val="3"/>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拆装前保险杠</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100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150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150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167</w:t>
            </w:r>
          </w:p>
        </w:tc>
        <w:tc>
          <w:tcPr>
            <w:tcW w:w="3141" w:type="dxa"/>
            <w:gridSpan w:val="3"/>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拆装后保险杠</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100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150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default" w:ascii="仿宋_GB2312" w:hAnsi="仿宋_GB2312" w:eastAsia="仿宋_GB2312" w:cs="仿宋_GB2312"/>
                <w:color w:val="000000"/>
                <w:kern w:val="0"/>
                <w:sz w:val="24"/>
                <w:highlight w:val="none"/>
                <w:lang w:val="en-US" w:eastAsia="zh-CN"/>
              </w:rPr>
              <w:t>1</w:t>
            </w:r>
            <w:r>
              <w:rPr>
                <w:rFonts w:hint="eastAsia" w:ascii="仿宋_GB2312" w:hAnsi="仿宋_GB2312" w:eastAsia="仿宋_GB2312" w:cs="仿宋_GB2312"/>
                <w:color w:val="000000"/>
                <w:kern w:val="0"/>
                <w:sz w:val="24"/>
                <w:highlight w:val="none"/>
                <w:lang w:val="en-US" w:eastAsia="zh-CN"/>
              </w:rPr>
              <w:t>50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168</w:t>
            </w:r>
          </w:p>
        </w:tc>
        <w:tc>
          <w:tcPr>
            <w:tcW w:w="3141" w:type="dxa"/>
            <w:gridSpan w:val="3"/>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更换大灯（个）</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72</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100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2"/>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100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2"/>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169</w:t>
            </w:r>
          </w:p>
        </w:tc>
        <w:tc>
          <w:tcPr>
            <w:tcW w:w="3141" w:type="dxa"/>
            <w:gridSpan w:val="3"/>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更换玻璃升降开关</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100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120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200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170</w:t>
            </w:r>
          </w:p>
        </w:tc>
        <w:tc>
          <w:tcPr>
            <w:tcW w:w="3141" w:type="dxa"/>
            <w:gridSpan w:val="3"/>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更换转向节</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100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120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120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171</w:t>
            </w:r>
          </w:p>
        </w:tc>
        <w:tc>
          <w:tcPr>
            <w:tcW w:w="3141" w:type="dxa"/>
            <w:gridSpan w:val="3"/>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刹车系统深化保养</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160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180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2"/>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200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2"/>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172</w:t>
            </w:r>
          </w:p>
        </w:tc>
        <w:tc>
          <w:tcPr>
            <w:tcW w:w="3141" w:type="dxa"/>
            <w:gridSpan w:val="3"/>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更换车顶篷</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120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160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200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173</w:t>
            </w:r>
          </w:p>
        </w:tc>
        <w:tc>
          <w:tcPr>
            <w:tcW w:w="3141" w:type="dxa"/>
            <w:gridSpan w:val="3"/>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更换车门外拉手</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100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120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160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174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更换后视镜</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60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80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2"/>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120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2"/>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175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电脑匹配/解码/软件修理</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300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500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600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176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发动机除碳</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200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240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240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177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空调检测检修</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400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480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480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178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更换喇叭</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60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80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80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179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免拆清洗蒸发箱</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160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160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200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180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换车门内拉手</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60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60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2"/>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80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2"/>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181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更换前挡风玻璃</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200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200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2"/>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200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2"/>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182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更换后挡风玻璃</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200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200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200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183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四轮保养</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200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240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280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184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免拆更换压缩机油</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120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160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200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185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检修车辆电器故障</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100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120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160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186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检修点烟器电器线路</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50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50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2"/>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80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2"/>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187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检修车门故障</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80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100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120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188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拆换燃油箱</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240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260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280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189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四轮定位</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150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180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kern w:val="0"/>
                <w:sz w:val="24"/>
                <w:szCs w:val="24"/>
                <w:highlight w:val="none"/>
                <w:lang w:val="en-US" w:eastAsia="zh-CN"/>
              </w:rPr>
              <w:t>200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190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换玻璃升降器</w:t>
            </w:r>
          </w:p>
        </w:tc>
        <w:tc>
          <w:tcPr>
            <w:tcW w:w="1401"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72</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120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144</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191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换节气门总成</w:t>
            </w:r>
          </w:p>
        </w:tc>
        <w:tc>
          <w:tcPr>
            <w:tcW w:w="1401"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72</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120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144</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192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换汽油滤芯（内置）</w:t>
            </w:r>
          </w:p>
        </w:tc>
        <w:tc>
          <w:tcPr>
            <w:tcW w:w="1401"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264</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286</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368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193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换轮胎</w:t>
            </w:r>
          </w:p>
        </w:tc>
        <w:tc>
          <w:tcPr>
            <w:tcW w:w="1401"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72</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72</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72</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194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换车速传感器</w:t>
            </w:r>
          </w:p>
        </w:tc>
        <w:tc>
          <w:tcPr>
            <w:tcW w:w="1401"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72</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120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144</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195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换氧传感器</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72</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120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144</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196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换涡轮增压散热管</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72</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120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144</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197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换涡轮增压器</w:t>
            </w:r>
          </w:p>
        </w:tc>
        <w:tc>
          <w:tcPr>
            <w:tcW w:w="1401"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264</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286</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368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198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换排挡机构</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264</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286</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368</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199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换手刹开关（电子）</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72</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120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144</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200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换手刹电机</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72</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120</w:t>
            </w:r>
          </w:p>
        </w:tc>
        <w:tc>
          <w:tcPr>
            <w:tcW w:w="14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144</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201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换车门锁块</w:t>
            </w:r>
          </w:p>
        </w:tc>
        <w:tc>
          <w:tcPr>
            <w:tcW w:w="1401"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50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50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80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202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换挡泥皮</w:t>
            </w:r>
          </w:p>
        </w:tc>
        <w:tc>
          <w:tcPr>
            <w:tcW w:w="1401"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30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30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40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203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换倒车雷达摄像头</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50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50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80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204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空调管道清洗</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50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50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80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205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全车打蜡</w:t>
            </w:r>
          </w:p>
        </w:tc>
        <w:tc>
          <w:tcPr>
            <w:tcW w:w="1401"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150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180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200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206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内饰美容</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150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180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200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207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换柴油格总成</w:t>
            </w:r>
          </w:p>
        </w:tc>
        <w:tc>
          <w:tcPr>
            <w:tcW w:w="1401"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80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100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120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208</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换油水分离器</w:t>
            </w:r>
          </w:p>
        </w:tc>
        <w:tc>
          <w:tcPr>
            <w:tcW w:w="1401"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120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140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160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209</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电路检查，清除故障码</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150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180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200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210</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全车打黄油</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80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100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120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211</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油泵油嘴调试</w:t>
            </w:r>
          </w:p>
        </w:tc>
        <w:tc>
          <w:tcPr>
            <w:tcW w:w="1401"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240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270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300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eastAsia" w:ascii="楷体_GB2312" w:hAnsi="楷体_GB2312" w:eastAsia="楷体_GB2312" w:cs="楷体_GB2312"/>
                <w:bCs/>
                <w:color w:val="000000"/>
                <w:kern w:val="0"/>
                <w:sz w:val="24"/>
                <w:highlight w:val="none"/>
                <w:lang w:bidi="ar"/>
              </w:rPr>
            </w:pPr>
            <w:r>
              <w:rPr>
                <w:rFonts w:hint="eastAsia" w:ascii="楷体_GB2312" w:hAnsi="宋体" w:eastAsia="楷体_GB2312" w:cs="楷体_GB2312"/>
                <w:i w:val="0"/>
                <w:iCs w:val="0"/>
                <w:color w:val="000000"/>
                <w:kern w:val="0"/>
                <w:sz w:val="24"/>
                <w:szCs w:val="24"/>
                <w:u w:val="none"/>
                <w:lang w:val="en-US" w:eastAsia="zh-CN" w:bidi="ar"/>
              </w:rPr>
              <w:t>212</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排气管清洗</w:t>
            </w:r>
          </w:p>
        </w:tc>
        <w:tc>
          <w:tcPr>
            <w:tcW w:w="1401"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150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180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200</w:t>
            </w:r>
          </w:p>
        </w:tc>
        <w:tc>
          <w:tcPr>
            <w:tcW w:w="1245"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szCs w:val="24"/>
                <w:highlight w:val="none"/>
                <w:shd w:val="clear" w:color="auto" w:fill="FFFF00"/>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hAnsi="楷体_GB2312" w:eastAsia="楷体_GB2312" w:cs="楷体_GB2312"/>
                <w:bCs/>
                <w:color w:val="000000"/>
                <w:kern w:val="0"/>
                <w:sz w:val="24"/>
                <w:highlight w:val="none"/>
                <w:lang w:val="en-US" w:eastAsia="zh-CN" w:bidi="ar"/>
              </w:rPr>
            </w:pPr>
            <w:r>
              <w:rPr>
                <w:rFonts w:hint="eastAsia" w:ascii="楷体_GB2312" w:hAnsi="楷体_GB2312" w:eastAsia="楷体_GB2312" w:cs="楷体_GB2312"/>
                <w:bCs/>
                <w:color w:val="000000"/>
                <w:kern w:val="0"/>
                <w:sz w:val="24"/>
                <w:highlight w:val="none"/>
                <w:lang w:val="en-US" w:eastAsia="zh-CN" w:bidi="ar"/>
              </w:rPr>
              <w:t>213</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油漆（1m</w:t>
            </w:r>
            <w:r>
              <w:rPr>
                <w:rFonts w:hint="eastAsia" w:ascii="仿宋_GB2312" w:hAnsi="仿宋_GB2312" w:eastAsia="仿宋_GB2312" w:cs="仿宋_GB2312"/>
                <w:color w:val="000000"/>
                <w:kern w:val="0"/>
                <w:sz w:val="24"/>
                <w:szCs w:val="24"/>
                <w:highlight w:val="none"/>
                <w:vertAlign w:val="superscript"/>
              </w:rPr>
              <w:t>2</w:t>
            </w:r>
            <w:r>
              <w:rPr>
                <w:rFonts w:hint="eastAsia" w:ascii="仿宋_GB2312" w:hAnsi="仿宋_GB2312" w:eastAsia="仿宋_GB2312" w:cs="仿宋_GB2312"/>
                <w:color w:val="000000"/>
                <w:kern w:val="0"/>
                <w:sz w:val="24"/>
                <w:szCs w:val="24"/>
                <w:highlight w:val="none"/>
              </w:rPr>
              <w:t>）</w:t>
            </w:r>
          </w:p>
        </w:tc>
        <w:tc>
          <w:tcPr>
            <w:tcW w:w="5571" w:type="dxa"/>
            <w:gridSpan w:val="5"/>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hAnsi="楷体_GB2312" w:eastAsia="楷体_GB2312" w:cs="楷体_GB2312"/>
                <w:bCs/>
                <w:color w:val="000000"/>
                <w:kern w:val="0"/>
                <w:sz w:val="24"/>
                <w:highlight w:val="none"/>
                <w:lang w:val="en-US" w:eastAsia="zh-CN" w:bidi="ar"/>
              </w:rPr>
            </w:pPr>
            <w:r>
              <w:rPr>
                <w:rFonts w:hint="eastAsia" w:ascii="楷体_GB2312" w:hAnsi="楷体_GB2312" w:eastAsia="楷体_GB2312" w:cs="楷体_GB2312"/>
                <w:bCs/>
                <w:color w:val="000000"/>
                <w:kern w:val="0"/>
                <w:sz w:val="24"/>
                <w:highlight w:val="none"/>
                <w:lang w:val="en-US" w:eastAsia="zh-CN" w:bidi="ar"/>
              </w:rPr>
              <w:t>214</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装警灯</w:t>
            </w:r>
          </w:p>
        </w:tc>
        <w:tc>
          <w:tcPr>
            <w:tcW w:w="5571" w:type="dxa"/>
            <w:gridSpan w:val="5"/>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hAnsi="楷体_GB2312" w:eastAsia="楷体_GB2312" w:cs="楷体_GB2312"/>
                <w:bCs/>
                <w:color w:val="000000"/>
                <w:kern w:val="0"/>
                <w:sz w:val="24"/>
                <w:highlight w:val="none"/>
                <w:lang w:val="en-US" w:eastAsia="zh-CN" w:bidi="ar"/>
              </w:rPr>
            </w:pPr>
            <w:r>
              <w:rPr>
                <w:rFonts w:hint="eastAsia" w:ascii="楷体_GB2312" w:hAnsi="楷体_GB2312" w:eastAsia="楷体_GB2312" w:cs="楷体_GB2312"/>
                <w:bCs/>
                <w:color w:val="000000"/>
                <w:kern w:val="0"/>
                <w:sz w:val="24"/>
                <w:highlight w:val="none"/>
                <w:lang w:val="en-US" w:eastAsia="zh-CN" w:bidi="ar"/>
              </w:rPr>
              <w:t>215</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换警报器手柄</w:t>
            </w:r>
          </w:p>
        </w:tc>
        <w:tc>
          <w:tcPr>
            <w:tcW w:w="5571" w:type="dxa"/>
            <w:gridSpan w:val="5"/>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hAnsi="楷体_GB2312" w:eastAsia="楷体_GB2312" w:cs="楷体_GB2312"/>
                <w:bCs/>
                <w:color w:val="000000"/>
                <w:kern w:val="0"/>
                <w:sz w:val="24"/>
                <w:highlight w:val="none"/>
                <w:lang w:val="en-US" w:eastAsia="zh-CN" w:bidi="ar"/>
              </w:rPr>
            </w:pPr>
            <w:r>
              <w:rPr>
                <w:rFonts w:hint="eastAsia" w:ascii="楷体_GB2312" w:hAnsi="楷体_GB2312" w:eastAsia="楷体_GB2312" w:cs="楷体_GB2312"/>
                <w:bCs/>
                <w:color w:val="000000"/>
                <w:kern w:val="0"/>
                <w:sz w:val="24"/>
                <w:highlight w:val="none"/>
                <w:lang w:val="en-US" w:eastAsia="zh-CN" w:bidi="ar"/>
              </w:rPr>
              <w:t>216</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装警报器主机</w:t>
            </w:r>
          </w:p>
        </w:tc>
        <w:tc>
          <w:tcPr>
            <w:tcW w:w="5571" w:type="dxa"/>
            <w:gridSpan w:val="5"/>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hAnsi="楷体_GB2312" w:eastAsia="楷体_GB2312" w:cs="楷体_GB2312"/>
                <w:bCs/>
                <w:color w:val="000000"/>
                <w:kern w:val="0"/>
                <w:sz w:val="24"/>
                <w:highlight w:val="none"/>
                <w:lang w:val="en-US" w:eastAsia="zh-CN" w:bidi="ar"/>
              </w:rPr>
            </w:pPr>
            <w:r>
              <w:rPr>
                <w:rFonts w:hint="eastAsia" w:ascii="楷体_GB2312" w:hAnsi="楷体_GB2312" w:eastAsia="楷体_GB2312" w:cs="楷体_GB2312"/>
                <w:bCs/>
                <w:color w:val="000000"/>
                <w:kern w:val="0"/>
                <w:sz w:val="24"/>
                <w:highlight w:val="none"/>
                <w:lang w:val="en-US" w:eastAsia="zh-CN" w:bidi="ar"/>
              </w:rPr>
              <w:t>217</w:t>
            </w:r>
          </w:p>
        </w:tc>
        <w:tc>
          <w:tcPr>
            <w:tcW w:w="3141" w:type="dxa"/>
            <w:gridSpan w:val="3"/>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其他维修项</w:t>
            </w:r>
          </w:p>
        </w:tc>
        <w:tc>
          <w:tcPr>
            <w:tcW w:w="1401"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250</w:t>
            </w:r>
          </w:p>
        </w:tc>
        <w:tc>
          <w:tcPr>
            <w:tcW w:w="1472" w:type="dxa"/>
            <w:gridSpan w:val="2"/>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300</w:t>
            </w:r>
          </w:p>
        </w:tc>
        <w:tc>
          <w:tcPr>
            <w:tcW w:w="1453" w:type="dxa"/>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350</w:t>
            </w:r>
          </w:p>
        </w:tc>
        <w:tc>
          <w:tcPr>
            <w:tcW w:w="1245"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500</w:t>
            </w:r>
          </w:p>
        </w:tc>
      </w:tr>
    </w:tbl>
    <w:p>
      <w:pPr>
        <w:rPr>
          <w:rFonts w:hint="default"/>
          <w:lang w:val="en-US" w:eastAsia="zh-CN"/>
        </w:rPr>
      </w:pPr>
    </w:p>
    <w:p>
      <w:pPr>
        <w:pStyle w:val="3"/>
        <w:numPr>
          <w:ilvl w:val="0"/>
          <w:numId w:val="0"/>
        </w:numPr>
        <w:spacing w:before="240" w:after="120"/>
        <w:ind w:leftChars="-200"/>
        <w:jc w:val="both"/>
        <w:rPr>
          <w:rFonts w:hint="eastAsia" w:ascii="仿宋" w:hAnsi="仿宋" w:eastAsia="仿宋" w:cs="仿宋"/>
          <w:color w:val="auto"/>
          <w:sz w:val="32"/>
          <w:szCs w:val="32"/>
          <w:lang w:val="en-US" w:eastAsia="zh-CN"/>
        </w:rPr>
      </w:pPr>
      <w:bookmarkStart w:id="5" w:name="_Toc494664993"/>
      <w:bookmarkStart w:id="6" w:name="_Toc5611"/>
      <w:bookmarkStart w:id="7" w:name="_Toc494702263"/>
      <w:bookmarkStart w:id="8" w:name="_Toc494721093"/>
      <w:bookmarkStart w:id="9" w:name="_Toc494665943"/>
      <w:bookmarkStart w:id="10" w:name="_Toc494745310"/>
      <w:bookmarkStart w:id="11" w:name="_Toc494665546"/>
      <w:r>
        <w:rPr>
          <w:rFonts w:hint="eastAsia" w:ascii="仿宋" w:hAnsi="仿宋" w:eastAsia="仿宋" w:cs="仿宋"/>
          <w:color w:val="auto"/>
          <w:sz w:val="32"/>
          <w:szCs w:val="32"/>
          <w:lang w:val="en-US" w:eastAsia="zh-CN"/>
        </w:rPr>
        <w:t>三、确定入围及成交供应商</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一、确定第一阶段入围供应商的评审方法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确定第一阶段入围供应商的评审方法为价格优先法。价格优先法是指对满足采购需求且响应报价不超过最高限制单价的产品，按照响应报价从低到高排序，根据征集文件规定的淘汰率或者入围供应商数量上限，确定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2、入围供应商的淘汰比例：20%，且至少淘汰一家供应商（提交响应文件和符合资格条件、实质性要求的供应商少于2家时，采购活动终止）。</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w:t>
      </w:r>
      <w:r>
        <w:rPr>
          <w:rFonts w:hint="default" w:ascii="仿宋" w:hAnsi="仿宋" w:eastAsia="仿宋" w:cs="仿宋"/>
          <w:bCs/>
          <w:color w:val="auto"/>
          <w:sz w:val="24"/>
          <w:szCs w:val="24"/>
          <w:lang w:val="en-US" w:eastAsia="zh-CN"/>
        </w:rPr>
        <w:t>若计算的淘汰数非整数，则按照向上取整原则进行处理。即，淘汰数量=向上取整[供应商数量×20%]（示例：如有11家供应商投标</w:t>
      </w:r>
      <w:r>
        <w:rPr>
          <w:rFonts w:hint="eastAsia" w:ascii="仿宋" w:hAnsi="仿宋" w:eastAsia="仿宋" w:cs="仿宋"/>
          <w:bCs/>
          <w:color w:val="auto"/>
          <w:sz w:val="24"/>
          <w:szCs w:val="24"/>
          <w:lang w:val="en-US" w:eastAsia="zh-CN"/>
        </w:rPr>
        <w:t>，淘汰数量=向上取整</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11</w:t>
      </w:r>
      <w:r>
        <w:rPr>
          <w:rFonts w:hint="default" w:ascii="仿宋" w:hAnsi="仿宋" w:eastAsia="仿宋" w:cs="仿宋"/>
          <w:bCs/>
          <w:color w:val="auto"/>
          <w:sz w:val="24"/>
          <w:szCs w:val="24"/>
          <w:lang w:val="en-US" w:eastAsia="zh-CN"/>
        </w:rPr>
        <w:t>×20%]=向上取整[</w:t>
      </w:r>
      <w:r>
        <w:rPr>
          <w:rFonts w:hint="eastAsia" w:ascii="仿宋" w:hAnsi="仿宋" w:eastAsia="仿宋" w:cs="仿宋"/>
          <w:bCs/>
          <w:color w:val="auto"/>
          <w:sz w:val="24"/>
          <w:szCs w:val="24"/>
          <w:lang w:val="en-US" w:eastAsia="zh-CN"/>
        </w:rPr>
        <w:t>2.2</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=3</w:t>
      </w:r>
      <w:r>
        <w:rPr>
          <w:rFonts w:hint="default" w:ascii="仿宋" w:hAnsi="仿宋" w:eastAsia="仿宋" w:cs="仿宋"/>
          <w:bCs/>
          <w:color w:val="auto"/>
          <w:sz w:val="24"/>
          <w:szCs w:val="24"/>
          <w:lang w:val="en-US" w:eastAsia="zh-CN"/>
        </w:rPr>
        <w:t>,最终实际淘汰3家供应商）</w:t>
      </w:r>
      <w:r>
        <w:rPr>
          <w:rFonts w:hint="eastAsia" w:ascii="仿宋" w:hAnsi="仿宋" w:eastAsia="仿宋" w:cs="仿宋"/>
          <w:bCs/>
          <w:color w:val="auto"/>
          <w:sz w:val="24"/>
          <w:szCs w:val="24"/>
          <w:lang w:val="en-US" w:eastAsia="zh-CN"/>
        </w:rPr>
        <w:t>；</w:t>
      </w:r>
    </w:p>
    <w:p>
      <w:pPr>
        <w:numPr>
          <w:ilvl w:val="0"/>
          <w:numId w:val="0"/>
        </w:numPr>
        <w:spacing w:line="440" w:lineRule="exact"/>
        <w:ind w:firstLine="480" w:firstLineChars="200"/>
        <w:rPr>
          <w:rFonts w:hint="eastAsia"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lang w:val="en-US" w:eastAsia="zh-CN"/>
        </w:rPr>
        <w:t>若按淘汰率得出的淘汰名次存在并列排序，</w:t>
      </w:r>
      <w:r>
        <w:rPr>
          <w:rFonts w:hint="eastAsia" w:ascii="仿宋" w:hAnsi="仿宋" w:eastAsia="仿宋" w:cs="仿宋"/>
          <w:bCs/>
          <w:sz w:val="24"/>
          <w:szCs w:val="24"/>
          <w:highlight w:val="none"/>
        </w:rPr>
        <w:t>采取随机抽取方式确定供应商排序</w:t>
      </w:r>
      <w:r>
        <w:rPr>
          <w:rFonts w:hint="eastAsia" w:ascii="仿宋" w:hAnsi="仿宋" w:eastAsia="仿宋" w:cs="仿宋"/>
          <w:bCs/>
          <w:sz w:val="24"/>
          <w:szCs w:val="24"/>
          <w:highlight w:val="none"/>
          <w:lang w:eastAsia="zh-CN"/>
        </w:rPr>
        <w:t>。</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政府采购政策功能落实</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1、小微型企业价格扣除</w:t>
      </w:r>
    </w:p>
    <w:p>
      <w:pPr>
        <w:numPr>
          <w:ilvl w:val="0"/>
          <w:numId w:val="0"/>
        </w:numPr>
        <w:spacing w:line="440" w:lineRule="exact"/>
        <w:ind w:firstLine="480" w:firstLineChars="200"/>
        <w:rPr>
          <w:rFonts w:hint="default"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（1）本项目对小型和微型企业产品给予</w:t>
      </w:r>
      <w:r>
        <w:rPr>
          <w:rFonts w:hint="eastAsia" w:ascii="仿宋" w:hAnsi="仿宋" w:eastAsia="仿宋" w:cs="仿宋"/>
          <w:bCs/>
          <w:sz w:val="24"/>
          <w:szCs w:val="24"/>
          <w:highlight w:val="none"/>
          <w:lang w:val="en-US" w:eastAsia="zh-CN"/>
        </w:rPr>
        <w:t>10%</w:t>
      </w:r>
      <w:r>
        <w:rPr>
          <w:rFonts w:hint="default" w:ascii="仿宋" w:hAnsi="仿宋" w:eastAsia="仿宋" w:cs="仿宋"/>
          <w:bCs/>
          <w:color w:val="auto"/>
          <w:sz w:val="24"/>
          <w:szCs w:val="24"/>
          <w:highlight w:val="none"/>
          <w:lang w:val="en-US" w:eastAsia="zh-CN"/>
        </w:rPr>
        <w:t>的扣除价格，用扣除后的价格参与排序。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（2）供应商需按照征集文件的要求提供相应的《</w:t>
      </w:r>
      <w:r>
        <w:rPr>
          <w:rFonts w:hint="eastAsia" w:ascii="仿宋" w:hAnsi="仿宋" w:eastAsia="仿宋" w:cs="仿宋"/>
          <w:bCs/>
          <w:color w:val="auto"/>
          <w:sz w:val="24"/>
          <w:szCs w:val="24"/>
          <w:highlight w:val="none"/>
          <w:lang w:val="en-US" w:eastAsia="zh-CN"/>
        </w:rPr>
        <w:t>中小</w:t>
      </w:r>
      <w:r>
        <w:rPr>
          <w:rFonts w:hint="default" w:ascii="仿宋" w:hAnsi="仿宋" w:eastAsia="仿宋" w:cs="仿宋"/>
          <w:bCs/>
          <w:color w:val="auto"/>
          <w:sz w:val="24"/>
          <w:szCs w:val="24"/>
          <w:highlight w:val="none"/>
          <w:lang w:val="en-US" w:eastAsia="zh-CN"/>
        </w:rPr>
        <w:t>企业声明函》。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（1）本项目对残疾人福利性单位视同小型、微型企业，给予</w:t>
      </w:r>
      <w:r>
        <w:rPr>
          <w:rFonts w:hint="eastAsia" w:ascii="仿宋" w:hAnsi="仿宋" w:eastAsia="仿宋" w:cs="仿宋"/>
          <w:bCs/>
          <w:sz w:val="24"/>
          <w:szCs w:val="24"/>
          <w:highlight w:val="none"/>
          <w:lang w:val="en-US" w:eastAsia="zh-CN"/>
        </w:rPr>
        <w:t>10%</w:t>
      </w:r>
      <w:r>
        <w:rPr>
          <w:rFonts w:hint="default" w:ascii="仿宋" w:hAnsi="仿宋" w:eastAsia="仿宋" w:cs="仿宋"/>
          <w:bCs/>
          <w:color w:val="auto"/>
          <w:sz w:val="24"/>
          <w:szCs w:val="24"/>
          <w:lang w:val="en-US" w:eastAsia="zh-CN"/>
        </w:rPr>
        <w:t>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（2）残疾人福利单位需按照征集文件的要求提供《残疾人福利性单位声明函》。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（3）残疾人福利单位标准请参照《关于促进残疾人就业政府采购政策的通知》（财库〔2017〕141号）。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3、监狱和戒毒企业价格扣除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（1）本项目对监狱和戒毒企业（简称监狱企业）视同小型、微型企业，给予</w:t>
      </w:r>
      <w:r>
        <w:rPr>
          <w:rFonts w:hint="eastAsia" w:ascii="仿宋" w:hAnsi="仿宋" w:eastAsia="仿宋" w:cs="仿宋"/>
          <w:bCs/>
          <w:sz w:val="24"/>
          <w:szCs w:val="24"/>
          <w:highlight w:val="none"/>
          <w:lang w:val="en-US" w:eastAsia="zh-CN"/>
        </w:rPr>
        <w:t>10%</w:t>
      </w:r>
      <w:r>
        <w:rPr>
          <w:rFonts w:hint="default" w:ascii="仿宋" w:hAnsi="仿宋" w:eastAsia="仿宋" w:cs="仿宋"/>
          <w:bCs/>
          <w:color w:val="auto"/>
          <w:sz w:val="24"/>
          <w:szCs w:val="24"/>
          <w:lang w:val="en-US" w:eastAsia="zh-CN"/>
        </w:rPr>
        <w:t>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（2）监狱企业参加政府采购活动时，需提供由省级以上监狱管理局、戒毒管理局(含新疆生产建设兵团)出具的属于监狱企业的证明文件。供应商如不提供上述证明文件，价格将不做相应扣除。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（3）监狱企业标准请参照《关于政府采购支持监狱企业发展有关问题的通知》（财库[2014]68号）</w:t>
      </w:r>
      <w:r>
        <w:rPr>
          <w:rFonts w:hint="eastAsia" w:ascii="仿宋" w:hAnsi="仿宋" w:eastAsia="仿宋" w:cs="仿宋"/>
          <w:bCs/>
          <w:color w:val="auto"/>
          <w:sz w:val="24"/>
          <w:szCs w:val="24"/>
          <w:lang w:val="en-US" w:eastAsia="zh-CN"/>
        </w:rPr>
        <w:t>。</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4、残疾人福利单位、监狱企业属于小型、微型企业的，不重复享受政策。</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二、确定第二阶段成交供应商的方式</w:t>
      </w:r>
    </w:p>
    <w:p>
      <w:pPr>
        <w:keepNext w:val="0"/>
        <w:keepLines w:val="0"/>
        <w:widowControl w:val="0"/>
        <w:numPr>
          <w:ilvl w:val="0"/>
          <w:numId w:val="0"/>
        </w:numPr>
        <w:suppressLineNumbers w:val="0"/>
        <w:spacing w:before="0" w:beforeAutospacing="0" w:after="0" w:afterAutospacing="0" w:line="460" w:lineRule="exact"/>
        <w:ind w:leftChars="0" w:right="0" w:rightChars="0" w:firstLine="480" w:firstLineChars="200"/>
        <w:jc w:val="both"/>
        <w:rPr>
          <w:rFonts w:hint="default" w:ascii="华文仿宋" w:hAnsi="华文仿宋" w:eastAsia="华文仿宋" w:cs="Times New Roman"/>
          <w:sz w:val="24"/>
          <w:szCs w:val="24"/>
        </w:rPr>
      </w:pPr>
      <w:r>
        <w:rPr>
          <w:rFonts w:hint="default" w:ascii="仿宋" w:hAnsi="仿宋" w:eastAsia="仿宋" w:cs="仿宋"/>
          <w:bCs/>
          <w:sz w:val="24"/>
          <w:szCs w:val="24"/>
          <w:lang w:val="en-US" w:eastAsia="zh-CN"/>
        </w:rPr>
        <w:t>1.确定第二阶段成交供应商的方式为</w:t>
      </w:r>
      <w:r>
        <w:rPr>
          <w:rStyle w:val="13"/>
          <w:rFonts w:hint="default" w:ascii="华文仿宋" w:hAnsi="华文仿宋" w:eastAsia="华文仿宋" w:cs="华文仿宋"/>
          <w:kern w:val="2"/>
          <w:sz w:val="24"/>
          <w:szCs w:val="24"/>
          <w:lang w:val="en-US" w:eastAsia="zh-CN" w:bidi="ar"/>
        </w:rPr>
        <w:t>直接选定和二次竞价。</w:t>
      </w:r>
    </w:p>
    <w:p>
      <w:pPr>
        <w:keepNext w:val="0"/>
        <w:keepLines w:val="0"/>
        <w:widowControl w:val="0"/>
        <w:suppressLineNumbers w:val="0"/>
        <w:spacing w:before="0" w:beforeAutospacing="0" w:after="0" w:afterAutospacing="0" w:line="460" w:lineRule="exact"/>
        <w:ind w:left="0" w:leftChars="0" w:right="0"/>
        <w:jc w:val="both"/>
        <w:rPr>
          <w:rFonts w:hint="default" w:ascii="华文仿宋" w:hAnsi="华文仿宋" w:eastAsia="华文仿宋" w:cs="Times New Roman"/>
          <w:sz w:val="24"/>
          <w:szCs w:val="24"/>
        </w:rPr>
      </w:pPr>
      <w:r>
        <w:rPr>
          <w:rStyle w:val="13"/>
          <w:rFonts w:hint="default" w:ascii="华文仿宋" w:hAnsi="华文仿宋" w:eastAsia="华文仿宋" w:cs="华文仿宋"/>
          <w:b/>
          <w:bCs/>
          <w:kern w:val="2"/>
          <w:sz w:val="24"/>
          <w:szCs w:val="24"/>
          <w:u w:val="none"/>
          <w:lang w:eastAsia="zh-CN" w:bidi="ar"/>
        </w:rPr>
        <w:t xml:space="preserve">    </w:t>
      </w:r>
      <w:r>
        <w:rPr>
          <w:rStyle w:val="13"/>
          <w:rFonts w:hint="default" w:ascii="华文仿宋" w:hAnsi="华文仿宋" w:eastAsia="华文仿宋" w:cs="华文仿宋"/>
          <w:b/>
          <w:bCs/>
          <w:kern w:val="2"/>
          <w:sz w:val="24"/>
          <w:szCs w:val="24"/>
          <w:u w:val="single"/>
          <w:lang w:val="en-US" w:eastAsia="zh-CN" w:bidi="ar"/>
        </w:rPr>
        <w:t>直接选定</w:t>
      </w:r>
      <w:r>
        <w:rPr>
          <w:rStyle w:val="13"/>
          <w:rFonts w:hint="default" w:ascii="华文仿宋" w:hAnsi="华文仿宋" w:eastAsia="华文仿宋" w:cs="华文仿宋"/>
          <w:kern w:val="2"/>
          <w:sz w:val="24"/>
          <w:szCs w:val="24"/>
          <w:lang w:val="en-US" w:eastAsia="zh-CN" w:bidi="ar"/>
        </w:rPr>
        <w:t>是确定第二阶段成交供应商的主要方式，由采购人或者服务对象依据入围产品价格、质量以及服务便利性、用户评价等因素，从第一阶段入围供应商中直接选定。第一阶段入围供应商的协议价格（有量价关系折扣的，包括量价关系折扣）是采购人确定第二阶段成交供应商的最高限价。</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Style w:val="13"/>
          <w:rFonts w:hint="default" w:ascii="华文仿宋" w:hAnsi="华文仿宋" w:eastAsia="华文仿宋" w:cs="华文仿宋"/>
          <w:b/>
          <w:bCs/>
          <w:kern w:val="2"/>
          <w:sz w:val="24"/>
          <w:szCs w:val="24"/>
          <w:u w:val="single"/>
          <w:lang w:val="en-US" w:eastAsia="zh-CN" w:bidi="ar"/>
        </w:rPr>
        <w:t>二次竞价</w:t>
      </w:r>
      <w:r>
        <w:rPr>
          <w:rStyle w:val="13"/>
          <w:rFonts w:hint="default" w:ascii="华文仿宋" w:hAnsi="华文仿宋" w:eastAsia="华文仿宋" w:cs="华文仿宋"/>
          <w:kern w:val="2"/>
          <w:sz w:val="24"/>
          <w:szCs w:val="24"/>
          <w:lang w:val="en-US" w:eastAsia="zh-CN" w:bidi="ar"/>
        </w:rPr>
        <w:t>是指以框架协议约定的入围产品、采购合同文本等为依据，以协议价格为最高限价，采购人明确第二阶段竞价需求，从入围供应商中选择所有符合竞价需求的供应商参与二次竞价，确定报价最低的为成交供应商的方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2.采购人在确定成交供应商后，双方应当按照框架协议中规定的“采购合同文本”格式签订电子采购合同，不得擅自改变框架协议约定的合同实质性条款。</w:t>
      </w:r>
    </w:p>
    <w:p>
      <w:p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仿宋" w:hAnsi="仿宋" w:eastAsia="仿宋" w:cs="仿宋"/>
          <w:bCs/>
          <w:color w:val="auto"/>
          <w:sz w:val="24"/>
          <w:szCs w:val="24"/>
          <w:lang w:val="en-US" w:eastAsia="zh-CN"/>
        </w:rPr>
        <w:br w:type="page"/>
      </w:r>
    </w:p>
    <w:bookmarkEnd w:id="5"/>
    <w:bookmarkEnd w:id="6"/>
    <w:bookmarkEnd w:id="7"/>
    <w:bookmarkEnd w:id="8"/>
    <w:bookmarkEnd w:id="9"/>
    <w:bookmarkEnd w:id="10"/>
    <w:bookmarkEnd w:id="11"/>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8D9535"/>
    <w:multiLevelType w:val="singleLevel"/>
    <w:tmpl w:val="CE8D9535"/>
    <w:lvl w:ilvl="0" w:tentative="0">
      <w:start w:val="2"/>
      <w:numFmt w:val="chineseCounting"/>
      <w:suff w:val="nothing"/>
      <w:lvlText w:val="%1、"/>
      <w:lvlJc w:val="left"/>
      <w:rPr>
        <w:rFonts w:hint="eastAsia"/>
      </w:rPr>
    </w:lvl>
  </w:abstractNum>
  <w:abstractNum w:abstractNumId="1">
    <w:nsid w:val="5069D7A0"/>
    <w:multiLevelType w:val="singleLevel"/>
    <w:tmpl w:val="5069D7A0"/>
    <w:lvl w:ilvl="0" w:tentative="0">
      <w:start w:val="1"/>
      <w:numFmt w:val="decimal"/>
      <w:suff w:val="space"/>
      <w:lvlText w:val="（%1）"/>
      <w:lvlJc w:val="left"/>
      <w:pPr>
        <w:tabs>
          <w:tab w:val="left" w:pos="399"/>
        </w:tabs>
        <w:ind w:left="425" w:leftChars="0" w:hanging="425" w:firstLineChars="0"/>
      </w:pPr>
      <w:rPr>
        <w:rFonts w:hint="default"/>
      </w:rPr>
    </w:lvl>
  </w:abstractNum>
  <w:abstractNum w:abstractNumId="2">
    <w:nsid w:val="54E3A022"/>
    <w:multiLevelType w:val="singleLevel"/>
    <w:tmpl w:val="54E3A022"/>
    <w:lvl w:ilvl="0" w:tentative="0">
      <w:start w:val="1"/>
      <w:numFmt w:val="decimal"/>
      <w:lvlText w:val="%1."/>
      <w:lvlJc w:val="left"/>
      <w:pPr>
        <w:ind w:left="425" w:hanging="425"/>
      </w:pPr>
      <w:rPr>
        <w:rFonts w:hint="default"/>
      </w:rPr>
    </w:lvl>
  </w:abstractNum>
  <w:abstractNum w:abstractNumId="3">
    <w:nsid w:val="68D6FC8E"/>
    <w:multiLevelType w:val="multilevel"/>
    <w:tmpl w:val="68D6FC8E"/>
    <w:lvl w:ilvl="0" w:tentative="0">
      <w:start w:val="1"/>
      <w:numFmt w:val="chineseCountingThousand"/>
      <w:lvlText w:val="%1、"/>
      <w:lvlJc w:val="left"/>
      <w:pPr>
        <w:ind w:left="420" w:hanging="420"/>
      </w:pPr>
      <w:rPr>
        <w:rFonts w:hint="eastAsia"/>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76FA2D85"/>
    <w:rsid w:val="038A43EC"/>
    <w:rsid w:val="07411781"/>
    <w:rsid w:val="0E9D2273"/>
    <w:rsid w:val="0F84726A"/>
    <w:rsid w:val="15C717A5"/>
    <w:rsid w:val="166B6F35"/>
    <w:rsid w:val="18A3745C"/>
    <w:rsid w:val="1A3C0AD3"/>
    <w:rsid w:val="20F16CFC"/>
    <w:rsid w:val="282D7A39"/>
    <w:rsid w:val="302A2ADA"/>
    <w:rsid w:val="35BF3C3A"/>
    <w:rsid w:val="35F50B22"/>
    <w:rsid w:val="367762DD"/>
    <w:rsid w:val="3A923FCA"/>
    <w:rsid w:val="401C6613"/>
    <w:rsid w:val="4775284F"/>
    <w:rsid w:val="489124FE"/>
    <w:rsid w:val="4D4715DE"/>
    <w:rsid w:val="4F2730ED"/>
    <w:rsid w:val="50311133"/>
    <w:rsid w:val="562540F6"/>
    <w:rsid w:val="5C8507B6"/>
    <w:rsid w:val="5F3921AF"/>
    <w:rsid w:val="5FF2477F"/>
    <w:rsid w:val="5FF2C981"/>
    <w:rsid w:val="5FFF3537"/>
    <w:rsid w:val="69DF215A"/>
    <w:rsid w:val="6E450D58"/>
    <w:rsid w:val="6E9D5C12"/>
    <w:rsid w:val="747B795B"/>
    <w:rsid w:val="767C4B6A"/>
    <w:rsid w:val="76FA2D85"/>
    <w:rsid w:val="773000DE"/>
    <w:rsid w:val="7DF36B26"/>
    <w:rsid w:val="7F106D5C"/>
    <w:rsid w:val="7F7FE896"/>
    <w:rsid w:val="F37F703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0">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toc 2"/>
    <w:basedOn w:val="1"/>
    <w:next w:val="1"/>
    <w:unhideWhenUsed/>
    <w:qFormat/>
    <w:uiPriority w:val="39"/>
    <w:pPr>
      <w:widowControl/>
      <w:tabs>
        <w:tab w:val="left" w:pos="756"/>
        <w:tab w:val="left" w:pos="966"/>
        <w:tab w:val="left" w:pos="1204"/>
        <w:tab w:val="left" w:pos="1442"/>
        <w:tab w:val="right" w:leader="dot" w:pos="9514"/>
      </w:tabs>
      <w:spacing w:line="276" w:lineRule="auto"/>
      <w:ind w:left="220"/>
      <w:jc w:val="left"/>
    </w:pPr>
    <w:rPr>
      <w:rFonts w:ascii="宋体" w:hAnsi="宋体"/>
      <w:kern w:val="0"/>
      <w:sz w:val="24"/>
    </w:rPr>
  </w:style>
  <w:style w:type="paragraph" w:styleId="5">
    <w:name w:val="annotation text"/>
    <w:basedOn w:val="1"/>
    <w:qFormat/>
    <w:uiPriority w:val="0"/>
    <w:pPr>
      <w:jc w:val="left"/>
    </w:pPr>
  </w:style>
  <w:style w:type="paragraph" w:styleId="6">
    <w:name w:val="Body Text"/>
    <w:basedOn w:val="1"/>
    <w:next w:val="1"/>
    <w:semiHidden/>
    <w:unhideWhenUsed/>
    <w:qFormat/>
    <w:uiPriority w:val="99"/>
    <w:pPr>
      <w:spacing w:after="120"/>
    </w:pPr>
  </w:style>
  <w:style w:type="paragraph" w:styleId="7">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keepNext w:val="0"/>
      <w:keepLines w:val="0"/>
      <w:widowControl/>
      <w:suppressLineNumbers w:val="0"/>
      <w:spacing w:before="0" w:beforeAutospacing="0" w:after="0" w:afterAutospacing="0"/>
      <w:ind w:left="0" w:right="0"/>
    </w:pPr>
    <w:rPr>
      <w:rFonts w:hint="default" w:ascii="Times New Roman" w:hAnsi="Times New Roman" w:eastAsia="宋体"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tcPr>
      <w:tcBorders>
        <w:top w:val="single" w:color="000000" w:sz="4" w:space="0"/>
        <w:left w:val="single" w:color="000000" w:sz="4" w:space="0"/>
        <w:bottom w:val="single" w:color="000000" w:sz="4" w:space="0"/>
        <w:right w:val="single" w:color="000000" w:sz="4" w:space="0"/>
      </w:tcBorders>
    </w:tcPr>
  </w:style>
  <w:style w:type="paragraph" w:customStyle="1" w:styleId="11">
    <w:name w:val="01 正文-首行缩进2字符"/>
    <w:basedOn w:val="1"/>
    <w:qFormat/>
    <w:uiPriority w:val="0"/>
    <w:pPr>
      <w:spacing w:before="50" w:beforeLines="50" w:after="50" w:afterLines="50" w:line="360" w:lineRule="auto"/>
      <w:ind w:firstLine="200" w:firstLineChars="200"/>
    </w:pPr>
    <w:rPr>
      <w:rFonts w:ascii="Arial" w:hAnsi="Arial" w:eastAsia="宋体"/>
      <w:color w:val="000000"/>
      <w:sz w:val="24"/>
    </w:rPr>
  </w:style>
  <w:style w:type="character" w:customStyle="1" w:styleId="12">
    <w:name w:val="fontstyle21"/>
    <w:basedOn w:val="10"/>
    <w:qFormat/>
    <w:uiPriority w:val="0"/>
    <w:rPr>
      <w:rFonts w:hint="eastAsia" w:ascii="华文仿宋" w:hAnsi="华文仿宋" w:eastAsia="华文仿宋"/>
      <w:color w:val="000000"/>
      <w:sz w:val="28"/>
      <w:szCs w:val="28"/>
    </w:rPr>
  </w:style>
  <w:style w:type="character" w:customStyle="1" w:styleId="13">
    <w:name w:val="15"/>
    <w:basedOn w:val="10"/>
    <w:qFormat/>
    <w:uiPriority w:val="0"/>
    <w:rPr>
      <w:rFonts w:hint="default" w:ascii="华文仿宋" w:hAnsi="华文仿宋" w:eastAsia="华文仿宋" w:cs="华文仿宋"/>
      <w:color w:val="000000"/>
      <w:sz w:val="28"/>
      <w:szCs w:val="28"/>
    </w:rPr>
  </w:style>
  <w:style w:type="character" w:customStyle="1" w:styleId="14">
    <w:name w:val="10"/>
    <w:basedOn w:val="10"/>
    <w:qFormat/>
    <w:uiPriority w:val="0"/>
    <w:rPr>
      <w:rFonts w:hint="default" w:ascii="Calibri" w:hAnsi="Calibri" w:cs="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6390</Words>
  <Characters>8280</Characters>
  <Lines>1</Lines>
  <Paragraphs>1</Paragraphs>
  <TotalTime>0</TotalTime>
  <ScaleCrop>false</ScaleCrop>
  <LinksUpToDate>false</LinksUpToDate>
  <CharactersWithSpaces>8292</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2022-08-25T06:07:00Z</dcterms:created>
  <dc:creator>张三</dc:creator>
  <cp:lastModifiedBy>胡靖</cp:lastModifiedBy>
  <dcterms:modified xsi:type="dcterms:W3CDTF">2023-12-12T09:08:20Z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D798C26A131941028329D8CBCE280E2F</vt:lpwstr>
  </property>
</Properties>
</file>