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1050" w:leftChars="0"/>
        <w:jc w:val="center"/>
        <w:rPr>
          <w:rFonts w:hint="default" w:ascii="黑体" w:hAnsi="黑体" w:eastAsia="黑体" w:cs="黑体"/>
          <w:b w:val="0"/>
          <w:bCs w:val="0"/>
          <w:kern w:val="2"/>
          <w:sz w:val="44"/>
          <w:szCs w:val="44"/>
          <w:lang w:val="en-US" w:eastAsia="zh-CN" w:bidi="ar-SA"/>
        </w:rPr>
      </w:pPr>
      <w:r>
        <w:rPr>
          <w:rFonts w:hint="eastAsia" w:ascii="黑体" w:hAnsi="黑体" w:eastAsia="黑体" w:cs="黑体"/>
          <w:b w:val="0"/>
          <w:bCs w:val="0"/>
          <w:kern w:val="2"/>
          <w:sz w:val="44"/>
          <w:szCs w:val="44"/>
          <w:lang w:val="en-US" w:eastAsia="zh-CN" w:bidi="ar-SA"/>
        </w:rPr>
        <w:t xml:space="preserve">   </w:t>
      </w:r>
      <w:r>
        <w:rPr>
          <w:rFonts w:hint="default" w:ascii="黑体" w:hAnsi="黑体" w:eastAsia="黑体" w:cs="黑体"/>
          <w:b w:val="0"/>
          <w:bCs w:val="0"/>
          <w:kern w:val="2"/>
          <w:sz w:val="44"/>
          <w:szCs w:val="44"/>
          <w:lang w:val="en-US" w:eastAsia="zh-CN" w:bidi="ar-SA"/>
        </w:rPr>
        <w:t>车辆加油服务</w:t>
      </w:r>
      <w:r>
        <w:rPr>
          <w:rFonts w:hint="eastAsia" w:ascii="黑体" w:hAnsi="黑体" w:eastAsia="黑体" w:cs="黑体"/>
          <w:b w:val="0"/>
          <w:bCs w:val="0"/>
          <w:kern w:val="2"/>
          <w:sz w:val="44"/>
          <w:szCs w:val="44"/>
          <w:lang w:val="en-US" w:eastAsia="zh-CN" w:bidi="ar-SA"/>
        </w:rPr>
        <w:t>框架协议采购需求</w:t>
      </w:r>
    </w:p>
    <w:p>
      <w:pPr>
        <w:pStyle w:val="3"/>
        <w:numPr>
          <w:ilvl w:val="0"/>
          <w:numId w:val="1"/>
        </w:numPr>
        <w:spacing w:before="240" w:after="120"/>
        <w:ind w:left="643" w:hanging="640" w:hangingChars="200"/>
        <w:jc w:val="center"/>
        <w:rPr>
          <w:rFonts w:ascii="仿宋" w:hAnsi="仿宋" w:eastAsia="仿宋"/>
          <w:sz w:val="32"/>
          <w:szCs w:val="32"/>
        </w:rPr>
      </w:pPr>
      <w:r>
        <w:rPr>
          <w:rFonts w:hint="eastAsia" w:ascii="仿宋" w:hAnsi="仿宋" w:eastAsia="仿宋"/>
          <w:sz w:val="32"/>
          <w:szCs w:val="32"/>
          <w:lang w:val="en-US" w:eastAsia="zh-CN"/>
        </w:rPr>
        <w:t>资格要求</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rPr>
        <w:t>5.落实政府采购政策需满足的资格要求：</w:t>
      </w:r>
      <w:r>
        <w:rPr>
          <w:rFonts w:hint="eastAsia" w:ascii="仿宋" w:hAnsi="仿宋" w:eastAsia="仿宋"/>
          <w:bCs/>
          <w:sz w:val="24"/>
          <w:szCs w:val="24"/>
          <w:lang w:eastAsia="zh-CN"/>
        </w:rPr>
        <w:t>无</w:t>
      </w:r>
    </w:p>
    <w:p>
      <w:pPr>
        <w:widowControl/>
        <w:snapToGrid w:val="0"/>
        <w:spacing w:line="520" w:lineRule="exact"/>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rPr>
        <w:t>6.本项目的特定资格要求：</w:t>
      </w:r>
      <w:r>
        <w:rPr>
          <w:rFonts w:hint="eastAsia" w:ascii="仿宋" w:hAnsi="仿宋" w:eastAsia="仿宋"/>
          <w:bCs/>
          <w:sz w:val="24"/>
          <w:szCs w:val="24"/>
          <w:highlight w:val="none"/>
        </w:rPr>
        <w:t>供应商需具有有效期内的《成品油经营许可证》、《危险化学品经营许可证》</w:t>
      </w:r>
      <w:r>
        <w:rPr>
          <w:rFonts w:hint="eastAsia" w:ascii="仿宋" w:hAnsi="仿宋" w:eastAsia="仿宋"/>
          <w:bCs/>
          <w:sz w:val="24"/>
          <w:szCs w:val="24"/>
          <w:highlight w:val="none"/>
          <w:lang w:eastAsia="zh-CN"/>
        </w:rPr>
        <w:t>。</w:t>
      </w:r>
      <w:r>
        <w:rPr>
          <w:rFonts w:hint="eastAsia" w:ascii="仿宋" w:hAnsi="仿宋" w:eastAsia="仿宋"/>
          <w:bCs/>
          <w:color w:val="FF0000"/>
          <w:sz w:val="24"/>
          <w:szCs w:val="24"/>
          <w:lang w:val="en-US" w:eastAsia="zh-CN"/>
        </w:rPr>
        <w:br w:type="page"/>
      </w:r>
    </w:p>
    <w:p>
      <w:pPr>
        <w:pStyle w:val="3"/>
        <w:numPr>
          <w:ilvl w:val="0"/>
          <w:numId w:val="1"/>
        </w:numPr>
        <w:spacing w:before="240" w:after="120"/>
        <w:ind w:left="643" w:hanging="640" w:hangingChars="200"/>
        <w:jc w:val="center"/>
        <w:rPr>
          <w:rFonts w:ascii="仿宋" w:hAnsi="仿宋" w:eastAsia="仿宋" w:cs="宋体"/>
          <w:b/>
          <w:color w:val="000000"/>
          <w:sz w:val="24"/>
          <w:szCs w:val="24"/>
        </w:rPr>
      </w:pPr>
      <w:r>
        <w:rPr>
          <w:rFonts w:hint="eastAsia" w:ascii="仿宋" w:hAnsi="仿宋" w:eastAsia="仿宋" w:cs="仿宋"/>
          <w:sz w:val="32"/>
          <w:szCs w:val="32"/>
          <w:lang w:val="en-US" w:eastAsia="zh-CN"/>
        </w:rPr>
        <w:t>项目</w:t>
      </w:r>
      <w:r>
        <w:rPr>
          <w:rFonts w:hint="eastAsia" w:ascii="仿宋" w:hAnsi="仿宋" w:eastAsia="仿宋"/>
          <w:sz w:val="32"/>
          <w:szCs w:val="32"/>
        </w:rPr>
        <w:t>服务要求</w:t>
      </w:r>
    </w:p>
    <w:p>
      <w:pPr>
        <w:pStyle w:val="4"/>
        <w:numPr>
          <w:ilvl w:val="0"/>
          <w:numId w:val="2"/>
        </w:numPr>
        <w:spacing w:before="0" w:after="0" w:line="360" w:lineRule="auto"/>
        <w:ind w:left="616" w:hanging="616"/>
        <w:jc w:val="left"/>
        <w:rPr>
          <w:rFonts w:ascii="仿宋" w:hAnsi="仿宋" w:eastAsia="仿宋"/>
          <w:bCs w:val="0"/>
          <w:sz w:val="28"/>
          <w:szCs w:val="28"/>
          <w:highlight w:val="none"/>
          <w:lang w:val="zh-CN"/>
        </w:rPr>
      </w:pPr>
      <w:bookmarkStart w:id="0" w:name="_Toc21108"/>
      <w:r>
        <w:rPr>
          <w:rFonts w:hint="eastAsia" w:ascii="仿宋" w:hAnsi="仿宋" w:eastAsia="仿宋"/>
          <w:bCs w:val="0"/>
          <w:sz w:val="28"/>
          <w:szCs w:val="28"/>
          <w:highlight w:val="none"/>
          <w:lang w:val="zh-CN"/>
        </w:rPr>
        <w:t>项目概况</w:t>
      </w:r>
      <w:bookmarkEnd w:id="0"/>
    </w:p>
    <w:tbl>
      <w:tblPr>
        <w:tblStyle w:val="15"/>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default" w:ascii="仿宋" w:hAnsi="仿宋" w:eastAsia="仿宋" w:cs="Times New Roman"/>
                <w:color w:val="000000"/>
                <w:sz w:val="24"/>
                <w:szCs w:val="24"/>
                <w:lang w:val="en-US" w:eastAsia="zh-CN"/>
              </w:rPr>
            </w:pPr>
            <w:r>
              <w:rPr>
                <w:rStyle w:val="18"/>
                <w:rFonts w:hint="eastAsia" w:ascii="仿宋" w:hAnsi="仿宋" w:eastAsia="仿宋"/>
                <w:sz w:val="24"/>
                <w:szCs w:val="24"/>
              </w:rPr>
              <w:t>车辆加油、添加燃料服务</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firstLine="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鄂州市各级预算单位</w:t>
            </w:r>
          </w:p>
          <w:p>
            <w:pPr>
              <w:jc w:val="both"/>
              <w:rPr>
                <w:rFonts w:hint="eastAsia" w:ascii="仿宋" w:hAnsi="仿宋" w:eastAsia="仿宋" w:cs="Times New Roman"/>
                <w:sz w:val="24"/>
                <w:szCs w:val="24"/>
                <w:lang w:eastAsia="zh-CN"/>
              </w:rPr>
            </w:pPr>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sz w:val="24"/>
                <w:szCs w:val="24"/>
                <w:lang w:val="en-US" w:eastAsia="zh-CN"/>
              </w:rPr>
              <w:t>2024年1月1日</w:t>
            </w:r>
            <w:r>
              <w:rPr>
                <w:rFonts w:hint="eastAsia" w:ascii="仿宋" w:hAnsi="仿宋" w:eastAsia="仿宋" w:cs="宋体"/>
                <w:b w:val="0"/>
                <w:bCs/>
                <w:color w:val="auto"/>
                <w:sz w:val="24"/>
                <w:szCs w:val="24"/>
                <w:lang w:eastAsia="zh-CN"/>
              </w:rPr>
              <w:t>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w:t>
            </w:r>
            <w:r>
              <w:rPr>
                <w:rFonts w:hint="eastAsia" w:ascii="仿宋" w:hAnsi="仿宋" w:eastAsia="仿宋" w:cs="Times New Roman"/>
                <w:color w:val="auto"/>
                <w:sz w:val="24"/>
                <w:szCs w:val="24"/>
                <w:highlight w:val="none"/>
                <w:lang w:val="en-US" w:eastAsia="zh-CN"/>
              </w:rPr>
              <w:t>零售业</w:t>
            </w:r>
            <w:r>
              <w:rPr>
                <w:rFonts w:hint="eastAsia" w:ascii="仿宋" w:hAnsi="仿宋" w:eastAsia="仿宋" w:cs="宋体"/>
                <w:b w:val="0"/>
                <w:bCs/>
                <w:color w:val="auto"/>
                <w:sz w:val="24"/>
                <w:szCs w:val="24"/>
                <w:lang w:val="en-US" w:eastAsia="zh-CN"/>
              </w:rPr>
              <w:t>”。</w:t>
            </w:r>
          </w:p>
        </w:tc>
      </w:tr>
    </w:tbl>
    <w:p>
      <w:pPr>
        <w:rPr>
          <w:lang w:val="zh-CN"/>
        </w:rPr>
      </w:pPr>
    </w:p>
    <w:p>
      <w:pPr>
        <w:pStyle w:val="4"/>
        <w:numPr>
          <w:ilvl w:val="0"/>
          <w:numId w:val="2"/>
        </w:numPr>
        <w:spacing w:before="0" w:after="0" w:line="360" w:lineRule="auto"/>
        <w:ind w:left="616" w:hanging="616"/>
        <w:jc w:val="left"/>
        <w:rPr>
          <w:rFonts w:ascii="仿宋" w:hAnsi="仿宋" w:eastAsia="仿宋"/>
          <w:sz w:val="24"/>
          <w:szCs w:val="20"/>
          <w:highlight w:val="none"/>
          <w:lang w:val="zh-CN"/>
        </w:rPr>
      </w:pPr>
      <w:bookmarkStart w:id="1" w:name="_Toc17050"/>
      <w:bookmarkStart w:id="2" w:name="_Toc10740"/>
      <w:bookmarkStart w:id="3" w:name="_Toc12892"/>
      <w:bookmarkStart w:id="4" w:name="_Toc339378680"/>
      <w:bookmarkStart w:id="5" w:name="_Toc338065594"/>
      <w:r>
        <w:rPr>
          <w:rFonts w:hint="eastAsia" w:ascii="仿宋" w:hAnsi="仿宋" w:eastAsia="仿宋"/>
          <w:bCs w:val="0"/>
          <w:sz w:val="28"/>
          <w:szCs w:val="28"/>
          <w:highlight w:val="none"/>
          <w:lang w:val="en-US" w:eastAsia="zh-CN"/>
        </w:rPr>
        <w:t>采购</w:t>
      </w:r>
      <w:r>
        <w:rPr>
          <w:rFonts w:ascii="仿宋" w:hAnsi="仿宋" w:eastAsia="仿宋"/>
          <w:bCs w:val="0"/>
          <w:sz w:val="28"/>
          <w:szCs w:val="28"/>
          <w:highlight w:val="none"/>
          <w:lang w:val="zh-CN"/>
        </w:rPr>
        <w:t>内容</w:t>
      </w:r>
      <w:bookmarkEnd w:id="1"/>
      <w:bookmarkEnd w:id="2"/>
      <w:bookmarkEnd w:id="3"/>
    </w:p>
    <w:p>
      <w:pPr>
        <w:spacing w:line="360" w:lineRule="auto"/>
        <w:ind w:firstLine="480" w:firstLineChars="200"/>
        <w:rPr>
          <w:rFonts w:hint="eastAsia" w:ascii="仿宋" w:hAnsi="仿宋" w:eastAsia="仿宋" w:cs="宋体"/>
          <w:color w:val="000000"/>
          <w:sz w:val="24"/>
          <w:szCs w:val="24"/>
          <w:lang w:val="en-US" w:eastAsia="zh-CN"/>
        </w:rPr>
      </w:pPr>
      <w:bookmarkStart w:id="6" w:name="_Toc4228"/>
      <w:bookmarkStart w:id="7" w:name="_Toc24591"/>
      <w:r>
        <w:rPr>
          <w:rFonts w:hint="default" w:ascii="仿宋" w:hAnsi="仿宋" w:eastAsia="仿宋" w:cs="宋体"/>
          <w:color w:val="000000"/>
          <w:sz w:val="24"/>
          <w:szCs w:val="24"/>
          <w:lang w:val="en-US" w:eastAsia="zh-CN"/>
        </w:rPr>
        <w:t>本项目</w:t>
      </w:r>
      <w:r>
        <w:rPr>
          <w:rFonts w:hint="eastAsia" w:ascii="仿宋" w:hAnsi="仿宋" w:eastAsia="仿宋" w:cs="宋体"/>
          <w:color w:val="000000"/>
          <w:sz w:val="24"/>
          <w:szCs w:val="24"/>
          <w:lang w:val="en-US" w:eastAsia="zh-CN"/>
        </w:rPr>
        <w:t>采购符合国家相关标准（车用乙醇汽油应符合（国VI）GB18351-2017、车用柴油（国VI）应符合GB19147-2016）的质量要求，供应商所经销油品必须从国家正规炼油厂、国有石油公司采购，保证油品的质量。供应商应保证使用IC卡或电子油卡加油，并能全省通用。</w:t>
      </w:r>
    </w:p>
    <w:p>
      <w:pPr>
        <w:pStyle w:val="4"/>
        <w:numPr>
          <w:ilvl w:val="0"/>
          <w:numId w:val="2"/>
        </w:numPr>
        <w:spacing w:before="0" w:after="0" w:line="360" w:lineRule="auto"/>
        <w:ind w:left="616" w:hanging="616"/>
        <w:jc w:val="left"/>
        <w:rPr>
          <w:rFonts w:ascii="仿宋" w:hAnsi="仿宋" w:eastAsia="仿宋"/>
          <w:bCs w:val="0"/>
          <w:sz w:val="28"/>
          <w:szCs w:val="28"/>
          <w:highlight w:val="none"/>
          <w:lang w:val="zh-CN"/>
        </w:rPr>
      </w:pPr>
      <w:r>
        <w:rPr>
          <w:rFonts w:hint="eastAsia" w:ascii="仿宋" w:hAnsi="仿宋" w:eastAsia="仿宋"/>
          <w:bCs w:val="0"/>
          <w:sz w:val="28"/>
          <w:szCs w:val="28"/>
          <w:highlight w:val="none"/>
          <w:lang w:val="zh-CN"/>
        </w:rPr>
        <w:t>服务要求</w:t>
      </w:r>
      <w:bookmarkEnd w:id="6"/>
      <w:bookmarkEnd w:id="7"/>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1）网点设置</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供应商应能充分满足、方便市级公务车的加油需要。</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2）售油服务</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（1）各定点加油站所经销油品必须从国家正规炼油厂、国有石油公司采购，保证油品的质量。</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（2）必须使用符合国家规定的加油机加油（经具有法定计量检定资质机构检测后合格），保证供油数量。</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（4）供应商应坚持使用“IC”卡加油、定车、定油，并能全省通用。</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（5）加油站工作员应做到礼貌待客、热情服务、全天营业、随到随加。</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（6）加油站工作人员应审查IC卡显示的车牌号和实际加油车辆的车牌号是否一致，严格按照一车一卡、卡号与车牌号相一致的原则进行加油。</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（7）各加油站与</w:t>
      </w:r>
      <w:r>
        <w:rPr>
          <w:rFonts w:hint="eastAsia" w:ascii="仿宋" w:hAnsi="仿宋" w:eastAsia="仿宋" w:cs="宋体"/>
          <w:color w:val="000000"/>
          <w:sz w:val="24"/>
          <w:szCs w:val="24"/>
          <w:lang w:eastAsia="zh-CN"/>
        </w:rPr>
        <w:t>单位</w:t>
      </w:r>
      <w:r>
        <w:rPr>
          <w:rFonts w:hint="eastAsia" w:ascii="仿宋" w:hAnsi="仿宋" w:eastAsia="仿宋" w:cs="宋体"/>
          <w:color w:val="000000"/>
          <w:sz w:val="24"/>
          <w:szCs w:val="24"/>
        </w:rPr>
        <w:t>签订加油协议（合同）后，应及时预先向其开具报销凭证，以便单位办理资金支付手续。</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（8）加油IC卡只能用于车辆加油，不允许从事其他消费。</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（9）在我省油市供应发生波动时，应制定相应的应对措施，确保公务车辆不受影响。</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（10）各分支机构应保证用卡情况能在网上查询。</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3）IC卡其他功能要求</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每个</w:t>
      </w:r>
      <w:r>
        <w:rPr>
          <w:rFonts w:hint="eastAsia" w:ascii="仿宋" w:hAnsi="仿宋" w:eastAsia="仿宋" w:cs="宋体"/>
          <w:color w:val="000000"/>
          <w:sz w:val="24"/>
          <w:szCs w:val="24"/>
          <w:lang w:eastAsia="zh-CN"/>
        </w:rPr>
        <w:t>单位</w:t>
      </w:r>
      <w:r>
        <w:rPr>
          <w:rFonts w:hint="eastAsia" w:ascii="仿宋" w:hAnsi="仿宋" w:eastAsia="仿宋" w:cs="宋体"/>
          <w:color w:val="000000"/>
          <w:sz w:val="24"/>
          <w:szCs w:val="24"/>
        </w:rPr>
        <w:t>除所有公务用车配置一车一卡及机动卡若干外，还须配总卡一张，以达到对本单位所有用车监督和调剂的功能。可以随时办理挂失或退卡。加油卡一旦丢失，各部门、单位可立即挂失，48小时生效后此卡将被作废。</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val="en-US" w:eastAsia="zh-CN"/>
        </w:rPr>
        <w:t>4）</w:t>
      </w:r>
      <w:r>
        <w:rPr>
          <w:rFonts w:hint="eastAsia" w:ascii="仿宋" w:hAnsi="仿宋" w:eastAsia="仿宋" w:cs="宋体"/>
          <w:color w:val="000000"/>
          <w:sz w:val="24"/>
          <w:szCs w:val="24"/>
        </w:rPr>
        <w:t>核心要求</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lang w:val="en-US" w:eastAsia="zh-CN"/>
        </w:rPr>
        <w:t>1</w:t>
      </w:r>
      <w:r>
        <w:rPr>
          <w:rFonts w:hint="eastAsia" w:ascii="仿宋" w:hAnsi="仿宋" w:eastAsia="仿宋" w:cs="宋体"/>
          <w:color w:val="000000"/>
          <w:sz w:val="24"/>
          <w:szCs w:val="24"/>
        </w:rPr>
        <w:t>）加油卡办理。定点加油统一使用公务用车专用卡。公务用车专用卡在定点加油公司指定地方办理。请写下指定地址和联系人。</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lang w:val="en-US" w:eastAsia="zh-CN"/>
        </w:rPr>
        <w:t>2</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加油卡使用。加油卡包括主卡1张及副卡若干张。主卡为管理卡，每单位1张，用于增减副卡数量、资料变更、对副卡进行资金分配划转及查询所有副卡加油信息等。副卡为每车1张，只能用于加油。请各单位查收时注意核对副卡数量是否与车辆数一致。各单位可以选择两家定点加油公司中的一家或多家办卡，并按照定点加油公司加油卡办理办法确定加油卡管理功能。</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auto"/>
          <w:sz w:val="24"/>
          <w:szCs w:val="24"/>
        </w:rPr>
        <w:t>（3）充值业务。采购人在</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市政府采购计划合同管理系统申报采购计划</w:t>
      </w:r>
      <w:r>
        <w:rPr>
          <w:rFonts w:hint="eastAsia" w:ascii="仿宋" w:hAnsi="仿宋" w:eastAsia="仿宋" w:cs="宋体"/>
          <w:color w:val="auto"/>
          <w:sz w:val="24"/>
          <w:szCs w:val="24"/>
          <w:lang w:eastAsia="zh-CN"/>
        </w:rPr>
        <w:t>，</w:t>
      </w:r>
      <w:r>
        <w:rPr>
          <w:rFonts w:hint="eastAsia" w:ascii="仿宋" w:hAnsi="仿宋" w:eastAsia="仿宋" w:cs="宋体"/>
          <w:color w:val="auto"/>
          <w:sz w:val="24"/>
          <w:szCs w:val="24"/>
        </w:rPr>
        <w:t>采购人凭电子密钥登录</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市政府采购框架协议电子平台，点击相应的采购</w:t>
      </w:r>
      <w:r>
        <w:rPr>
          <w:rFonts w:hint="eastAsia" w:ascii="仿宋" w:hAnsi="仿宋" w:eastAsia="仿宋" w:cs="宋体"/>
          <w:color w:val="000000"/>
          <w:sz w:val="24"/>
          <w:szCs w:val="24"/>
        </w:rPr>
        <w:t>计划，选择</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，填写采购需求提交订单，</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确认订单后，电子</w:t>
      </w:r>
      <w:r>
        <w:rPr>
          <w:rFonts w:hint="eastAsia" w:ascii="仿宋" w:hAnsi="仿宋" w:eastAsia="仿宋" w:cs="宋体"/>
          <w:color w:val="000000"/>
          <w:sz w:val="24"/>
          <w:szCs w:val="24"/>
          <w:lang w:val="en-US" w:eastAsia="zh-CN"/>
        </w:rPr>
        <w:t>平台</w:t>
      </w:r>
      <w:r>
        <w:rPr>
          <w:rFonts w:hint="eastAsia" w:ascii="仿宋" w:hAnsi="仿宋" w:eastAsia="仿宋" w:cs="宋体"/>
          <w:color w:val="000000"/>
          <w:sz w:val="24"/>
          <w:szCs w:val="24"/>
        </w:rPr>
        <w:t>自动生成交易凭证。</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确认订单视同收到预开发票申请，即可与采购人联系开具发票事宜，采购人凭发票和</w:t>
      </w:r>
      <w:r>
        <w:rPr>
          <w:rFonts w:hint="eastAsia" w:ascii="仿宋" w:hAnsi="仿宋" w:eastAsia="仿宋" w:cs="宋体"/>
          <w:color w:val="auto"/>
          <w:sz w:val="24"/>
          <w:szCs w:val="24"/>
        </w:rPr>
        <w:t>电子平台</w:t>
      </w:r>
      <w:r>
        <w:rPr>
          <w:rFonts w:hint="eastAsia" w:ascii="仿宋" w:hAnsi="仿宋" w:eastAsia="仿宋" w:cs="宋体"/>
          <w:color w:val="000000"/>
          <w:sz w:val="24"/>
          <w:szCs w:val="24"/>
        </w:rPr>
        <w:t>交易凭证办理支付结算，随后可随时持</w:t>
      </w:r>
      <w:r>
        <w:rPr>
          <w:rFonts w:hint="eastAsia" w:ascii="仿宋" w:hAnsi="仿宋" w:eastAsia="仿宋" w:cs="宋体"/>
          <w:color w:val="000000"/>
          <w:sz w:val="24"/>
          <w:szCs w:val="24"/>
          <w:lang w:val="en-US" w:eastAsia="zh-CN"/>
        </w:rPr>
        <w:t>主</w:t>
      </w:r>
      <w:r>
        <w:rPr>
          <w:rFonts w:hint="eastAsia" w:ascii="仿宋" w:hAnsi="仿宋" w:eastAsia="仿宋" w:cs="宋体"/>
          <w:color w:val="000000"/>
          <w:sz w:val="24"/>
          <w:szCs w:val="24"/>
        </w:rPr>
        <w:t>卡到指定网点办理充值业务。</w:t>
      </w:r>
    </w:p>
    <w:bookmarkEnd w:id="4"/>
    <w:bookmarkEnd w:id="5"/>
    <w:p>
      <w:pPr>
        <w:pStyle w:val="4"/>
        <w:numPr>
          <w:ilvl w:val="0"/>
          <w:numId w:val="2"/>
        </w:numPr>
        <w:spacing w:before="0" w:after="0" w:line="360" w:lineRule="auto"/>
        <w:ind w:left="616" w:hanging="616"/>
        <w:jc w:val="left"/>
        <w:rPr>
          <w:rFonts w:hint="eastAsia" w:ascii="仿宋" w:hAnsi="仿宋" w:eastAsia="仿宋"/>
          <w:bCs w:val="0"/>
          <w:sz w:val="28"/>
          <w:szCs w:val="28"/>
          <w:highlight w:val="none"/>
          <w:lang w:val="zh-CN" w:eastAsia="zh-CN"/>
        </w:rPr>
      </w:pPr>
      <w:bookmarkStart w:id="8" w:name="_Toc18213"/>
      <w:bookmarkStart w:id="9" w:name="_Toc16979"/>
      <w:bookmarkStart w:id="10" w:name="_Toc692"/>
      <w:bookmarkStart w:id="11" w:name="_Toc16212"/>
      <w:bookmarkStart w:id="12" w:name="_Toc9949"/>
      <w:r>
        <w:rPr>
          <w:rFonts w:hint="eastAsia" w:ascii="仿宋" w:hAnsi="仿宋" w:eastAsia="仿宋"/>
          <w:bCs w:val="0"/>
          <w:sz w:val="28"/>
          <w:szCs w:val="28"/>
          <w:highlight w:val="none"/>
          <w:lang w:val="zh-CN" w:eastAsia="zh-CN"/>
        </w:rPr>
        <w:t>报价要求</w:t>
      </w:r>
      <w:bookmarkEnd w:id="8"/>
      <w:bookmarkEnd w:id="9"/>
      <w:bookmarkEnd w:id="10"/>
      <w:bookmarkEnd w:id="11"/>
      <w:bookmarkEnd w:id="12"/>
    </w:p>
    <w:p>
      <w:pPr>
        <w:widowControl/>
        <w:snapToGrid w:val="0"/>
        <w:spacing w:line="520" w:lineRule="exact"/>
        <w:ind w:firstLine="480" w:firstLineChars="200"/>
        <w:jc w:val="left"/>
        <w:rPr>
          <w:rFonts w:ascii="仿宋" w:hAnsi="仿宋" w:eastAsia="仿宋" w:cs="仿宋"/>
          <w:bCs/>
          <w:sz w:val="24"/>
          <w:szCs w:val="24"/>
        </w:rPr>
      </w:pPr>
      <w:r>
        <w:rPr>
          <w:rFonts w:hint="eastAsia" w:ascii="仿宋" w:hAnsi="仿宋" w:eastAsia="仿宋"/>
          <w:bCs/>
          <w:sz w:val="24"/>
          <w:szCs w:val="24"/>
          <w:highlight w:val="none"/>
        </w:rPr>
        <w:t>最高限</w:t>
      </w:r>
      <w:r>
        <w:rPr>
          <w:rFonts w:hint="eastAsia" w:ascii="仿宋" w:hAnsi="仿宋" w:eastAsia="仿宋"/>
          <w:bCs/>
          <w:color w:val="auto"/>
          <w:sz w:val="24"/>
          <w:szCs w:val="24"/>
          <w:highlight w:val="none"/>
        </w:rPr>
        <w:t>制单价</w:t>
      </w:r>
      <w:r>
        <w:rPr>
          <w:rFonts w:hint="eastAsia" w:ascii="仿宋" w:hAnsi="仿宋" w:eastAsia="仿宋"/>
          <w:bCs/>
          <w:color w:val="auto"/>
          <w:sz w:val="24"/>
          <w:szCs w:val="24"/>
          <w:highlight w:val="none"/>
          <w:lang w:eastAsia="zh-CN"/>
        </w:rPr>
        <w:t>（</w:t>
      </w:r>
      <w:r>
        <w:rPr>
          <w:rFonts w:hint="eastAsia" w:ascii="仿宋" w:hAnsi="仿宋" w:eastAsia="仿宋"/>
          <w:bCs/>
          <w:color w:val="auto"/>
          <w:sz w:val="24"/>
          <w:szCs w:val="24"/>
          <w:highlight w:val="none"/>
          <w:lang w:val="en-US" w:eastAsia="zh-CN"/>
        </w:rPr>
        <w:t>折扣率）</w:t>
      </w:r>
      <w:r>
        <w:rPr>
          <w:rFonts w:hint="eastAsia" w:ascii="仿宋" w:hAnsi="仿宋" w:eastAsia="仿宋"/>
          <w:bCs/>
          <w:color w:val="auto"/>
          <w:sz w:val="24"/>
          <w:szCs w:val="24"/>
          <w:highlight w:val="none"/>
        </w:rPr>
        <w:t>：</w:t>
      </w:r>
      <w:r>
        <w:rPr>
          <w:rFonts w:hint="eastAsia" w:ascii="仿宋" w:hAnsi="仿宋" w:eastAsia="仿宋"/>
          <w:bCs/>
          <w:color w:val="auto"/>
          <w:sz w:val="24"/>
          <w:szCs w:val="24"/>
          <w:highlight w:val="none"/>
          <w:lang w:val="en-US" w:eastAsia="zh-CN"/>
        </w:rPr>
        <w:t>99%</w:t>
      </w:r>
    </w:p>
    <w:p>
      <w:pPr>
        <w:numPr>
          <w:ilvl w:val="0"/>
          <w:numId w:val="3"/>
        </w:numPr>
        <w:spacing w:line="440" w:lineRule="exact"/>
        <w:ind w:firstLine="420" w:firstLineChars="175"/>
        <w:rPr>
          <w:rFonts w:ascii="仿宋" w:hAnsi="仿宋" w:eastAsia="仿宋" w:cs="仿宋"/>
          <w:bCs/>
          <w:sz w:val="24"/>
          <w:szCs w:val="24"/>
        </w:rPr>
      </w:pPr>
      <w:r>
        <w:rPr>
          <w:rFonts w:hint="eastAsia" w:ascii="仿宋" w:hAnsi="仿宋" w:eastAsia="仿宋" w:cs="仿宋"/>
          <w:bCs/>
          <w:sz w:val="24"/>
          <w:szCs w:val="24"/>
        </w:rPr>
        <w:t>由供应商人根据自身实力提出切实可行的书面优惠价格等承诺。</w:t>
      </w:r>
    </w:p>
    <w:p>
      <w:pPr>
        <w:numPr>
          <w:ilvl w:val="0"/>
          <w:numId w:val="3"/>
        </w:numPr>
        <w:spacing w:line="440" w:lineRule="exact"/>
        <w:ind w:firstLine="420" w:firstLineChars="175"/>
        <w:rPr>
          <w:rFonts w:hint="eastAsia" w:ascii="仿宋" w:hAnsi="仿宋" w:eastAsia="仿宋" w:cs="宋体"/>
          <w:color w:val="000000"/>
          <w:sz w:val="24"/>
          <w:szCs w:val="24"/>
          <w:lang w:val="zh-CN" w:eastAsia="zh-CN"/>
        </w:rPr>
      </w:pPr>
      <w:r>
        <w:rPr>
          <w:rFonts w:hint="eastAsia" w:ascii="仿宋" w:hAnsi="仿宋" w:eastAsia="仿宋" w:cs="仿宋"/>
          <w:bCs/>
          <w:sz w:val="24"/>
          <w:szCs w:val="24"/>
        </w:rPr>
        <w:t>IC卡推行过程中，各单位首批IC卡供应商应免费提供。在使用过程中如有损坏或遗失，在补办过程中供应商可就IC卡本身收取不超过10元/张的工本费</w:t>
      </w:r>
      <w:r>
        <w:rPr>
          <w:rFonts w:hint="eastAsia" w:ascii="仿宋" w:hAnsi="仿宋" w:eastAsia="仿宋" w:cs="宋体"/>
          <w:color w:val="000000"/>
          <w:sz w:val="24"/>
          <w:szCs w:val="24"/>
          <w:lang w:val="en-US" w:eastAsia="zh-CN"/>
        </w:rPr>
        <w:t>。</w:t>
      </w:r>
    </w:p>
    <w:p>
      <w:pPr>
        <w:pStyle w:val="11"/>
        <w:bidi w:val="0"/>
        <w:rPr>
          <w:rFonts w:hint="eastAsia"/>
        </w:rPr>
      </w:pPr>
    </w:p>
    <w:p>
      <w:pPr>
        <w:rPr>
          <w:b w:val="0"/>
          <w:bCs/>
        </w:rPr>
      </w:pPr>
    </w:p>
    <w:p>
      <w:pPr>
        <w:pStyle w:val="10"/>
        <w:rPr>
          <w:rFonts w:hint="eastAsia"/>
        </w:rPr>
      </w:pPr>
    </w:p>
    <w:p>
      <w:pPr>
        <w:pStyle w:val="10"/>
        <w:rPr>
          <w:rFonts w:hint="eastAsia"/>
        </w:rPr>
      </w:pPr>
    </w:p>
    <w:p>
      <w:pPr>
        <w:pStyle w:val="10"/>
        <w:rPr>
          <w:rFonts w:hint="eastAsia"/>
        </w:rPr>
      </w:pPr>
    </w:p>
    <w:p>
      <w:pPr>
        <w:rPr>
          <w:rFonts w:hint="eastAsia"/>
        </w:rPr>
      </w:pPr>
      <w:r>
        <w:rPr>
          <w:rFonts w:hint="eastAsia"/>
        </w:rPr>
        <w:br w:type="page"/>
      </w:r>
    </w:p>
    <w:p>
      <w:pPr>
        <w:pStyle w:val="10"/>
        <w:ind w:left="0" w:leftChars="0" w:firstLine="0" w:firstLineChars="0"/>
        <w:rPr>
          <w:rFonts w:hint="eastAsia"/>
        </w:rPr>
      </w:pPr>
    </w:p>
    <w:p>
      <w:pPr>
        <w:widowControl/>
        <w:snapToGrid w:val="0"/>
        <w:spacing w:line="520" w:lineRule="exact"/>
        <w:jc w:val="center"/>
        <w:rPr>
          <w:rFonts w:hint="eastAsia" w:ascii="仿宋" w:hAnsi="仿宋" w:eastAsia="仿宋" w:cs="Times New Roman"/>
          <w:b/>
          <w:bCs/>
          <w:kern w:val="44"/>
          <w:sz w:val="32"/>
          <w:szCs w:val="32"/>
          <w:lang w:val="zh-CN"/>
        </w:rPr>
      </w:pPr>
      <w:r>
        <w:rPr>
          <w:rFonts w:hint="eastAsia" w:ascii="仿宋" w:hAnsi="仿宋" w:eastAsia="仿宋" w:cs="Times New Roman"/>
          <w:b/>
          <w:bCs/>
          <w:kern w:val="44"/>
          <w:sz w:val="32"/>
          <w:szCs w:val="32"/>
          <w:lang w:val="en-US" w:eastAsia="zh-CN"/>
        </w:rPr>
        <w:t>第三章  资格审查及框架协议相关</w:t>
      </w:r>
      <w:r>
        <w:rPr>
          <w:rFonts w:hint="eastAsia" w:ascii="仿宋" w:hAnsi="仿宋" w:eastAsia="仿宋" w:cs="Times New Roman"/>
          <w:b/>
          <w:bCs/>
          <w:kern w:val="44"/>
          <w:sz w:val="32"/>
          <w:szCs w:val="32"/>
          <w:lang w:val="zh-CN"/>
        </w:rPr>
        <w:t>要求</w:t>
      </w:r>
    </w:p>
    <w:p>
      <w:pPr>
        <w:spacing w:line="440" w:lineRule="exact"/>
        <w:ind w:firstLine="480" w:firstLineChars="200"/>
        <w:rPr>
          <w:rFonts w:hint="eastAsia" w:ascii="仿宋" w:hAnsi="仿宋" w:eastAsia="仿宋" w:cs="仿宋"/>
          <w:bCs/>
          <w:sz w:val="24"/>
          <w:szCs w:val="24"/>
        </w:rPr>
      </w:pP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bookmarkStart w:id="13" w:name="_Toc494561943"/>
      <w:bookmarkStart w:id="14" w:name="_Toc11636"/>
      <w:r>
        <w:rPr>
          <w:rFonts w:hint="eastAsia" w:ascii="仿宋" w:hAnsi="仿宋" w:eastAsia="仿宋" w:cs="Times New Roman"/>
          <w:b/>
          <w:bCs w:val="0"/>
          <w:kern w:val="0"/>
          <w:sz w:val="30"/>
          <w:szCs w:val="30"/>
          <w:lang w:val="zh-CN" w:eastAsia="zh-CN" w:bidi="ar-SA"/>
        </w:rPr>
        <w:t>一、</w:t>
      </w:r>
      <w:r>
        <w:rPr>
          <w:rFonts w:hint="eastAsia" w:ascii="仿宋" w:hAnsi="仿宋" w:eastAsia="仿宋"/>
          <w:bCs w:val="0"/>
          <w:sz w:val="28"/>
          <w:szCs w:val="28"/>
          <w:highlight w:val="none"/>
          <w:lang w:val="zh-CN"/>
        </w:rPr>
        <w:t>供应商</w:t>
      </w:r>
      <w:bookmarkEnd w:id="13"/>
      <w:bookmarkEnd w:id="14"/>
      <w:r>
        <w:rPr>
          <w:rFonts w:hint="eastAsia" w:ascii="仿宋" w:hAnsi="仿宋" w:eastAsia="仿宋" w:cs="Times New Roman"/>
          <w:b/>
          <w:bCs w:val="0"/>
          <w:sz w:val="28"/>
          <w:szCs w:val="28"/>
          <w:highlight w:val="none"/>
          <w:lang w:val="zh-CN"/>
        </w:rPr>
        <w:t>信用信息查询渠道及使用规则</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lang w:val="zh-CN" w:eastAsia="zh-CN" w:bidi="ar-SA"/>
        </w:rPr>
        <w:t>1、</w:t>
      </w:r>
      <w:r>
        <w:rPr>
          <w:rFonts w:hint="eastAsia" w:ascii="仿宋" w:hAnsi="仿宋" w:eastAsia="仿宋" w:cs="Helvetica"/>
          <w:kern w:val="0"/>
          <w:sz w:val="24"/>
          <w:szCs w:val="24"/>
          <w:highlight w:val="none"/>
          <w:lang w:val="zh-CN"/>
        </w:rPr>
        <w:t>按照《关于在政府采购活动中查询及使用信用记录有关问题的通知》的要求，参与政府采购的供应商，信用记录的查询渠道为“信用中国”网站(www.creditchina.gov.cn)、中国政府采购网(</w:t>
      </w:r>
      <w:r>
        <w:rPr>
          <w:highlight w:val="none"/>
        </w:rPr>
        <w:fldChar w:fldCharType="begin"/>
      </w:r>
      <w:r>
        <w:rPr>
          <w:highlight w:val="none"/>
        </w:rPr>
        <w:instrText xml:space="preserve"> HYPERLINK "http://www.ccgp.gov.cn" </w:instrText>
      </w:r>
      <w:r>
        <w:rPr>
          <w:highlight w:val="none"/>
        </w:rPr>
        <w:fldChar w:fldCharType="separate"/>
      </w:r>
      <w:r>
        <w:rPr>
          <w:rFonts w:hint="eastAsia" w:ascii="仿宋" w:hAnsi="仿宋" w:eastAsia="仿宋" w:cs="Helvetica"/>
          <w:kern w:val="0"/>
          <w:sz w:val="24"/>
          <w:szCs w:val="24"/>
          <w:highlight w:val="none"/>
          <w:lang w:val="zh-CN"/>
        </w:rPr>
        <w:t>www.ccgp.gov.cn</w:t>
      </w:r>
      <w:r>
        <w:rPr>
          <w:rFonts w:hint="eastAsia" w:ascii="仿宋" w:hAnsi="仿宋" w:eastAsia="仿宋" w:cs="Helvetica"/>
          <w:kern w:val="0"/>
          <w:sz w:val="24"/>
          <w:szCs w:val="24"/>
          <w:highlight w:val="none"/>
          <w:lang w:val="zh-CN"/>
        </w:rPr>
        <w:fldChar w:fldCharType="end"/>
      </w:r>
      <w:r>
        <w:rPr>
          <w:rFonts w:hint="eastAsia" w:ascii="仿宋" w:hAnsi="仿宋" w:eastAsia="仿宋" w:cs="Helvetica"/>
          <w:kern w:val="0"/>
          <w:sz w:val="24"/>
          <w:szCs w:val="24"/>
          <w:highlight w:val="none"/>
          <w:lang w:val="zh-CN"/>
        </w:rPr>
        <w:t>)。</w:t>
      </w:r>
    </w:p>
    <w:p>
      <w:pPr>
        <w:numPr>
          <w:ilvl w:val="0"/>
          <w:numId w:val="0"/>
        </w:numPr>
        <w:spacing w:line="360" w:lineRule="auto"/>
        <w:ind w:left="0" w:leftChars="0" w:firstLine="480" w:firstLineChars="200"/>
        <w:rPr>
          <w:rFonts w:ascii="仿宋" w:hAnsi="仿宋" w:eastAsia="仿宋" w:cs="Helvetica"/>
          <w:b/>
          <w:kern w:val="0"/>
          <w:sz w:val="24"/>
          <w:szCs w:val="24"/>
          <w:highlight w:val="none"/>
          <w:lang w:val="zh-CN"/>
        </w:rPr>
      </w:pPr>
      <w:r>
        <w:rPr>
          <w:rFonts w:ascii="仿宋" w:hAnsi="仿宋" w:eastAsia="仿宋" w:cs="Helvetica"/>
          <w:b/>
          <w:kern w:val="0"/>
          <w:sz w:val="24"/>
          <w:szCs w:val="24"/>
          <w:lang w:val="zh-CN" w:eastAsia="zh-CN" w:bidi="ar-SA"/>
        </w:rPr>
        <w:t>2、</w:t>
      </w:r>
      <w:r>
        <w:rPr>
          <w:rFonts w:hint="eastAsia" w:ascii="仿宋" w:hAnsi="仿宋" w:eastAsia="仿宋" w:cs="Helvetica"/>
          <w:b/>
          <w:kern w:val="0"/>
          <w:sz w:val="24"/>
          <w:szCs w:val="24"/>
          <w:highlight w:val="none"/>
          <w:lang w:val="zh-CN"/>
        </w:rPr>
        <w:t>列入失信被执行人、税收违法黑名单、政府采购严重违法失信行为记录名单的供应商，集中采购机构拒绝其参与政府采购活动。</w:t>
      </w:r>
    </w:p>
    <w:p>
      <w:pPr>
        <w:numPr>
          <w:ilvl w:val="0"/>
          <w:numId w:val="0"/>
        </w:numPr>
        <w:spacing w:line="360" w:lineRule="auto"/>
        <w:ind w:firstLine="480" w:firstLineChars="200"/>
        <w:rPr>
          <w:rFonts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两个及以上自然人、法人或者其他组织组成联合体，以一个供应商的身份共同参加政府采购活动的，应当对所有联合体成员进行信用记录查询，联合体成员存在不良信用记录的，视同联合体存在不良信用信息。</w:t>
      </w:r>
    </w:p>
    <w:p>
      <w:pPr>
        <w:numPr>
          <w:ilvl w:val="0"/>
          <w:numId w:val="0"/>
        </w:numPr>
        <w:spacing w:line="360" w:lineRule="auto"/>
        <w:ind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4、</w:t>
      </w:r>
      <w:r>
        <w:rPr>
          <w:rFonts w:hint="eastAsia" w:ascii="仿宋" w:hAnsi="仿宋" w:eastAsia="仿宋" w:cs="Helvetica"/>
          <w:kern w:val="0"/>
          <w:sz w:val="24"/>
          <w:szCs w:val="24"/>
          <w:highlight w:val="none"/>
          <w:lang w:val="zh-CN"/>
        </w:rPr>
        <w:t>供应商的信用记录，最终以</w:t>
      </w:r>
      <w:r>
        <w:rPr>
          <w:rFonts w:hint="eastAsia" w:ascii="仿宋" w:hAnsi="仿宋" w:eastAsia="仿宋" w:cs="Helvetica"/>
          <w:kern w:val="0"/>
          <w:sz w:val="24"/>
          <w:szCs w:val="24"/>
          <w:highlight w:val="none"/>
          <w:lang w:val="en-US" w:eastAsia="zh-CN"/>
        </w:rPr>
        <w:t>审查</w:t>
      </w:r>
      <w:r>
        <w:rPr>
          <w:rFonts w:hint="eastAsia" w:ascii="仿宋" w:hAnsi="仿宋" w:eastAsia="仿宋" w:cs="Helvetica"/>
          <w:kern w:val="0"/>
          <w:sz w:val="24"/>
          <w:szCs w:val="24"/>
          <w:highlight w:val="none"/>
          <w:lang w:val="zh-CN"/>
        </w:rPr>
        <w:t>当日查询“信用中国”、 中国政府采购网网站的结果为准。</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en-US" w:eastAsia="zh-CN"/>
        </w:rPr>
      </w:pPr>
      <w:r>
        <w:rPr>
          <w:rFonts w:hint="eastAsia" w:ascii="仿宋" w:hAnsi="仿宋" w:eastAsia="仿宋" w:cs="Times New Roman"/>
          <w:b/>
          <w:bCs w:val="0"/>
          <w:sz w:val="28"/>
          <w:szCs w:val="28"/>
          <w:highlight w:val="none"/>
          <w:lang w:val="en-US" w:eastAsia="zh-CN"/>
        </w:rPr>
        <w:t>二、资格审查方法和标准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eastAsia="zh-CN"/>
        </w:rPr>
        <w:t>征集人在收到供应商申请后7个工作日内完成审核。审核结束后</w:t>
      </w:r>
      <w:r>
        <w:rPr>
          <w:rFonts w:hint="eastAsia" w:ascii="仿宋" w:hAnsi="仿宋" w:eastAsia="仿宋" w:cs="Helvetica"/>
          <w:kern w:val="0"/>
          <w:sz w:val="24"/>
          <w:szCs w:val="24"/>
          <w:highlight w:val="none"/>
          <w:lang w:val="en-US" w:eastAsia="zh-CN"/>
        </w:rPr>
        <w:t>2个工作日内发布</w:t>
      </w:r>
      <w:r>
        <w:rPr>
          <w:rFonts w:hint="eastAsia" w:ascii="仿宋" w:hAnsi="仿宋" w:eastAsia="仿宋" w:cs="Helvetica"/>
          <w:kern w:val="0"/>
          <w:sz w:val="24"/>
          <w:szCs w:val="24"/>
          <w:highlight w:val="none"/>
          <w:lang w:val="zh-CN" w:eastAsia="zh-CN"/>
        </w:rPr>
        <w:t>入围结果公告。</w:t>
      </w:r>
      <w:r>
        <w:rPr>
          <w:rFonts w:hint="eastAsia" w:ascii="仿宋" w:hAnsi="仿宋" w:eastAsia="仿宋" w:cs="Helvetica"/>
          <w:kern w:val="0"/>
          <w:sz w:val="24"/>
          <w:szCs w:val="24"/>
          <w:highlight w:val="none"/>
          <w:lang w:val="en-US" w:eastAsia="zh-CN"/>
        </w:rPr>
        <w:t>供应商可按公告中的联系方式获知本单位的资格审查情况。</w:t>
      </w:r>
    </w:p>
    <w:p>
      <w:pPr>
        <w:numPr>
          <w:ilvl w:val="0"/>
          <w:numId w:val="0"/>
        </w:numPr>
        <w:spacing w:line="360" w:lineRule="auto"/>
        <w:ind w:firstLine="480" w:firstLineChars="200"/>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2、审查标准。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凡符合资格条件、响应征集文件要求并经审查合格的供应商，均可成为本项目入围供应商。</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477"/>
        <w:gridCol w:w="4181"/>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ascii="宋体" w:hAnsi="宋体" w:eastAsia="宋体" w:cs="宋体"/>
                <w:b/>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ascii="宋体" w:hAnsi="宋体" w:eastAsia="宋体" w:cs="宋体"/>
                <w:b/>
                <w:spacing w:val="0"/>
                <w:w w:val="100"/>
                <w:sz w:val="21"/>
                <w:szCs w:val="24"/>
              </w:rPr>
            </w:pP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spacing w:val="0"/>
                <w:w w:val="100"/>
                <w:sz w:val="21"/>
                <w:szCs w:val="24"/>
              </w:rPr>
            </w:pPr>
            <w:r>
              <w:rPr>
                <w:rStyle w:val="17"/>
                <w:rFonts w:hint="eastAsia" w:ascii="仿宋" w:hAnsi="仿宋" w:eastAsia="仿宋" w:cs="仿宋"/>
                <w:b/>
                <w:spacing w:val="0"/>
                <w:w w:val="100"/>
                <w:sz w:val="21"/>
                <w:szCs w:val="24"/>
              </w:rPr>
              <w:t>评审因素</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spacing w:val="0"/>
                <w:w w:val="100"/>
                <w:sz w:val="21"/>
                <w:szCs w:val="24"/>
                <w:lang w:val="en-US" w:eastAsia="zh-CN"/>
              </w:rPr>
            </w:pPr>
            <w:r>
              <w:rPr>
                <w:rStyle w:val="17"/>
                <w:rFonts w:hint="eastAsia" w:ascii="仿宋" w:hAnsi="仿宋" w:eastAsia="仿宋" w:cs="仿宋"/>
                <w:b/>
                <w:spacing w:val="0"/>
                <w:w w:val="100"/>
                <w:sz w:val="21"/>
                <w:szCs w:val="24"/>
                <w:lang w:val="en-US" w:eastAsia="zh-CN"/>
              </w:rPr>
              <w:t>供应商应当提交的资格材料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基本资格要求</w:t>
            </w: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lang w:val="en-US" w:eastAsia="zh-CN"/>
              </w:rPr>
              <w:t>具有独立承担民事责任的能力</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rPr>
            </w:pPr>
            <w:r>
              <w:rPr>
                <w:rFonts w:hint="eastAsia" w:ascii="仿宋" w:hAnsi="仿宋" w:eastAsia="仿宋" w:cs="仿宋"/>
                <w:b w:val="0"/>
                <w:bCs w:val="0"/>
                <w:color w:val="auto"/>
                <w:spacing w:val="24"/>
                <w:sz w:val="21"/>
                <w:szCs w:val="21"/>
              </w:rPr>
              <w:t>营</w:t>
            </w:r>
            <w:r>
              <w:rPr>
                <w:rFonts w:hint="eastAsia" w:ascii="仿宋" w:hAnsi="仿宋" w:eastAsia="仿宋" w:cs="仿宋"/>
                <w:b w:val="0"/>
                <w:bCs w:val="0"/>
                <w:color w:val="auto"/>
                <w:spacing w:val="20"/>
                <w:sz w:val="21"/>
                <w:szCs w:val="21"/>
              </w:rPr>
              <w:t>业执照或事业单位法人证书或执业许可</w:t>
            </w:r>
            <w:r>
              <w:rPr>
                <w:rFonts w:hint="eastAsia" w:ascii="仿宋" w:hAnsi="仿宋" w:eastAsia="仿宋" w:cs="仿宋"/>
                <w:b w:val="0"/>
                <w:bCs w:val="0"/>
                <w:color w:val="auto"/>
                <w:spacing w:val="13"/>
                <w:sz w:val="21"/>
                <w:szCs w:val="21"/>
              </w:rPr>
              <w:t>证</w:t>
            </w:r>
            <w:r>
              <w:rPr>
                <w:rFonts w:hint="eastAsia" w:ascii="仿宋" w:hAnsi="仿宋" w:eastAsia="仿宋" w:cs="仿宋"/>
                <w:b w:val="0"/>
                <w:bCs w:val="0"/>
                <w:color w:val="auto"/>
                <w:spacing w:val="8"/>
                <w:sz w:val="21"/>
                <w:szCs w:val="21"/>
              </w:rPr>
              <w:t>(非企业专业服务机构)或个体工商户营</w:t>
            </w:r>
            <w:r>
              <w:rPr>
                <w:rFonts w:hint="eastAsia" w:ascii="仿宋" w:hAnsi="仿宋" w:eastAsia="仿宋" w:cs="仿宋"/>
                <w:b w:val="0"/>
                <w:bCs w:val="0"/>
                <w:color w:val="auto"/>
                <w:spacing w:val="2"/>
                <w:sz w:val="21"/>
                <w:szCs w:val="21"/>
              </w:rPr>
              <w:t>业执照等证明文件</w:t>
            </w:r>
            <w:r>
              <w:rPr>
                <w:rFonts w:hint="eastAsia" w:ascii="仿宋" w:hAnsi="仿宋" w:eastAsia="仿宋" w:cs="仿宋"/>
                <w:color w:val="auto"/>
                <w:spacing w:val="2"/>
                <w:sz w:val="21"/>
                <w:szCs w:val="21"/>
              </w:rPr>
              <w:t>(银行、保险、石油石化</w:t>
            </w:r>
            <w:r>
              <w:rPr>
                <w:rFonts w:hint="eastAsia" w:ascii="仿宋" w:hAnsi="仿宋" w:eastAsia="仿宋" w:cs="仿宋"/>
                <w:color w:val="auto"/>
                <w:spacing w:val="1"/>
                <w:sz w:val="21"/>
                <w:szCs w:val="21"/>
              </w:rPr>
              <w:t>、</w:t>
            </w:r>
            <w:r>
              <w:rPr>
                <w:rFonts w:hint="eastAsia" w:ascii="仿宋" w:hAnsi="仿宋" w:eastAsia="仿宋" w:cs="仿宋"/>
                <w:color w:val="auto"/>
                <w:spacing w:val="6"/>
                <w:sz w:val="21"/>
                <w:szCs w:val="21"/>
              </w:rPr>
              <w:t>电力、</w:t>
            </w:r>
            <w:r>
              <w:rPr>
                <w:rFonts w:hint="eastAsia" w:ascii="仿宋" w:hAnsi="仿宋" w:eastAsia="仿宋" w:cs="仿宋"/>
                <w:color w:val="auto"/>
                <w:spacing w:val="4"/>
                <w:sz w:val="21"/>
                <w:szCs w:val="21"/>
              </w:rPr>
              <w:t>电</w:t>
            </w:r>
            <w:r>
              <w:rPr>
                <w:rFonts w:hint="eastAsia" w:ascii="仿宋" w:hAnsi="仿宋" w:eastAsia="仿宋" w:cs="仿宋"/>
                <w:color w:val="auto"/>
                <w:spacing w:val="3"/>
                <w:sz w:val="21"/>
                <w:szCs w:val="21"/>
              </w:rPr>
              <w:t>信等有行业特殊情况的，视为其总</w:t>
            </w:r>
            <w:r>
              <w:rPr>
                <w:rFonts w:hint="eastAsia" w:ascii="仿宋" w:hAnsi="仿宋" w:eastAsia="仿宋" w:cs="仿宋"/>
                <w:color w:val="auto"/>
                <w:spacing w:val="20"/>
                <w:sz w:val="21"/>
                <w:szCs w:val="21"/>
                <w:lang w:val="en-US" w:eastAsia="zh-CN"/>
              </w:rPr>
              <w:t>公司</w:t>
            </w:r>
            <w:r>
              <w:rPr>
                <w:rFonts w:hint="eastAsia" w:ascii="仿宋" w:hAnsi="仿宋" w:eastAsia="仿宋" w:cs="仿宋"/>
                <w:color w:val="auto"/>
                <w:spacing w:val="20"/>
                <w:sz w:val="21"/>
                <w:szCs w:val="21"/>
              </w:rPr>
              <w:t>的分支机构具备独立承担民事责任的</w:t>
            </w:r>
            <w:r>
              <w:rPr>
                <w:rFonts w:hint="eastAsia" w:ascii="仿宋" w:hAnsi="仿宋" w:eastAsia="仿宋" w:cs="仿宋"/>
                <w:color w:val="auto"/>
                <w:spacing w:val="11"/>
                <w:sz w:val="21"/>
                <w:szCs w:val="21"/>
              </w:rPr>
              <w:t>能</w:t>
            </w:r>
            <w:r>
              <w:rPr>
                <w:rFonts w:hint="eastAsia" w:ascii="仿宋" w:hAnsi="仿宋" w:eastAsia="仿宋" w:cs="仿宋"/>
                <w:color w:val="auto"/>
                <w:spacing w:val="9"/>
                <w:sz w:val="21"/>
                <w:szCs w:val="21"/>
              </w:rPr>
              <w:t>力；其他行业总公司的分支机构不具备独</w:t>
            </w:r>
            <w:r>
              <w:rPr>
                <w:rFonts w:hint="eastAsia" w:ascii="仿宋" w:hAnsi="仿宋" w:eastAsia="仿宋" w:cs="仿宋"/>
                <w:color w:val="auto"/>
                <w:spacing w:val="14"/>
                <w:sz w:val="21"/>
                <w:szCs w:val="21"/>
              </w:rPr>
              <w:t>立</w:t>
            </w:r>
            <w:r>
              <w:rPr>
                <w:rFonts w:hint="eastAsia" w:ascii="仿宋" w:hAnsi="仿宋" w:eastAsia="仿宋" w:cs="仿宋"/>
                <w:color w:val="auto"/>
                <w:spacing w:val="8"/>
                <w:sz w:val="21"/>
                <w:szCs w:val="21"/>
              </w:rPr>
              <w:t>承</w:t>
            </w:r>
            <w:r>
              <w:rPr>
                <w:rFonts w:hint="eastAsia" w:ascii="仿宋" w:hAnsi="仿宋" w:eastAsia="仿宋" w:cs="仿宋"/>
                <w:color w:val="auto"/>
                <w:spacing w:val="7"/>
                <w:sz w:val="21"/>
                <w:szCs w:val="21"/>
              </w:rPr>
              <w:t>担民事责任的能力)。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具有良好的商业信誉和健全的财务会计制度</w:t>
            </w:r>
          </w:p>
        </w:tc>
        <w:tc>
          <w:tcPr>
            <w:tcW w:w="2217"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lang w:val="en-US" w:eastAsia="zh-CN"/>
              </w:rPr>
            </w:pPr>
          </w:p>
          <w:p>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rPr>
            </w:pPr>
            <w:r>
              <w:rPr>
                <w:rStyle w:val="17"/>
                <w:rFonts w:hint="eastAsia" w:ascii="仿宋" w:hAnsi="仿宋" w:eastAsia="仿宋" w:cs="仿宋"/>
                <w:b w:val="0"/>
                <w:spacing w:val="0"/>
                <w:w w:val="100"/>
                <w:kern w:val="0"/>
                <w:sz w:val="21"/>
                <w:szCs w:val="24"/>
                <w:lang w:val="en-US" w:eastAsia="zh-CN"/>
              </w:rPr>
              <w:t>提供</w:t>
            </w:r>
            <w:r>
              <w:rPr>
                <w:rStyle w:val="17"/>
                <w:rFonts w:hint="eastAsia" w:ascii="仿宋" w:hAnsi="仿宋" w:eastAsia="仿宋" w:cs="仿宋"/>
                <w:b w:val="0"/>
                <w:spacing w:val="0"/>
                <w:w w:val="100"/>
                <w:kern w:val="0"/>
                <w:sz w:val="21"/>
                <w:szCs w:val="24"/>
              </w:rPr>
              <w:t>盖章的《</w:t>
            </w:r>
            <w:r>
              <w:rPr>
                <w:rStyle w:val="17"/>
                <w:rFonts w:hint="eastAsia" w:ascii="仿宋" w:hAnsi="仿宋" w:eastAsia="仿宋" w:cs="仿宋"/>
                <w:b w:val="0"/>
                <w:spacing w:val="0"/>
                <w:w w:val="100"/>
                <w:kern w:val="0"/>
                <w:sz w:val="21"/>
                <w:szCs w:val="24"/>
                <w:lang w:val="en-US" w:eastAsia="zh-CN"/>
              </w:rPr>
              <w:t>资格条件承诺</w:t>
            </w:r>
            <w:r>
              <w:rPr>
                <w:rStyle w:val="17"/>
                <w:rFonts w:hint="eastAsia" w:ascii="仿宋" w:hAnsi="仿宋" w:eastAsia="仿宋" w:cs="仿宋"/>
                <w:b w:val="0"/>
                <w:spacing w:val="0"/>
                <w:w w:val="100"/>
                <w:kern w:val="0"/>
                <w:sz w:val="21"/>
                <w:szCs w:val="24"/>
              </w:rPr>
              <w:t>函》</w:t>
            </w:r>
            <w:r>
              <w:rPr>
                <w:rStyle w:val="17"/>
                <w:rFonts w:hint="eastAsia" w:ascii="仿宋" w:hAnsi="仿宋" w:eastAsia="仿宋" w:cs="仿宋"/>
                <w:b w:val="0"/>
                <w:spacing w:val="0"/>
                <w:w w:val="100"/>
                <w:kern w:val="0"/>
                <w:sz w:val="21"/>
                <w:szCs w:val="24"/>
                <w:lang w:eastAsia="zh-CN"/>
              </w:rPr>
              <w:t>，</w:t>
            </w:r>
            <w:r>
              <w:rPr>
                <w:rStyle w:val="17"/>
                <w:rFonts w:hint="eastAsia" w:ascii="仿宋" w:hAnsi="仿宋" w:eastAsia="仿宋" w:cs="仿宋"/>
                <w:b w:val="0"/>
                <w:spacing w:val="0"/>
                <w:w w:val="100"/>
                <w:kern w:val="0"/>
                <w:sz w:val="21"/>
                <w:szCs w:val="24"/>
              </w:rPr>
              <w:t>承诺满足条件</w:t>
            </w:r>
            <w:r>
              <w:rPr>
                <w:rStyle w:val="17"/>
                <w:rFonts w:hint="eastAsia" w:ascii="仿宋" w:hAnsi="仿宋" w:eastAsia="仿宋" w:cs="仿宋"/>
                <w:b w:val="0"/>
                <w:spacing w:val="0"/>
                <w:w w:val="100"/>
                <w:kern w:val="0"/>
                <w:sz w:val="21"/>
                <w:szCs w:val="24"/>
                <w:lang w:eastAsia="zh-CN"/>
              </w:rPr>
              <w:t>。</w:t>
            </w:r>
            <w:r>
              <w:rPr>
                <w:rStyle w:val="17"/>
                <w:rFonts w:hint="eastAsia" w:ascii="仿宋" w:hAnsi="仿宋" w:eastAsia="仿宋" w:cs="仿宋"/>
                <w:b w:val="0"/>
                <w:spacing w:val="0"/>
                <w:w w:val="100"/>
                <w:kern w:val="0"/>
                <w:sz w:val="21"/>
                <w:szCs w:val="24"/>
              </w:rPr>
              <w:t xml:space="preserve"> (格式详见</w:t>
            </w:r>
            <w:r>
              <w:rPr>
                <w:rStyle w:val="17"/>
                <w:rFonts w:hint="eastAsia" w:ascii="仿宋" w:hAnsi="仿宋" w:eastAsia="仿宋" w:cs="仿宋"/>
                <w:b w:val="0"/>
                <w:spacing w:val="0"/>
                <w:w w:val="100"/>
                <w:kern w:val="0"/>
                <w:sz w:val="21"/>
                <w:szCs w:val="24"/>
                <w:lang w:eastAsia="zh-CN"/>
              </w:rPr>
              <w:t>附件</w:t>
            </w:r>
            <w:r>
              <w:rPr>
                <w:rStyle w:val="17"/>
                <w:rFonts w:hint="eastAsia" w:ascii="仿宋" w:hAnsi="仿宋" w:eastAsia="仿宋" w:cs="仿宋"/>
                <w:b w:val="0"/>
                <w:spacing w:val="0"/>
                <w:w w:val="100"/>
                <w:kern w:val="0"/>
                <w:sz w:val="21"/>
                <w:szCs w:val="24"/>
                <w:lang w:val="en-US" w:eastAsia="zh-CN"/>
              </w:rPr>
              <w:t>1</w:t>
            </w:r>
            <w:r>
              <w:rPr>
                <w:rStyle w:val="17"/>
                <w:rFonts w:hint="eastAsia" w:ascii="仿宋" w:hAnsi="仿宋" w:eastAsia="仿宋" w:cs="仿宋"/>
                <w:b w:val="0"/>
                <w:spacing w:val="0"/>
                <w:w w:val="100"/>
                <w:kern w:val="0"/>
                <w:sz w:val="21"/>
                <w:szCs w:val="24"/>
              </w:rPr>
              <w:t>)</w:t>
            </w:r>
          </w:p>
          <w:p>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具备履行合同所必需的设备和专业技术能力</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4</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lang w:val="en-US" w:eastAsia="zh-CN"/>
              </w:rPr>
              <w:t>有依法缴纳税收和社会保障资金的良好记录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FF0000"/>
                <w:spacing w:val="0"/>
                <w:w w:val="100"/>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5</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参加政府采购活动前3年内在经营活动中没有重大违法记录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6</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法律、行政法规规定的其他条件。</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7</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kern w:val="0"/>
                <w:sz w:val="21"/>
                <w:szCs w:val="24"/>
              </w:rPr>
              <w:t>单位负责人为同一人或者存在直接控股、管理关系的不同投标人，不得参加本项目同一合同项下的政府采购活动。</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8</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为本采购项目提供整体设计、规范编制或者项目管理、监理、检测等服务的，不得再参加本项目的其他招标采购活动。</w:t>
            </w:r>
          </w:p>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rPr>
            </w:pP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trPr>
        <w:tc>
          <w:tcPr>
            <w:tcW w:w="282" w:type="pct"/>
            <w:vMerge w:val="continue"/>
            <w:tcBorders>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9</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未列入“信用中国”网站失信被执行人、重大税收违法</w:t>
            </w:r>
            <w:r>
              <w:rPr>
                <w:rStyle w:val="17"/>
                <w:rFonts w:hint="eastAsia" w:ascii="仿宋" w:hAnsi="仿宋" w:eastAsia="仿宋" w:cs="仿宋"/>
                <w:b w:val="0"/>
                <w:color w:val="auto"/>
                <w:spacing w:val="0"/>
                <w:w w:val="100"/>
                <w:sz w:val="21"/>
                <w:szCs w:val="24"/>
                <w:lang w:eastAsia="zh-CN"/>
              </w:rPr>
              <w:t>失信主体</w:t>
            </w:r>
            <w:r>
              <w:rPr>
                <w:rStyle w:val="17"/>
                <w:rFonts w:hint="eastAsia" w:ascii="仿宋" w:hAnsi="仿宋" w:eastAsia="仿宋" w:cs="仿宋"/>
                <w:b w:val="0"/>
                <w:color w:val="auto"/>
                <w:spacing w:val="0"/>
                <w:w w:val="100"/>
                <w:sz w:val="21"/>
                <w:szCs w:val="24"/>
              </w:rPr>
              <w:t>和“中国政府采购网”政府采购严重违法失信行为记录名单</w:t>
            </w:r>
          </w:p>
          <w:p>
            <w:pPr>
              <w:pStyle w:val="27"/>
              <w:jc w:val="center"/>
              <w:rPr>
                <w:rStyle w:val="17"/>
                <w:rFonts w:hint="eastAsia" w:ascii="仿宋" w:hAnsi="仿宋" w:eastAsia="仿宋" w:cs="仿宋"/>
                <w:b w:val="0"/>
                <w:color w:val="auto"/>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1.信用记录的查询渠道为“信用中国”网站(www.creditchina.gov.cn)、中国政府采购网(www.ccgp.gov.cn)，查询失信被执行人、重大税收违法</w:t>
            </w:r>
            <w:r>
              <w:rPr>
                <w:rStyle w:val="17"/>
                <w:rFonts w:hint="eastAsia" w:ascii="仿宋" w:hAnsi="仿宋" w:eastAsia="仿宋" w:cs="仿宋"/>
                <w:b w:val="0"/>
                <w:color w:val="auto"/>
                <w:spacing w:val="0"/>
                <w:w w:val="100"/>
                <w:sz w:val="21"/>
                <w:szCs w:val="24"/>
                <w:lang w:eastAsia="zh-CN"/>
              </w:rPr>
              <w:t>失信主体</w:t>
            </w:r>
            <w:r>
              <w:rPr>
                <w:rStyle w:val="17"/>
                <w:rFonts w:hint="eastAsia" w:ascii="仿宋" w:hAnsi="仿宋" w:eastAsia="仿宋" w:cs="仿宋"/>
                <w:b w:val="0"/>
                <w:color w:val="auto"/>
                <w:spacing w:val="0"/>
                <w:w w:val="100"/>
                <w:sz w:val="21"/>
                <w:szCs w:val="24"/>
              </w:rPr>
              <w:t>、政府采购严重违法失信行为记录名单。</w:t>
            </w:r>
          </w:p>
          <w:p>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2.查询时间节点为</w:t>
            </w:r>
            <w:r>
              <w:rPr>
                <w:rStyle w:val="17"/>
                <w:rFonts w:hint="eastAsia" w:ascii="仿宋" w:hAnsi="仿宋" w:eastAsia="仿宋" w:cs="仿宋"/>
                <w:b w:val="0"/>
                <w:color w:val="auto"/>
                <w:spacing w:val="0"/>
                <w:w w:val="100"/>
                <w:sz w:val="21"/>
                <w:szCs w:val="24"/>
                <w:lang w:eastAsia="zh-CN"/>
              </w:rPr>
              <w:t>资格审查</w:t>
            </w:r>
            <w:r>
              <w:rPr>
                <w:rStyle w:val="17"/>
                <w:rFonts w:hint="eastAsia" w:ascii="仿宋" w:hAnsi="仿宋" w:eastAsia="仿宋" w:cs="仿宋"/>
                <w:b w:val="0"/>
                <w:color w:val="auto"/>
                <w:spacing w:val="0"/>
                <w:w w:val="100"/>
                <w:sz w:val="21"/>
                <w:szCs w:val="24"/>
              </w:rPr>
              <w:t>当日</w:t>
            </w:r>
            <w:r>
              <w:rPr>
                <w:rStyle w:val="17"/>
                <w:rFonts w:hint="eastAsia" w:ascii="仿宋" w:hAnsi="仿宋" w:eastAsia="仿宋" w:cs="仿宋"/>
                <w:b w:val="0"/>
                <w:color w:val="auto"/>
                <w:spacing w:val="0"/>
                <w:w w:val="100"/>
                <w:sz w:val="21"/>
                <w:szCs w:val="24"/>
                <w:lang w:eastAsia="zh-CN"/>
              </w:rPr>
              <w:t>，由征集人</w:t>
            </w:r>
            <w:r>
              <w:rPr>
                <w:rStyle w:val="17"/>
                <w:rFonts w:hint="eastAsia" w:ascii="仿宋" w:hAnsi="仿宋" w:eastAsia="仿宋" w:cs="仿宋"/>
                <w:b w:val="0"/>
                <w:color w:val="auto"/>
                <w:spacing w:val="0"/>
                <w:w w:val="100"/>
                <w:sz w:val="21"/>
                <w:szCs w:val="24"/>
              </w:rPr>
              <w:t>查询</w:t>
            </w:r>
            <w:r>
              <w:rPr>
                <w:rStyle w:val="17"/>
                <w:rFonts w:hint="eastAsia" w:ascii="仿宋" w:hAnsi="仿宋" w:eastAsia="仿宋" w:cs="仿宋"/>
                <w:b w:val="0"/>
                <w:color w:val="auto"/>
                <w:spacing w:val="0"/>
                <w:w w:val="100"/>
                <w:sz w:val="21"/>
                <w:szCs w:val="24"/>
                <w:lang w:eastAsia="zh-CN"/>
              </w:rPr>
              <w:t>并截图存档</w:t>
            </w:r>
            <w:r>
              <w:rPr>
                <w:rStyle w:val="17"/>
                <w:rFonts w:hint="eastAsia" w:ascii="仿宋" w:hAnsi="仿宋" w:eastAsia="仿宋" w:cs="仿宋"/>
                <w:b w:val="0"/>
                <w:color w:val="auto"/>
                <w:spacing w:val="0"/>
                <w:w w:val="100"/>
                <w:sz w:val="21"/>
                <w:szCs w:val="24"/>
              </w:rPr>
              <w:t>，不需</w:t>
            </w:r>
            <w:r>
              <w:rPr>
                <w:rStyle w:val="17"/>
                <w:rFonts w:hint="eastAsia" w:ascii="仿宋" w:hAnsi="仿宋" w:eastAsia="仿宋" w:cs="仿宋"/>
                <w:b w:val="0"/>
                <w:color w:val="auto"/>
                <w:spacing w:val="0"/>
                <w:w w:val="100"/>
                <w:sz w:val="21"/>
                <w:szCs w:val="24"/>
                <w:lang w:eastAsia="zh-CN"/>
              </w:rPr>
              <w:t>响应</w:t>
            </w:r>
            <w:r>
              <w:rPr>
                <w:rStyle w:val="17"/>
                <w:rFonts w:hint="eastAsia" w:ascii="仿宋" w:hAnsi="仿宋" w:eastAsia="仿宋" w:cs="仿宋"/>
                <w:b w:val="0"/>
                <w:color w:val="auto"/>
                <w:spacing w:val="0"/>
                <w:w w:val="100"/>
                <w:sz w:val="21"/>
                <w:szCs w:val="24"/>
              </w:rPr>
              <w:t>供应商提供。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特定资格要求</w:t>
            </w: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10</w:t>
            </w:r>
          </w:p>
        </w:tc>
        <w:tc>
          <w:tcPr>
            <w:tcW w:w="2244"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color w:val="00B050"/>
                <w:spacing w:val="0"/>
                <w:w w:val="100"/>
                <w:sz w:val="21"/>
                <w:szCs w:val="24"/>
              </w:rPr>
            </w:pPr>
            <w:r>
              <w:rPr>
                <w:rStyle w:val="17"/>
                <w:rFonts w:hint="eastAsia" w:ascii="仿宋" w:hAnsi="仿宋" w:eastAsia="仿宋" w:cs="仿宋"/>
                <w:b w:val="0"/>
                <w:spacing w:val="0"/>
                <w:w w:val="100"/>
                <w:sz w:val="21"/>
                <w:szCs w:val="24"/>
              </w:rPr>
              <w:t>本项目的特定资格要求</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供应商须提供下辖加油站点具有《成品油零售经营批准证书》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default"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11</w:t>
            </w:r>
          </w:p>
        </w:tc>
        <w:tc>
          <w:tcPr>
            <w:tcW w:w="2244"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供应商须具有《危险化学品经营许可证》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eastAsia="zh-CN"/>
              </w:rPr>
            </w:pPr>
            <w:r>
              <w:rPr>
                <w:rStyle w:val="17"/>
                <w:rFonts w:hint="eastAsia" w:ascii="仿宋" w:hAnsi="仿宋" w:eastAsia="仿宋" w:cs="仿宋"/>
                <w:b w:val="0"/>
                <w:spacing w:val="0"/>
                <w:w w:val="100"/>
                <w:sz w:val="21"/>
                <w:szCs w:val="24"/>
                <w:lang w:eastAsia="zh-CN"/>
              </w:rPr>
              <w:t>其他要求</w:t>
            </w: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车辆加油、添加燃料服务入围供应商承诺书</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提供车辆加油、添加燃料服务入围供应商承诺书（格式见附件2）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rPr>
              <w:t>其他</w:t>
            </w:r>
            <w:r>
              <w:rPr>
                <w:rStyle w:val="17"/>
                <w:rFonts w:hint="eastAsia" w:ascii="仿宋" w:hAnsi="仿宋" w:eastAsia="仿宋" w:cs="仿宋"/>
                <w:b w:val="0"/>
                <w:spacing w:val="0"/>
                <w:w w:val="100"/>
                <w:sz w:val="21"/>
                <w:szCs w:val="24"/>
                <w:lang w:eastAsia="zh-CN"/>
              </w:rPr>
              <w:t>申请</w:t>
            </w:r>
            <w:r>
              <w:rPr>
                <w:rStyle w:val="17"/>
                <w:rFonts w:hint="eastAsia" w:ascii="仿宋" w:hAnsi="仿宋" w:eastAsia="仿宋" w:cs="仿宋"/>
                <w:b w:val="0"/>
                <w:spacing w:val="0"/>
                <w:w w:val="100"/>
                <w:sz w:val="21"/>
                <w:szCs w:val="24"/>
              </w:rPr>
              <w:t>材料</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rPr>
              <w:t>供应商认为需提供的其它相关</w:t>
            </w:r>
            <w:r>
              <w:rPr>
                <w:rStyle w:val="17"/>
                <w:rFonts w:hint="eastAsia" w:ascii="仿宋" w:hAnsi="仿宋" w:eastAsia="仿宋" w:cs="仿宋"/>
                <w:b w:val="0"/>
                <w:spacing w:val="0"/>
                <w:w w:val="100"/>
                <w:sz w:val="21"/>
                <w:szCs w:val="24"/>
                <w:lang w:eastAsia="zh-CN"/>
              </w:rPr>
              <w:t>申请</w:t>
            </w:r>
            <w:r>
              <w:rPr>
                <w:rStyle w:val="17"/>
                <w:rFonts w:hint="eastAsia" w:ascii="仿宋" w:hAnsi="仿宋" w:eastAsia="仿宋" w:cs="仿宋"/>
                <w:b w:val="0"/>
                <w:spacing w:val="0"/>
                <w:w w:val="100"/>
                <w:sz w:val="21"/>
                <w:szCs w:val="24"/>
              </w:rPr>
              <w:t>材料</w:t>
            </w:r>
          </w:p>
        </w:tc>
      </w:tr>
    </w:tbl>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color w:val="auto"/>
          <w:sz w:val="24"/>
          <w:szCs w:val="24"/>
          <w:highlight w:val="white"/>
          <w:lang w:val="en-US" w:eastAsia="zh-CN"/>
        </w:rPr>
      </w:pPr>
      <w:r>
        <w:rPr>
          <w:rFonts w:hint="eastAsia" w:ascii="仿宋" w:hAnsi="仿宋" w:eastAsia="仿宋" w:cs="仿宋"/>
          <w:b w:val="0"/>
          <w:bCs w:val="0"/>
          <w:color w:val="auto"/>
          <w:sz w:val="24"/>
          <w:szCs w:val="24"/>
          <w:highlight w:val="white"/>
          <w:lang w:eastAsia="zh-CN"/>
        </w:rPr>
        <w:t>备注：以上资料均需加</w:t>
      </w:r>
      <w:r>
        <w:rPr>
          <w:rFonts w:hint="eastAsia" w:ascii="仿宋" w:hAnsi="仿宋" w:eastAsia="仿宋" w:cs="仿宋"/>
          <w:b w:val="0"/>
          <w:bCs w:val="0"/>
          <w:color w:val="auto"/>
          <w:sz w:val="24"/>
          <w:szCs w:val="24"/>
          <w:highlight w:val="white"/>
          <w:lang w:val="en-US" w:eastAsia="zh-CN"/>
        </w:rPr>
        <w:t>盖公</w:t>
      </w:r>
      <w:r>
        <w:rPr>
          <w:rFonts w:hint="eastAsia" w:ascii="仿宋" w:hAnsi="仿宋" w:eastAsia="仿宋" w:cs="仿宋"/>
          <w:b w:val="0"/>
          <w:bCs w:val="0"/>
          <w:i w:val="0"/>
          <w:caps w:val="0"/>
          <w:color w:val="auto"/>
          <w:spacing w:val="0"/>
          <w:kern w:val="0"/>
          <w:sz w:val="24"/>
          <w:szCs w:val="24"/>
          <w:lang w:val="en-US" w:eastAsia="zh-CN" w:bidi="ar"/>
        </w:rPr>
        <w:t>章，上传PDF版。</w:t>
      </w:r>
    </w:p>
    <w:p>
      <w:pPr>
        <w:pStyle w:val="30"/>
        <w:rPr>
          <w:lang w:val="zh-CN"/>
        </w:rPr>
      </w:pP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5" w:name="_Toc494561944"/>
      <w:bookmarkStart w:id="16" w:name="_Toc17814"/>
      <w:r>
        <w:rPr>
          <w:rFonts w:hint="eastAsia" w:ascii="仿宋" w:hAnsi="仿宋" w:eastAsia="仿宋"/>
          <w:b/>
          <w:bCs w:val="0"/>
          <w:kern w:val="0"/>
          <w:sz w:val="30"/>
          <w:szCs w:val="30"/>
          <w:lang w:val="zh-CN" w:eastAsia="zh-CN" w:bidi="ar-SA"/>
        </w:rPr>
        <w:t>二、</w:t>
      </w:r>
      <w:r>
        <w:rPr>
          <w:rFonts w:hint="eastAsia" w:ascii="仿宋" w:hAnsi="仿宋" w:eastAsia="仿宋"/>
          <w:bCs w:val="0"/>
          <w:sz w:val="28"/>
          <w:szCs w:val="28"/>
          <w:highlight w:val="none"/>
          <w:lang w:val="zh-CN"/>
        </w:rPr>
        <w:t>入围供应商</w:t>
      </w:r>
      <w:bookmarkEnd w:id="15"/>
      <w:r>
        <w:rPr>
          <w:rFonts w:hint="eastAsia" w:ascii="仿宋" w:hAnsi="仿宋" w:eastAsia="仿宋"/>
          <w:bCs w:val="0"/>
          <w:sz w:val="28"/>
          <w:szCs w:val="28"/>
          <w:highlight w:val="none"/>
        </w:rPr>
        <w:t>和框架协议签订</w:t>
      </w:r>
      <w:bookmarkEnd w:id="16"/>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入围供应商确定</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征集人应当在审核通过后2个工作日内，发布入围结果公告，公告入围供应商名称、地址、联系方式及付费标准，并动态更新入围供应商信息 。</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框架协议签订</w:t>
      </w:r>
    </w:p>
    <w:p>
      <w:pPr>
        <w:numPr>
          <w:ilvl w:val="0"/>
          <w:numId w:val="0"/>
        </w:numPr>
        <w:spacing w:line="360" w:lineRule="auto"/>
        <w:ind w:left="0" w:leftChars="0" w:firstLine="480" w:firstLineChars="200"/>
        <w:rPr>
          <w:rFonts w:hint="default" w:ascii="仿宋" w:hAnsi="仿宋" w:eastAsia="仿宋" w:cs="Helvetica"/>
          <w:kern w:val="0"/>
          <w:sz w:val="24"/>
          <w:szCs w:val="24"/>
          <w:highlight w:val="none"/>
          <w:lang w:val="en-US" w:eastAsia="zh-CN"/>
        </w:rPr>
      </w:pPr>
      <w:bookmarkStart w:id="17" w:name="_Toc3934"/>
      <w:r>
        <w:rPr>
          <w:rFonts w:hint="eastAsia" w:ascii="仿宋" w:hAnsi="仿宋" w:eastAsia="仿宋" w:cs="Helvetica"/>
          <w:kern w:val="0"/>
          <w:sz w:val="24"/>
          <w:szCs w:val="24"/>
          <w:highlight w:val="none"/>
          <w:lang w:val="en-US" w:eastAsia="zh-CN"/>
        </w:rPr>
        <w:t>本次征集不签订书面框架协议，发布入围结果公告后，即视为签订框架协议。</w:t>
      </w:r>
    </w:p>
    <w:p>
      <w:pPr>
        <w:pStyle w:val="4"/>
        <w:numPr>
          <w:ilvl w:val="0"/>
          <w:numId w:val="0"/>
        </w:numPr>
        <w:spacing w:before="40" w:after="40" w:line="360" w:lineRule="auto"/>
        <w:ind w:left="658" w:leftChars="0" w:hanging="658" w:firstLineChars="0"/>
        <w:jc w:val="left"/>
        <w:rPr>
          <w:rFonts w:hint="eastAsia" w:ascii="仿宋" w:hAnsi="仿宋" w:eastAsia="仿宋"/>
          <w:bCs w:val="0"/>
          <w:sz w:val="28"/>
          <w:szCs w:val="28"/>
          <w:highlight w:val="none"/>
        </w:rPr>
      </w:pPr>
      <w:r>
        <w:rPr>
          <w:rFonts w:hint="eastAsia" w:ascii="仿宋" w:hAnsi="仿宋" w:eastAsia="仿宋"/>
          <w:b/>
          <w:bCs w:val="0"/>
          <w:kern w:val="0"/>
          <w:sz w:val="30"/>
          <w:szCs w:val="30"/>
          <w:lang w:val="en-US" w:eastAsia="zh-CN" w:bidi="ar-SA"/>
        </w:rPr>
        <w:t>三、</w:t>
      </w:r>
      <w:r>
        <w:rPr>
          <w:rFonts w:hint="eastAsia" w:ascii="仿宋" w:hAnsi="仿宋" w:eastAsia="仿宋"/>
          <w:bCs w:val="0"/>
          <w:sz w:val="28"/>
          <w:szCs w:val="28"/>
          <w:highlight w:val="none"/>
          <w:lang w:val="zh-CN"/>
        </w:rPr>
        <w:t>入围供应商的清退规则</w:t>
      </w:r>
      <w:bookmarkEnd w:id="17"/>
    </w:p>
    <w:p>
      <w:pPr>
        <w:numPr>
          <w:ilvl w:val="0"/>
          <w:numId w:val="0"/>
        </w:numPr>
        <w:spacing w:line="360" w:lineRule="auto"/>
        <w:ind w:leftChars="0" w:firstLine="480" w:firstLineChars="200"/>
        <w:rPr>
          <w:rStyle w:val="20"/>
          <w:rFonts w:ascii="仿宋" w:hAnsi="仿宋" w:eastAsia="仿宋" w:cs="仿宋"/>
          <w:sz w:val="24"/>
          <w:szCs w:val="24"/>
          <w:highlight w:val="none"/>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依法清退。</w:t>
      </w:r>
      <w:r>
        <w:rPr>
          <w:rStyle w:val="20"/>
          <w:rFonts w:ascii="仿宋" w:hAnsi="仿宋" w:eastAsia="仿宋" w:cs="仿宋"/>
          <w:sz w:val="24"/>
          <w:szCs w:val="24"/>
          <w:highlight w:val="none"/>
        </w:rPr>
        <w:t>入围供应商有下列情形之一，尚未签订框架协议的，取消其入围资格;已经签订框架协议的，解除与其签订的框架协议：</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恶意串通谋取入围或者合同成交的；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提供虚假材料谋取入围或者合同成交的；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无正当理由拒不接受合同授予的；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不履行合同义务或者履行合同义务不符合约定，经采购人请求履行后仍不履行或者仍未按约定履行的；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框架协议有效期内，因违法行为被禁止或限制参加政府采购活动的。</w:t>
      </w:r>
    </w:p>
    <w:p>
      <w:pPr>
        <w:numPr>
          <w:ilvl w:val="0"/>
          <w:numId w:val="0"/>
        </w:numPr>
        <w:spacing w:line="360" w:lineRule="auto"/>
        <w:ind w:left="426" w:leftChars="203" w:firstLine="0" w:firstLineChars="0"/>
        <w:rPr>
          <w:rStyle w:val="20"/>
          <w:rFonts w:ascii="仿宋" w:hAnsi="仿宋" w:eastAsia="仿宋" w:cs="仿宋"/>
          <w:color w:val="auto"/>
          <w:sz w:val="24"/>
          <w:szCs w:val="24"/>
          <w:highlight w:val="none"/>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rPr>
        <w:t>依协议清退。</w:t>
      </w:r>
      <w:r>
        <w:rPr>
          <w:rStyle w:val="20"/>
          <w:rFonts w:ascii="仿宋" w:hAnsi="仿宋" w:eastAsia="仿宋" w:cs="仿宋"/>
          <w:color w:val="auto"/>
          <w:sz w:val="24"/>
          <w:szCs w:val="24"/>
          <w:highlight w:val="none"/>
        </w:rPr>
        <w:t>入围供应商有以下情形之一的，征集人有权取消其入围资格：</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在协议有效期内，供应商不再满足征集公告要求的；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供应商拒绝接受甲方检查或提供虚假资料的；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在履约情况检查过程中，发现供应商违反本协议的；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订立采购合同后，供应商因自身原因故意拖延或拒绝签订合同或签订合同后故意拖延或拒绝履约的；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供应商严重违反本协议，在甲方通知其纠正的限期内未能纠正的；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供应商采用不正当竞争手段谋取采购合同订立的；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供应商向甲方或采购人有关工作人员行贿或提供其它不正当利益的；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因供应商原因影响本协议无法履行或终止的；</w:t>
      </w:r>
    </w:p>
    <w:p>
      <w:pPr>
        <w:numPr>
          <w:ilvl w:val="0"/>
          <w:numId w:val="5"/>
        </w:numPr>
        <w:spacing w:line="360" w:lineRule="auto"/>
        <w:ind w:hanging="5"/>
        <w:rPr>
          <w:rStyle w:val="20"/>
          <w:rFonts w:ascii="仿宋" w:hAnsi="仿宋" w:eastAsia="仿宋" w:cs="仿宋"/>
          <w:sz w:val="24"/>
          <w:szCs w:val="24"/>
          <w:highlight w:val="none"/>
        </w:rPr>
      </w:pPr>
      <w:r>
        <w:rPr>
          <w:rFonts w:hint="eastAsia" w:ascii="仿宋" w:hAnsi="仿宋" w:eastAsia="仿宋" w:cs="Helvetica"/>
          <w:kern w:val="0"/>
          <w:sz w:val="24"/>
          <w:szCs w:val="24"/>
          <w:highlight w:val="none"/>
          <w:lang w:val="zh-CN"/>
        </w:rPr>
        <w:t>供应商存在以下情形并经调查属实的：</w:t>
      </w:r>
      <w:r>
        <w:rPr>
          <w:rStyle w:val="20"/>
          <w:rFonts w:ascii="仿宋" w:hAnsi="仿宋" w:eastAsia="仿宋" w:cs="仿宋"/>
          <w:sz w:val="24"/>
          <w:szCs w:val="24"/>
          <w:highlight w:val="none"/>
        </w:rPr>
        <w:t>供应商超出征集文件的承诺范围收取费用的；供应商向用户提供的服务，质量明显不满足采购合同、征集文件、供应商响应文件和本协议规定标准的；供应商向用户提供的服务价格明显高于市场同类服务价格的；供应商其它违反本协议规定的行为。</w:t>
      </w: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8" w:name="_Toc31215"/>
      <w:r>
        <w:rPr>
          <w:rFonts w:hint="eastAsia" w:ascii="仿宋" w:hAnsi="仿宋" w:eastAsia="仿宋"/>
          <w:b/>
          <w:bCs w:val="0"/>
          <w:kern w:val="0"/>
          <w:sz w:val="30"/>
          <w:szCs w:val="30"/>
          <w:lang w:val="zh-CN" w:eastAsia="zh-CN" w:bidi="ar-SA"/>
        </w:rPr>
        <w:t>四、</w:t>
      </w:r>
      <w:r>
        <w:rPr>
          <w:rFonts w:hint="eastAsia" w:ascii="仿宋" w:hAnsi="仿宋" w:eastAsia="仿宋"/>
          <w:bCs w:val="0"/>
          <w:sz w:val="28"/>
          <w:szCs w:val="28"/>
          <w:highlight w:val="none"/>
          <w:lang w:val="zh-CN"/>
        </w:rPr>
        <w:t>确定第二阶段成交供应商</w:t>
      </w:r>
      <w:bookmarkEnd w:id="18"/>
    </w:p>
    <w:p>
      <w:pPr>
        <w:numPr>
          <w:ilvl w:val="0"/>
          <w:numId w:val="0"/>
        </w:numPr>
        <w:spacing w:line="360" w:lineRule="auto"/>
        <w:ind w:left="0" w:leftChars="0" w:firstLine="420" w:firstLineChars="175"/>
        <w:rPr>
          <w:rStyle w:val="20"/>
          <w:rFonts w:hint="eastAsia" w:ascii="仿宋" w:hAnsi="仿宋" w:eastAsia="仿宋" w:cs="仿宋"/>
          <w:sz w:val="24"/>
          <w:szCs w:val="24"/>
          <w:highlight w:val="none"/>
          <w:lang w:val="zh-CN"/>
        </w:rPr>
      </w:pPr>
      <w:r>
        <w:rPr>
          <w:rStyle w:val="20"/>
          <w:rFonts w:hint="eastAsia" w:ascii="仿宋" w:hAnsi="仿宋" w:eastAsia="仿宋" w:cs="仿宋"/>
          <w:sz w:val="24"/>
          <w:szCs w:val="24"/>
          <w:highlight w:val="none"/>
        </w:rPr>
        <w:t>本项目第二阶段成交供应商</w:t>
      </w:r>
      <w:r>
        <w:rPr>
          <w:rStyle w:val="20"/>
          <w:rFonts w:hint="eastAsia" w:ascii="仿宋" w:hAnsi="仿宋" w:eastAsia="仿宋" w:cs="仿宋"/>
          <w:sz w:val="24"/>
          <w:szCs w:val="24"/>
          <w:highlight w:val="none"/>
          <w:lang w:val="en-US" w:eastAsia="zh-CN"/>
        </w:rPr>
        <w:t>按</w:t>
      </w:r>
      <w:r>
        <w:rPr>
          <w:rStyle w:val="20"/>
          <w:rFonts w:hint="eastAsia" w:ascii="仿宋" w:hAnsi="仿宋" w:eastAsia="仿宋" w:cs="仿宋"/>
          <w:sz w:val="24"/>
          <w:szCs w:val="24"/>
          <w:highlight w:val="none"/>
          <w:lang w:val="zh-CN"/>
        </w:rPr>
        <w:t>直接选定</w:t>
      </w:r>
      <w:r>
        <w:rPr>
          <w:rStyle w:val="20"/>
          <w:rFonts w:hint="eastAsia" w:ascii="仿宋" w:hAnsi="仿宋" w:eastAsia="仿宋" w:cs="仿宋"/>
          <w:sz w:val="24"/>
          <w:szCs w:val="24"/>
          <w:highlight w:val="none"/>
          <w:lang w:val="en-US" w:eastAsia="zh-CN"/>
        </w:rPr>
        <w:t>方式</w:t>
      </w:r>
      <w:r>
        <w:rPr>
          <w:rStyle w:val="20"/>
          <w:rFonts w:hint="eastAsia" w:ascii="仿宋" w:hAnsi="仿宋" w:eastAsia="仿宋" w:cs="仿宋"/>
          <w:sz w:val="24"/>
          <w:szCs w:val="24"/>
          <w:highlight w:val="none"/>
        </w:rPr>
        <w:t>确定</w:t>
      </w:r>
      <w:r>
        <w:rPr>
          <w:rStyle w:val="20"/>
          <w:rFonts w:hint="eastAsia" w:ascii="仿宋" w:hAnsi="仿宋" w:eastAsia="仿宋" w:cs="仿宋"/>
          <w:sz w:val="24"/>
          <w:szCs w:val="24"/>
          <w:highlight w:val="none"/>
          <w:lang w:eastAsia="zh-CN"/>
        </w:rPr>
        <w:t>。</w:t>
      </w:r>
      <w:r>
        <w:rPr>
          <w:rStyle w:val="20"/>
          <w:rFonts w:hint="eastAsia" w:ascii="仿宋" w:hAnsi="仿宋" w:eastAsia="仿宋" w:cs="仿宋"/>
          <w:sz w:val="24"/>
          <w:szCs w:val="24"/>
          <w:highlight w:val="none"/>
          <w:lang w:val="zh-CN"/>
        </w:rPr>
        <w:t>采购人或者服务对象依据入围产品价格、质量以及服务便利性、用户评价等因素，从第一阶段入围供应商中直接选定。</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五、</w:t>
      </w:r>
      <w:r>
        <w:rPr>
          <w:rFonts w:hint="eastAsia" w:ascii="仿宋" w:hAnsi="仿宋" w:eastAsia="仿宋" w:cs="Times New Roman"/>
          <w:b/>
          <w:bCs w:val="0"/>
          <w:sz w:val="28"/>
          <w:szCs w:val="28"/>
          <w:highlight w:val="none"/>
          <w:lang w:val="zh-CN"/>
        </w:rPr>
        <w:t>协议方的权利和义务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（一）甲方（征集人）权利义务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1.甲方对乙方框架协议的履行情况进行管理。甲方依据政府采购相关法律法规以及项目征集公告、乙方的申请文件等文本文件对乙方的履约和服务情况进行跟踪监督。</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2.甲方负责对定点</w:t>
      </w:r>
      <w:r>
        <w:rPr>
          <w:rFonts w:hint="eastAsia" w:ascii="仿宋" w:hAnsi="仿宋" w:eastAsia="仿宋" w:cs="Helvetica"/>
          <w:kern w:val="0"/>
          <w:sz w:val="24"/>
          <w:szCs w:val="24"/>
          <w:highlight w:val="none"/>
          <w:lang w:val="en-US" w:eastAsia="zh-CN"/>
        </w:rPr>
        <w:t>供应商</w:t>
      </w:r>
      <w:r>
        <w:rPr>
          <w:rFonts w:hint="eastAsia" w:ascii="仿宋" w:hAnsi="仿宋" w:eastAsia="仿宋" w:cs="Helvetica"/>
          <w:kern w:val="0"/>
          <w:sz w:val="24"/>
          <w:szCs w:val="24"/>
          <w:highlight w:val="none"/>
          <w:lang w:val="zh-CN"/>
        </w:rPr>
        <w:t>在履约过程中出现的违约情况进行调查核实，并及时将有关情况向政府采购监督管理部门反馈。</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3.甲方负责对乙方与采购单位在履约过程中发生的纠纷进行调解，调解无效的，将相关情况报政府采购监督管理部门处理。</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 （二）乙方（入围供应商）权利义务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1.乙方应严格遵守国家法律、法规和相关规定，诚实、守信，合法经营，自觉维护采购单位的利益，全面履行响应承诺，杜绝不正当竞争行为，优先服务采购单位，确保服务质量，圆满完成服务工作。</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.乙方应自觉接受并积极配合甲方按照征集公告、乙方的申请文件等对乙方的履约和服务情况进行跟踪监督。</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.乙方应做好</w:t>
      </w:r>
      <w:r>
        <w:rPr>
          <w:rFonts w:hint="eastAsia" w:ascii="仿宋" w:hAnsi="仿宋" w:eastAsia="仿宋" w:cs="Helvetica"/>
          <w:kern w:val="0"/>
          <w:sz w:val="24"/>
          <w:szCs w:val="24"/>
          <w:highlight w:val="none"/>
          <w:lang w:val="en-US" w:eastAsia="zh-CN"/>
        </w:rPr>
        <w:t>鄂州市政府采购框架协议电子平台</w:t>
      </w:r>
      <w:r>
        <w:rPr>
          <w:rFonts w:hint="eastAsia" w:ascii="仿宋" w:hAnsi="仿宋" w:eastAsia="仿宋" w:cs="Helvetica"/>
          <w:kern w:val="0"/>
          <w:sz w:val="24"/>
          <w:szCs w:val="24"/>
          <w:highlight w:val="none"/>
          <w:lang w:val="zh-CN"/>
        </w:rPr>
        <w:t>相关信息的维护工作。在协议有效期内，指派专人对业务系统进行操作、信息维护，保证公示的联系人、联系电话、服务承诺、报价等信息真实有效。协议期内，乙方信息发生调整的，应及时提出变更申请。</w:t>
      </w: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9" w:name="_Toc10032"/>
      <w:r>
        <w:rPr>
          <w:rFonts w:hint="eastAsia" w:ascii="仿宋" w:hAnsi="仿宋" w:eastAsia="仿宋"/>
          <w:b/>
          <w:bCs w:val="0"/>
          <w:kern w:val="0"/>
          <w:sz w:val="30"/>
          <w:szCs w:val="30"/>
          <w:lang w:val="zh-CN" w:eastAsia="zh-CN" w:bidi="ar-SA"/>
        </w:rPr>
        <w:t>五、</w:t>
      </w:r>
      <w:r>
        <w:rPr>
          <w:rFonts w:hint="eastAsia" w:ascii="仿宋" w:hAnsi="仿宋" w:eastAsia="仿宋"/>
          <w:bCs w:val="0"/>
          <w:sz w:val="28"/>
          <w:szCs w:val="28"/>
          <w:highlight w:val="none"/>
          <w:lang w:val="zh-CN"/>
        </w:rPr>
        <w:t>用户反馈和评价机制</w:t>
      </w:r>
      <w:bookmarkEnd w:id="19"/>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采购人对第二阶段成交供应商所提供的的货物、服务进行打分，包括商品质量、服务态度、物流服务（仅货物类）等。商品质量指供应商提供的货物或服务是否符合框架协议、采购合同约定的标准，是否存在包装、设计、安装、工艺、材料等方面的缺陷或服务上的瑕疵，是否存在更换或拒绝更换的情形等；服务态度指供应商售后服务是否及时、周到，出现问题是否及时响应、整改等；物流服务指供应商履约是否及时顺利，是否存在逾期交付等。</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六、</w:t>
      </w:r>
      <w:r>
        <w:rPr>
          <w:rFonts w:hint="eastAsia" w:ascii="仿宋" w:hAnsi="仿宋" w:eastAsia="仿宋" w:cs="Times New Roman"/>
          <w:b/>
          <w:bCs w:val="0"/>
          <w:sz w:val="28"/>
          <w:szCs w:val="28"/>
          <w:highlight w:val="none"/>
          <w:lang w:val="zh-CN"/>
        </w:rPr>
        <w:t>入围服务升级换代规则</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协议期有效内，如产品（服务）标准及价格发生变更、升级换代或替代的，入围供应商应当通过系统向征集人发起变更申请，经征集人审核通过后生效。</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1.申请产品（服务）信息变更、升级换代或用新服务替代的，变更后的产品（服务）标准、产品（服务）内容等不得低于原入围产品（服务）标准及内容。</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2.申请价格变更的，变更后的价格不得高于原入围价格。 </w:t>
      </w:r>
    </w:p>
    <w:p>
      <w:pPr>
        <w:spacing w:line="360" w:lineRule="auto"/>
        <w:ind w:firstLine="420" w:firstLineChars="175"/>
        <w:rPr>
          <w:rFonts w:hint="default" w:ascii="仿宋" w:hAnsi="仿宋" w:eastAsia="仿宋" w:cs="宋体"/>
          <w:b/>
          <w:bCs w:val="0"/>
          <w:sz w:val="28"/>
          <w:szCs w:val="28"/>
          <w:lang w:val="en-US" w:eastAsia="zh-CN"/>
        </w:rPr>
      </w:pPr>
      <w:r>
        <w:rPr>
          <w:rFonts w:hint="eastAsia" w:ascii="仿宋" w:hAnsi="仿宋" w:eastAsia="仿宋"/>
          <w:bCs/>
          <w:sz w:val="24"/>
          <w:szCs w:val="20"/>
          <w:highlight w:val="none"/>
          <w:lang w:val="zh-CN"/>
        </w:rPr>
        <w:br w:type="page"/>
      </w:r>
      <w:r>
        <w:rPr>
          <w:rFonts w:hint="eastAsia" w:ascii="仿宋" w:hAnsi="仿宋" w:eastAsia="仿宋" w:cs="宋体"/>
          <w:b/>
          <w:bCs w:val="0"/>
          <w:sz w:val="28"/>
          <w:szCs w:val="28"/>
          <w:lang w:val="en-US" w:eastAsia="zh-CN"/>
        </w:rPr>
        <w:t>附件1</w:t>
      </w:r>
    </w:p>
    <w:p>
      <w:pPr>
        <w:pStyle w:val="5"/>
        <w:keepNext/>
        <w:keepLines/>
        <w:adjustRightInd w:val="0"/>
        <w:snapToGrid w:val="0"/>
        <w:spacing w:before="0" w:after="0" w:line="700" w:lineRule="exact"/>
        <w:ind w:firstLine="0" w:firstLineChars="0"/>
        <w:jc w:val="center"/>
        <w:rPr>
          <w:rFonts w:hint="eastAsia" w:ascii="仿宋" w:hAnsi="仿宋" w:eastAsia="仿宋" w:cs="宋体"/>
          <w:b/>
          <w:sz w:val="32"/>
        </w:rPr>
      </w:pPr>
      <w:r>
        <w:rPr>
          <w:rFonts w:hint="eastAsia" w:ascii="仿宋" w:hAnsi="仿宋" w:eastAsia="仿宋" w:cs="宋体"/>
          <w:b/>
          <w:sz w:val="32"/>
        </w:rPr>
        <w:t>资格条件承诺函</w:t>
      </w:r>
    </w:p>
    <w:p>
      <w:pPr>
        <w:adjustRightInd w:val="0"/>
        <w:snapToGrid w:val="0"/>
        <w:spacing w:line="520" w:lineRule="exact"/>
        <w:jc w:val="center"/>
        <w:rPr>
          <w:rFonts w:hint="eastAsia" w:ascii="仿宋" w:hAnsi="仿宋" w:eastAsia="仿宋" w:cs="仿宋"/>
          <w:b w:val="0"/>
          <w:bCs/>
          <w:kern w:val="0"/>
          <w:szCs w:val="24"/>
          <w:shd w:val="clear" w:color="auto" w:fill="FFFFFF"/>
        </w:rPr>
      </w:pPr>
      <w:r>
        <w:rPr>
          <w:rFonts w:hint="eastAsia" w:ascii="仿宋" w:hAnsi="仿宋" w:eastAsia="仿宋" w:cs="仿宋"/>
          <w:b w:val="0"/>
          <w:bCs/>
          <w:kern w:val="0"/>
          <w:szCs w:val="24"/>
          <w:shd w:val="clear" w:color="auto" w:fill="FFFFFF"/>
        </w:rPr>
        <w:t>（</w:t>
      </w:r>
      <w:r>
        <w:rPr>
          <w:rFonts w:hint="eastAsia" w:ascii="仿宋" w:hAnsi="仿宋" w:eastAsia="仿宋" w:cs="仿宋"/>
          <w:b w:val="0"/>
          <w:bCs/>
          <w:kern w:val="0"/>
          <w:szCs w:val="24"/>
          <w:shd w:val="clear" w:color="auto" w:fill="FFFFFF"/>
          <w:lang w:val="en-US" w:eastAsia="zh-CN"/>
        </w:rPr>
        <w:t>供应商</w:t>
      </w:r>
      <w:r>
        <w:rPr>
          <w:rFonts w:hint="eastAsia" w:ascii="仿宋" w:hAnsi="仿宋" w:eastAsia="仿宋" w:cs="仿宋"/>
          <w:b w:val="0"/>
          <w:bCs/>
          <w:kern w:val="0"/>
          <w:szCs w:val="24"/>
          <w:shd w:val="clear" w:color="auto" w:fill="FFFFFF"/>
        </w:rPr>
        <w:t>应根据本单位实际情况进行声明）</w:t>
      </w:r>
    </w:p>
    <w:p>
      <w:pPr>
        <w:spacing w:line="360" w:lineRule="auto"/>
        <w:rPr>
          <w:rFonts w:hint="eastAsia" w:ascii="仿宋" w:hAnsi="仿宋" w:eastAsia="仿宋" w:cs="仿宋"/>
          <w:bCs/>
          <w:sz w:val="24"/>
          <w:szCs w:val="24"/>
        </w:rPr>
      </w:pPr>
    </w:p>
    <w:p>
      <w:pPr>
        <w:keepNext w:val="0"/>
        <w:keepLines w:val="0"/>
        <w:pageBreakBefore w:val="0"/>
        <w:widowControl w:val="0"/>
        <w:kinsoku/>
        <w:wordWrap/>
        <w:overflowPunct/>
        <w:topLinePunct w:val="0"/>
        <w:bidi w:val="0"/>
        <w:snapToGrid/>
        <w:spacing w:line="360" w:lineRule="auto"/>
        <w:textAlignment w:val="auto"/>
        <w:rPr>
          <w:rFonts w:ascii="仿宋" w:hAnsi="仿宋" w:eastAsia="仿宋" w:cs="仿宋"/>
          <w:bCs/>
          <w:sz w:val="24"/>
          <w:szCs w:val="24"/>
        </w:rPr>
      </w:pP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市政府采购中心：</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eastAsia="zh-CN"/>
        </w:rPr>
        <w:t>我单位申请加入</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2024年度</w:t>
      </w: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市行政事业单位</w:t>
      </w:r>
      <w:r>
        <w:rPr>
          <w:rFonts w:hint="eastAsia" w:ascii="仿宋" w:hAnsi="仿宋" w:eastAsia="仿宋" w:cs="Times New Roman"/>
          <w:bCs/>
          <w:color w:val="auto"/>
          <w:sz w:val="24"/>
          <w:szCs w:val="24"/>
          <w:highlight w:val="none"/>
        </w:rPr>
        <w:t>车辆加油和添加燃料服务</w:t>
      </w:r>
      <w:r>
        <w:rPr>
          <w:rFonts w:hint="eastAsia" w:ascii="仿宋" w:hAnsi="仿宋" w:eastAsia="仿宋" w:cs="仿宋"/>
          <w:bCs/>
          <w:sz w:val="24"/>
          <w:szCs w:val="24"/>
        </w:rPr>
        <w:t>开放式框架协议采购</w:t>
      </w:r>
      <w:r>
        <w:rPr>
          <w:rFonts w:hint="eastAsia" w:ascii="仿宋" w:hAnsi="仿宋" w:eastAsia="仿宋" w:cs="仿宋"/>
          <w:bCs/>
          <w:sz w:val="24"/>
          <w:szCs w:val="24"/>
          <w:lang w:val="en-US" w:eastAsia="zh-CN"/>
        </w:rPr>
        <w:t>供应商，</w:t>
      </w:r>
      <w:r>
        <w:rPr>
          <w:rFonts w:hint="eastAsia" w:ascii="仿宋" w:hAnsi="仿宋" w:eastAsia="仿宋" w:cs="仿宋"/>
          <w:bCs/>
          <w:sz w:val="24"/>
          <w:szCs w:val="24"/>
        </w:rPr>
        <w:t>根据</w:t>
      </w:r>
      <w:r>
        <w:rPr>
          <w:rFonts w:hint="eastAsia" w:ascii="仿宋" w:hAnsi="仿宋" w:eastAsia="仿宋" w:cs="仿宋"/>
          <w:bCs/>
          <w:sz w:val="24"/>
          <w:szCs w:val="24"/>
          <w:lang w:val="en-US" w:eastAsia="zh-CN"/>
        </w:rPr>
        <w:t>征集公告</w:t>
      </w:r>
      <w:r>
        <w:rPr>
          <w:rFonts w:hint="eastAsia" w:ascii="仿宋" w:hAnsi="仿宋" w:eastAsia="仿宋" w:cs="仿宋"/>
          <w:bCs/>
          <w:sz w:val="24"/>
          <w:szCs w:val="24"/>
        </w:rPr>
        <w:t>的规定提交相关资格证明文件。并郑重</w:t>
      </w:r>
      <w:r>
        <w:rPr>
          <w:rFonts w:hint="eastAsia" w:ascii="仿宋" w:hAnsi="仿宋" w:eastAsia="仿宋" w:cs="仿宋"/>
          <w:bCs/>
          <w:sz w:val="24"/>
          <w:szCs w:val="24"/>
          <w:lang w:val="en-US" w:eastAsia="zh-CN"/>
        </w:rPr>
        <w:t>承诺</w:t>
      </w:r>
      <w:r>
        <w:rPr>
          <w:rFonts w:hint="eastAsia" w:ascii="仿宋" w:hAnsi="仿宋" w:eastAsia="仿宋" w:cs="仿宋"/>
          <w:bCs/>
          <w:sz w:val="24"/>
          <w:szCs w:val="24"/>
        </w:rPr>
        <w:t>如下：</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（一）具有良好的商业信誉和健全的财务会计制度；</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（二）具有履行合同所必需的设备和专业技术能力；</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（三）有依法缴纳税收和社会保障资金的良好记录且无纳税、社保的失信记录；</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（四）参加政府采购活动前三年内，在经营活动中没有重大违法记录；</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未被“信用中国”网站(www.creditchina.gov.cn) 、“中国政府采购网”(www.ccgp.gov.cn)列入失信被执行人、重大税收违法案件当事人名单、企业经营异常名录、政府采购严重违法失信行为记录名单</w:t>
      </w:r>
      <w:r>
        <w:rPr>
          <w:rFonts w:hint="eastAsia" w:ascii="仿宋" w:hAnsi="仿宋" w:eastAsia="仿宋" w:cs="仿宋"/>
          <w:sz w:val="24"/>
          <w:szCs w:val="24"/>
          <w:lang w:eastAsia="zh-CN"/>
        </w:rPr>
        <w:t>。</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（六）与其他参加该项目同一合同项下政府采购的供应商负责人不是同一人，且与其他参加该项目同一合同项下政府采购的供应商不存在直接控股关系或管理关系；</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（七）未参与该项目的整体设计、规范编制或者项目管理、监理、检测等服务。</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（八）法律、行政法规规定的其他条件。</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若有虚假，一经查实，我单位承担一切责任，并承担由此造成的一切损失。</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特此承诺。</w:t>
      </w:r>
    </w:p>
    <w:p>
      <w:pPr>
        <w:spacing w:before="100" w:beforeAutospacing="1" w:after="100" w:afterAutospacing="1" w:line="360" w:lineRule="auto"/>
        <w:ind w:firstLine="3316" w:firstLineChars="1382"/>
        <w:rPr>
          <w:rFonts w:hint="eastAsia" w:ascii="仿宋" w:hAnsi="仿宋" w:eastAsia="仿宋" w:cs="仿宋"/>
          <w:bCs/>
          <w:sz w:val="24"/>
          <w:szCs w:val="21"/>
          <w:lang w:val="zh-CN"/>
        </w:rPr>
      </w:pPr>
    </w:p>
    <w:p>
      <w:pPr>
        <w:spacing w:before="100" w:beforeAutospacing="1" w:after="100" w:afterAutospacing="1" w:line="360" w:lineRule="auto"/>
        <w:ind w:firstLine="3316" w:firstLineChars="1382"/>
        <w:rPr>
          <w:rFonts w:hint="eastAsia" w:ascii="仿宋" w:hAnsi="仿宋" w:eastAsia="仿宋" w:cs="仿宋"/>
          <w:bCs/>
          <w:sz w:val="24"/>
          <w:szCs w:val="21"/>
          <w:lang w:val="zh-CN"/>
        </w:rPr>
      </w:pPr>
    </w:p>
    <w:p>
      <w:pPr>
        <w:spacing w:before="100" w:beforeAutospacing="1" w:after="100" w:afterAutospacing="1" w:line="360" w:lineRule="auto"/>
        <w:ind w:firstLine="3316" w:firstLineChars="1382"/>
        <w:rPr>
          <w:rFonts w:ascii="仿宋" w:hAnsi="仿宋" w:eastAsia="仿宋" w:cs="仿宋"/>
          <w:bCs/>
          <w:sz w:val="24"/>
          <w:szCs w:val="21"/>
          <w:u w:val="single"/>
          <w:lang w:val="zh-CN"/>
        </w:rPr>
      </w:pPr>
      <w:r>
        <w:rPr>
          <w:rFonts w:hint="eastAsia" w:ascii="仿宋" w:hAnsi="仿宋" w:eastAsia="仿宋" w:cs="仿宋"/>
          <w:bCs/>
          <w:sz w:val="24"/>
          <w:szCs w:val="21"/>
          <w:lang w:val="en-US" w:eastAsia="zh-CN"/>
        </w:rPr>
        <w:t>供应商</w:t>
      </w:r>
      <w:r>
        <w:rPr>
          <w:rFonts w:hint="eastAsia" w:ascii="仿宋" w:hAnsi="仿宋" w:eastAsia="仿宋" w:cs="仿宋"/>
          <w:bCs/>
          <w:sz w:val="24"/>
          <w:szCs w:val="24"/>
        </w:rPr>
        <w:t>（公章）</w:t>
      </w:r>
      <w:r>
        <w:rPr>
          <w:rFonts w:hint="eastAsia" w:ascii="仿宋" w:hAnsi="仿宋" w:eastAsia="仿宋" w:cs="仿宋"/>
          <w:bCs/>
          <w:sz w:val="24"/>
          <w:szCs w:val="21"/>
          <w:lang w:val="zh-CN"/>
        </w:rPr>
        <w:t>：</w:t>
      </w:r>
    </w:p>
    <w:p>
      <w:pPr>
        <w:spacing w:before="100" w:beforeAutospacing="1" w:after="100" w:afterAutospacing="1" w:line="360" w:lineRule="auto"/>
        <w:ind w:firstLine="3316" w:firstLineChars="1382"/>
        <w:rPr>
          <w:rFonts w:hint="default"/>
          <w:lang w:val="en-US" w:eastAsia="zh-CN"/>
        </w:rPr>
      </w:pPr>
      <w:r>
        <w:rPr>
          <w:rFonts w:hint="eastAsia" w:ascii="仿宋" w:hAnsi="仿宋" w:eastAsia="仿宋" w:cs="仿宋"/>
          <w:sz w:val="24"/>
          <w:szCs w:val="24"/>
        </w:rPr>
        <w:t>日   期：</w:t>
      </w:r>
    </w:p>
    <w:p>
      <w:pPr>
        <w:pStyle w:val="30"/>
        <w:rPr>
          <w:rFonts w:hint="eastAsia"/>
        </w:rPr>
        <w:sectPr>
          <w:pgSz w:w="11906" w:h="16838"/>
          <w:pgMar w:top="1134" w:right="1191" w:bottom="1134" w:left="1611" w:header="851" w:footer="851" w:gutter="0"/>
          <w:cols w:space="720" w:num="1"/>
          <w:docGrid w:type="linesAndChars" w:linePitch="312" w:charSpace="0"/>
        </w:sectPr>
      </w:pPr>
    </w:p>
    <w:p>
      <w:pPr>
        <w:pStyle w:val="5"/>
        <w:adjustRightInd w:val="0"/>
        <w:snapToGrid w:val="0"/>
        <w:spacing w:before="0" w:after="0" w:line="700" w:lineRule="exact"/>
        <w:ind w:left="0" w:leftChars="0" w:firstLine="0" w:firstLineChars="0"/>
        <w:jc w:val="left"/>
        <w:rPr>
          <w:rFonts w:hint="default" w:ascii="仿宋" w:hAnsi="仿宋" w:eastAsia="仿宋" w:cs="宋体"/>
          <w:b/>
          <w:bCs w:val="0"/>
          <w:sz w:val="28"/>
          <w:szCs w:val="28"/>
          <w:lang w:val="en-US" w:eastAsia="zh-CN"/>
        </w:rPr>
      </w:pPr>
      <w:r>
        <w:rPr>
          <w:rFonts w:hint="eastAsia" w:ascii="仿宋" w:hAnsi="仿宋" w:eastAsia="仿宋" w:cs="宋体"/>
          <w:b/>
          <w:bCs w:val="0"/>
          <w:sz w:val="28"/>
          <w:szCs w:val="28"/>
          <w:lang w:val="en-US" w:eastAsia="zh-CN"/>
        </w:rPr>
        <w:t>附件2</w:t>
      </w:r>
    </w:p>
    <w:p>
      <w:pPr>
        <w:pStyle w:val="30"/>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宋体" w:hAnsi="宋体" w:eastAsia="宋体" w:cs="宋体"/>
          <w:b/>
          <w:bCs/>
          <w:sz w:val="30"/>
          <w:szCs w:val="30"/>
          <w:lang w:val="en-US" w:eastAsia="zh-CN"/>
        </w:rPr>
      </w:pPr>
    </w:p>
    <w:p>
      <w:pPr>
        <w:pStyle w:val="30"/>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bCs/>
          <w:color w:val="auto"/>
          <w:kern w:val="2"/>
          <w:sz w:val="32"/>
          <w:szCs w:val="32"/>
          <w:lang w:val="en-US" w:eastAsia="zh-CN" w:bidi="ar-SA"/>
        </w:rPr>
      </w:pPr>
      <w:r>
        <w:rPr>
          <w:rFonts w:hint="eastAsia" w:ascii="宋体" w:hAnsi="宋体" w:eastAsia="宋体" w:cs="宋体"/>
          <w:b/>
          <w:bCs/>
          <w:sz w:val="30"/>
          <w:szCs w:val="30"/>
          <w:lang w:val="en-US" w:eastAsia="zh-CN"/>
        </w:rPr>
        <w:t>车辆加油、添加燃料服务入围供应商承诺书</w:t>
      </w:r>
      <w:r>
        <w:rPr>
          <w:rFonts w:hint="eastAsia" w:ascii="宋体" w:hAnsi="宋体" w:eastAsia="宋体" w:cs="宋体"/>
          <w:b/>
          <w:bCs/>
          <w:sz w:val="30"/>
          <w:szCs w:val="30"/>
          <w:lang w:val="en-US" w:eastAsia="zh-CN"/>
        </w:rPr>
        <w:br w:type="textWrapping"/>
      </w:r>
    </w:p>
    <w:p>
      <w:pPr>
        <w:spacing w:line="360" w:lineRule="auto"/>
        <w:rPr>
          <w:rFonts w:hint="default" w:ascii="仿宋" w:hAnsi="仿宋" w:eastAsia="仿宋" w:cs="仿宋"/>
          <w:bCs/>
          <w:sz w:val="24"/>
          <w:szCs w:val="24"/>
          <w:lang w:val="en-US" w:eastAsia="zh-CN"/>
        </w:rPr>
      </w:pPr>
      <w:r>
        <w:rPr>
          <w:rFonts w:hint="eastAsia" w:ascii="仿宋" w:hAnsi="仿宋" w:eastAsia="仿宋" w:cs="仿宋"/>
          <w:sz w:val="24"/>
          <w:szCs w:val="24"/>
          <w:lang w:val="en-US" w:eastAsia="zh-CN"/>
        </w:rPr>
        <w:t>鄂州市政府采购中心：</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根据</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市行政事业单位车辆加油和添加燃料服务开放式框架协议采购</w:t>
      </w:r>
      <w:r>
        <w:rPr>
          <w:rFonts w:hint="eastAsia" w:ascii="仿宋" w:hAnsi="仿宋" w:eastAsia="仿宋" w:cs="仿宋"/>
          <w:sz w:val="24"/>
          <w:szCs w:val="24"/>
          <w:lang w:val="en-US" w:eastAsia="zh-CN"/>
        </w:rPr>
        <w:t>征集公告要求，我公司郑重承诺如下：</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一、我公司承诺严格遵守法律法规，认真执行国家、行业相关标准，合法经营，按章办事，诚实守信，自觉维护鄂州市行政事业单位和团体组织的利益，树立鄂州市车辆加油和添加燃料服务供应商的良好形象。</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二、我公司承诺无条件响应</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市行政事业单位车辆加油和添加燃料服务开放式框架协议采购</w:t>
      </w:r>
      <w:r>
        <w:rPr>
          <w:rFonts w:hint="eastAsia" w:ascii="仿宋" w:hAnsi="仿宋" w:eastAsia="仿宋" w:cs="仿宋"/>
          <w:sz w:val="24"/>
          <w:szCs w:val="24"/>
          <w:lang w:val="en-US" w:eastAsia="zh-CN"/>
        </w:rPr>
        <w:t>征集公告的各项要求，</w:t>
      </w:r>
      <w:r>
        <w:rPr>
          <w:rFonts w:hint="eastAsia" w:ascii="仿宋" w:hAnsi="仿宋" w:eastAsia="仿宋" w:cs="仿宋"/>
          <w:bCs/>
          <w:sz w:val="24"/>
          <w:szCs w:val="24"/>
        </w:rPr>
        <w:t>不实行任何形式的区域限制，不在框架协议内容之外，提出任何附加条款</w:t>
      </w:r>
      <w:r>
        <w:rPr>
          <w:rFonts w:hint="eastAsia" w:ascii="仿宋" w:hAnsi="仿宋" w:eastAsia="仿宋" w:cs="仿宋"/>
          <w:bCs/>
          <w:sz w:val="24"/>
          <w:szCs w:val="24"/>
          <w:lang w:eastAsia="zh-CN"/>
        </w:rPr>
        <w:t>，</w:t>
      </w:r>
      <w:r>
        <w:rPr>
          <w:rFonts w:hint="eastAsia" w:ascii="仿宋" w:hAnsi="仿宋" w:eastAsia="仿宋" w:cs="仿宋"/>
          <w:sz w:val="24"/>
          <w:szCs w:val="24"/>
          <w:lang w:val="en-US" w:eastAsia="zh-CN"/>
        </w:rPr>
        <w:t>与同类供应商竞争中，不使用恶意竞价等</w:t>
      </w:r>
      <w:r>
        <w:rPr>
          <w:rFonts w:hint="eastAsia" w:ascii="仿宋" w:hAnsi="仿宋" w:eastAsia="仿宋" w:cs="仿宋"/>
          <w:color w:val="auto"/>
          <w:sz w:val="24"/>
          <w:szCs w:val="24"/>
          <w:lang w:val="en-US" w:eastAsia="zh-CN"/>
        </w:rPr>
        <w:t>非正当</w:t>
      </w:r>
      <w:r>
        <w:rPr>
          <w:rFonts w:hint="eastAsia" w:ascii="仿宋" w:hAnsi="仿宋" w:eastAsia="仿宋" w:cs="仿宋"/>
          <w:sz w:val="24"/>
          <w:szCs w:val="24"/>
          <w:lang w:val="en-US" w:eastAsia="zh-CN"/>
        </w:rPr>
        <w:t>手段。</w:t>
      </w:r>
      <w:r>
        <w:rPr>
          <w:rFonts w:hint="eastAsia" w:ascii="仿宋" w:hAnsi="仿宋" w:eastAsia="仿宋" w:cs="仿宋"/>
          <w:bCs/>
          <w:sz w:val="24"/>
          <w:szCs w:val="24"/>
        </w:rPr>
        <w:t>全面履行</w:t>
      </w:r>
      <w:r>
        <w:rPr>
          <w:rFonts w:hint="eastAsia" w:ascii="仿宋" w:hAnsi="仿宋" w:eastAsia="仿宋" w:cs="仿宋"/>
          <w:bCs/>
          <w:sz w:val="24"/>
          <w:szCs w:val="24"/>
          <w:lang w:val="en-US" w:eastAsia="zh-CN"/>
        </w:rPr>
        <w:t>响应</w:t>
      </w:r>
      <w:r>
        <w:rPr>
          <w:rFonts w:hint="eastAsia" w:ascii="仿宋" w:hAnsi="仿宋" w:eastAsia="仿宋" w:cs="仿宋"/>
          <w:bCs/>
          <w:sz w:val="24"/>
          <w:szCs w:val="24"/>
        </w:rPr>
        <w:t>承诺，圆满完成各级单位的相关定点服务工作，确保质量，提供快捷、方便、满意的服务</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三、我公</w:t>
      </w:r>
      <w:r>
        <w:rPr>
          <w:rFonts w:hint="eastAsia" w:ascii="仿宋" w:hAnsi="仿宋" w:eastAsia="仿宋" w:cs="仿宋"/>
          <w:bCs/>
          <w:sz w:val="24"/>
          <w:szCs w:val="24"/>
          <w:lang w:val="en-US" w:eastAsia="zh-CN"/>
        </w:rPr>
        <w:t>司承诺在国家发展和改革委员会</w:t>
      </w:r>
      <w:bookmarkStart w:id="22" w:name="_GoBack"/>
      <w:bookmarkEnd w:id="22"/>
      <w:r>
        <w:rPr>
          <w:rFonts w:hint="eastAsia" w:ascii="仿宋" w:hAnsi="仿宋" w:eastAsia="仿宋" w:cs="仿宋"/>
          <w:bCs/>
          <w:sz w:val="24"/>
          <w:szCs w:val="24"/>
          <w:lang w:val="en-US" w:eastAsia="zh-CN"/>
        </w:rPr>
        <w:t>发布的适时油品市场供应价的基础上提供</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lang w:val="en-US" w:eastAsia="zh-CN"/>
        </w:rPr>
        <w:t>%的价格折扣，并且在结算时提供正式发票。</w:t>
      </w:r>
    </w:p>
    <w:p>
      <w:pPr>
        <w:spacing w:line="360" w:lineRule="auto"/>
        <w:ind w:firstLine="480" w:firstLineChars="200"/>
        <w:rPr>
          <w:rFonts w:ascii="仿宋" w:hAnsi="仿宋" w:eastAsia="仿宋" w:cs="宋体"/>
          <w:color w:val="000000"/>
          <w:sz w:val="24"/>
          <w:szCs w:val="24"/>
        </w:rPr>
      </w:pPr>
      <w:r>
        <w:rPr>
          <w:rFonts w:hint="eastAsia" w:ascii="仿宋" w:hAnsi="仿宋" w:eastAsia="仿宋" w:cs="仿宋"/>
          <w:sz w:val="24"/>
          <w:szCs w:val="24"/>
          <w:lang w:val="en-US" w:eastAsia="zh-CN"/>
        </w:rPr>
        <w:t>四、我公司承诺做到以下服务内容：</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w:t>
      </w:r>
      <w:r>
        <w:rPr>
          <w:rFonts w:hint="eastAsia" w:ascii="仿宋" w:hAnsi="仿宋" w:eastAsia="仿宋" w:cs="宋体"/>
          <w:color w:val="000000"/>
          <w:sz w:val="24"/>
          <w:szCs w:val="24"/>
        </w:rPr>
        <w:t>1</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网点设置</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供应商应能充分满足、方便市级公务车的加油和添加燃料需要。</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售油服务</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（1）各定点加油站所经销油品必须从国家正规炼油厂、国有石油</w:t>
      </w:r>
      <w:r>
        <w:rPr>
          <w:rFonts w:hint="eastAsia" w:ascii="仿宋" w:hAnsi="仿宋" w:eastAsia="仿宋" w:cs="宋体"/>
          <w:color w:val="000000"/>
          <w:sz w:val="24"/>
          <w:szCs w:val="24"/>
          <w:lang w:val="en-US" w:eastAsia="zh-CN"/>
        </w:rPr>
        <w:t>企业</w:t>
      </w:r>
      <w:r>
        <w:rPr>
          <w:rFonts w:hint="eastAsia" w:ascii="仿宋" w:hAnsi="仿宋" w:eastAsia="仿宋" w:cs="宋体"/>
          <w:color w:val="000000"/>
          <w:sz w:val="24"/>
          <w:szCs w:val="24"/>
        </w:rPr>
        <w:t>采购，保证油品的质量。</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（2）必须使用符合国家规定的加油机加油（经具有法定计量检定资质机构检测后合格），保证供油数量。</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（4）供应商</w:t>
      </w:r>
      <w:r>
        <w:rPr>
          <w:rFonts w:hint="eastAsia" w:ascii="仿宋" w:hAnsi="仿宋" w:eastAsia="仿宋" w:cs="宋体"/>
          <w:color w:val="000000"/>
          <w:sz w:val="24"/>
          <w:szCs w:val="24"/>
          <w:lang w:val="en-US" w:eastAsia="zh-CN"/>
        </w:rPr>
        <w:t>须</w:t>
      </w:r>
      <w:r>
        <w:rPr>
          <w:rFonts w:hint="eastAsia" w:ascii="仿宋" w:hAnsi="仿宋" w:eastAsia="仿宋" w:cs="宋体"/>
          <w:color w:val="000000"/>
          <w:sz w:val="24"/>
          <w:szCs w:val="24"/>
        </w:rPr>
        <w:t>使用“IC”卡加油，并能全省通用。</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（5）</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工作</w:t>
      </w:r>
      <w:r>
        <w:rPr>
          <w:rFonts w:hint="eastAsia" w:ascii="仿宋" w:hAnsi="仿宋" w:eastAsia="仿宋" w:cs="宋体"/>
          <w:color w:val="000000"/>
          <w:sz w:val="24"/>
          <w:szCs w:val="24"/>
          <w:lang w:val="en-US" w:eastAsia="zh-CN"/>
        </w:rPr>
        <w:t>人</w:t>
      </w:r>
      <w:r>
        <w:rPr>
          <w:rFonts w:hint="eastAsia" w:ascii="仿宋" w:hAnsi="仿宋" w:eastAsia="仿宋" w:cs="宋体"/>
          <w:color w:val="000000"/>
          <w:sz w:val="24"/>
          <w:szCs w:val="24"/>
        </w:rPr>
        <w:t>员应做到礼貌待客、热情服务、全天营业、随到随加。</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（6）</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工作人员应审查IC卡显示的车牌号和实际加油车辆的车牌号是否一致，严格按照一车一卡、卡号与车牌号相一致的原则进行加油。</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（7）各</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与单位签订加油协议（合同）后，及时预先向其开具报销凭证，以便单位办理资金支付手续。</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（8）加油IC卡只能用于车辆加油，不允许从事其他消费。</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（9）在我省油市供应发生波动时，应制定相应的应对措施，确保公务车辆不受影响。</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（10）各</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应保证用卡情况能在网上查询。</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3</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IC卡其他功能要求</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每个单位除所有公务用车配置一车一卡外，</w:t>
      </w:r>
      <w:r>
        <w:rPr>
          <w:rFonts w:hint="eastAsia" w:ascii="仿宋" w:hAnsi="仿宋" w:eastAsia="仿宋" w:cs="宋体"/>
          <w:color w:val="000000"/>
          <w:sz w:val="24"/>
          <w:szCs w:val="24"/>
          <w:lang w:val="en-US" w:eastAsia="zh-CN"/>
        </w:rPr>
        <w:t>根据采购单位的需求</w:t>
      </w:r>
      <w:r>
        <w:rPr>
          <w:rFonts w:hint="eastAsia" w:ascii="仿宋" w:hAnsi="仿宋" w:eastAsia="仿宋" w:cs="宋体"/>
          <w:color w:val="000000"/>
          <w:sz w:val="24"/>
          <w:szCs w:val="24"/>
        </w:rPr>
        <w:t>配总卡一张，以达到对本单位所有用车监督和调剂的功能。可以随时办理挂失或退卡。加油卡一旦丢失，各部门、单位可立即挂失，48小时生效后此卡将被作废。</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4</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核心要求</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（1）加油卡办理。定点加油统一使用公务用车专用卡（电子油卡或IC油卡）。公务用车专用卡在</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指定地方办理。</w:t>
      </w:r>
    </w:p>
    <w:p>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000000"/>
          <w:sz w:val="24"/>
          <w:szCs w:val="24"/>
        </w:rPr>
        <w:t>（2）加油卡使用。定点加油统一使用公务用车专用卡（即一卡一车），加油卡包括主卡1张及副卡若干张。主卡为管理卡，每单位1张，用于增减副卡数量、资料变更、对副卡进行资金分配划转及查询所有副卡加油信息等。副卡为每车1张，只能用于加油。</w:t>
      </w:r>
      <w:r>
        <w:rPr>
          <w:rFonts w:hint="eastAsia" w:ascii="仿宋" w:hAnsi="仿宋" w:eastAsia="仿宋" w:cs="宋体"/>
          <w:color w:val="auto"/>
          <w:sz w:val="24"/>
          <w:szCs w:val="24"/>
        </w:rPr>
        <w:t>各单位可以在入围供应商中选择一家或多家办卡，并按照</w:t>
      </w:r>
      <w:r>
        <w:rPr>
          <w:rFonts w:hint="eastAsia" w:ascii="仿宋" w:hAnsi="仿宋" w:eastAsia="仿宋" w:cs="宋体"/>
          <w:color w:val="auto"/>
          <w:sz w:val="24"/>
          <w:szCs w:val="24"/>
          <w:lang w:val="en-US" w:eastAsia="zh-CN"/>
        </w:rPr>
        <w:t>供应商</w:t>
      </w:r>
      <w:r>
        <w:rPr>
          <w:rFonts w:hint="eastAsia" w:ascii="仿宋" w:hAnsi="仿宋" w:eastAsia="仿宋" w:cs="宋体"/>
          <w:color w:val="auto"/>
          <w:sz w:val="24"/>
          <w:szCs w:val="24"/>
        </w:rPr>
        <w:t>加油卡办理办法确定加油卡管理功能。</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auto"/>
          <w:sz w:val="24"/>
          <w:szCs w:val="24"/>
        </w:rPr>
        <w:t>（3）充值业务。采购人在</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市政府采购计划合同管理系统申报采购计划</w:t>
      </w:r>
      <w:r>
        <w:rPr>
          <w:rFonts w:hint="eastAsia" w:ascii="仿宋" w:hAnsi="仿宋" w:eastAsia="仿宋" w:cs="宋体"/>
          <w:color w:val="auto"/>
          <w:sz w:val="24"/>
          <w:szCs w:val="24"/>
          <w:lang w:eastAsia="zh-CN"/>
        </w:rPr>
        <w:t>，</w:t>
      </w:r>
      <w:r>
        <w:rPr>
          <w:rFonts w:hint="eastAsia" w:ascii="仿宋" w:hAnsi="仿宋" w:eastAsia="仿宋" w:cs="宋体"/>
          <w:color w:val="auto"/>
          <w:sz w:val="24"/>
          <w:szCs w:val="24"/>
        </w:rPr>
        <w:t>采购人凭电子密钥登录</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市政府采购框架协议电子平台，点击相应的采购</w:t>
      </w:r>
      <w:r>
        <w:rPr>
          <w:rFonts w:hint="eastAsia" w:ascii="仿宋" w:hAnsi="仿宋" w:eastAsia="仿宋" w:cs="宋体"/>
          <w:color w:val="000000"/>
          <w:sz w:val="24"/>
          <w:szCs w:val="24"/>
        </w:rPr>
        <w:t>计划，选择</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，填写采购需求提交订单，</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确认订单后，电子</w:t>
      </w:r>
      <w:r>
        <w:rPr>
          <w:rFonts w:hint="eastAsia" w:ascii="仿宋" w:hAnsi="仿宋" w:eastAsia="仿宋" w:cs="宋体"/>
          <w:color w:val="000000"/>
          <w:sz w:val="24"/>
          <w:szCs w:val="24"/>
          <w:lang w:val="en-US" w:eastAsia="zh-CN"/>
        </w:rPr>
        <w:t>平台</w:t>
      </w:r>
      <w:r>
        <w:rPr>
          <w:rFonts w:hint="eastAsia" w:ascii="仿宋" w:hAnsi="仿宋" w:eastAsia="仿宋" w:cs="宋体"/>
          <w:color w:val="000000"/>
          <w:sz w:val="24"/>
          <w:szCs w:val="24"/>
        </w:rPr>
        <w:t>自动生成交易凭证。</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确认订单视同收到预开发票申请，即可与采购人联系开具发票事宜，采购人凭发票和</w:t>
      </w:r>
      <w:r>
        <w:rPr>
          <w:rFonts w:hint="eastAsia" w:ascii="仿宋" w:hAnsi="仿宋" w:eastAsia="仿宋" w:cs="宋体"/>
          <w:color w:val="auto"/>
          <w:sz w:val="24"/>
          <w:szCs w:val="24"/>
        </w:rPr>
        <w:t>电子平台</w:t>
      </w:r>
      <w:r>
        <w:rPr>
          <w:rFonts w:hint="eastAsia" w:ascii="仿宋" w:hAnsi="仿宋" w:eastAsia="仿宋" w:cs="宋体"/>
          <w:color w:val="000000"/>
          <w:sz w:val="24"/>
          <w:szCs w:val="24"/>
        </w:rPr>
        <w:t>交易凭证办理支付结算，随后可随时持</w:t>
      </w:r>
      <w:r>
        <w:rPr>
          <w:rFonts w:hint="eastAsia" w:ascii="仿宋" w:hAnsi="仿宋" w:eastAsia="仿宋" w:cs="宋体"/>
          <w:color w:val="000000"/>
          <w:sz w:val="24"/>
          <w:szCs w:val="24"/>
          <w:lang w:val="en-US" w:eastAsia="zh-CN"/>
        </w:rPr>
        <w:t>主</w:t>
      </w:r>
      <w:r>
        <w:rPr>
          <w:rFonts w:hint="eastAsia" w:ascii="仿宋" w:hAnsi="仿宋" w:eastAsia="仿宋" w:cs="宋体"/>
          <w:color w:val="000000"/>
          <w:sz w:val="24"/>
          <w:szCs w:val="24"/>
        </w:rPr>
        <w:t>卡到指定网点办理充值业务。</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我公司24小时服务电话：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，总协调人：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，职务：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，办公电话：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，手机：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五、</w:t>
      </w:r>
      <w:r>
        <w:rPr>
          <w:rFonts w:hint="eastAsia" w:ascii="仿宋" w:hAnsi="仿宋" w:eastAsia="仿宋" w:cs="仿宋"/>
          <w:color w:val="auto"/>
          <w:sz w:val="24"/>
          <w:szCs w:val="24"/>
          <w:lang w:val="en-US" w:eastAsia="zh-CN"/>
        </w:rPr>
        <w:t>我公司建立用户档案，开展跟踪服务，并积极配合相关监管部门，做好监督检查工作。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六、我公司承诺遵守鄂州市政府采购框架协议电子平台各项政策、规则，接受财政部门、征集人对本框架协议采购的日常管理；遇新政策、规则出台时，我方将及时依照执行。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七、我公司承诺对参与本框架协议采购所获知的商业秘密或国家秘密承担保密义务。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八、我公司承诺，申请文件全部信息真实、准确、有效，愿意公开并接受社会各界监督。</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九、本承诺书自我公司盖章之日起至框架协议期满有效。</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承诺单位（公章）：</w:t>
      </w:r>
    </w:p>
    <w:p>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日期：  年  月  日</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（注：供应商不得删除和改动上述内容）</w:t>
      </w:r>
    </w:p>
    <w:p>
      <w:pPr>
        <w:pStyle w:val="10"/>
        <w:keepNext w:val="0"/>
        <w:keepLines w:val="0"/>
        <w:pageBreakBefore w:val="0"/>
        <w:widowControl w:val="0"/>
        <w:kinsoku/>
        <w:wordWrap/>
        <w:overflowPunct/>
        <w:topLinePunct w:val="0"/>
        <w:autoSpaceDE/>
        <w:autoSpaceDN/>
        <w:bidi w:val="0"/>
        <w:adjustRightInd/>
        <w:snapToGrid/>
        <w:spacing w:after="0" w:line="420" w:lineRule="exact"/>
        <w:ind w:left="0" w:leftChars="0" w:firstLine="0" w:firstLineChars="0"/>
        <w:jc w:val="center"/>
        <w:textAlignment w:val="auto"/>
        <w:rPr>
          <w:rFonts w:hint="eastAsia" w:ascii="仿宋" w:hAnsi="仿宋" w:eastAsia="仿宋" w:cs="仿宋"/>
          <w:b/>
          <w:bCs/>
          <w:color w:val="auto"/>
          <w:sz w:val="24"/>
          <w:szCs w:val="24"/>
          <w:lang w:val="en-US" w:eastAsia="zh-CN"/>
        </w:rPr>
      </w:pPr>
    </w:p>
    <w:p>
      <w:pPr>
        <w:rPr>
          <w:rFonts w:hint="eastAsia" w:ascii="仿宋" w:hAnsi="仿宋" w:eastAsia="仿宋" w:cs="仿宋"/>
          <w:sz w:val="24"/>
          <w:szCs w:val="24"/>
        </w:rPr>
      </w:pPr>
    </w:p>
    <w:p>
      <w:pPr>
        <w:pStyle w:val="30"/>
        <w:rPr>
          <w:rFonts w:hint="eastAsia"/>
        </w:rPr>
      </w:pPr>
    </w:p>
    <w:p>
      <w:pPr>
        <w:numPr>
          <w:ilvl w:val="0"/>
          <w:numId w:val="0"/>
        </w:numPr>
        <w:spacing w:line="440" w:lineRule="exact"/>
        <w:rPr>
          <w:rStyle w:val="20"/>
          <w:rFonts w:hint="eastAsia" w:ascii="仿宋" w:hAnsi="仿宋" w:eastAsia="仿宋" w:cs="仿宋"/>
          <w:color w:val="auto"/>
          <w:sz w:val="24"/>
          <w:szCs w:val="24"/>
          <w:lang w:val="en-US" w:eastAsia="zh-CN"/>
        </w:rPr>
      </w:pPr>
      <w:bookmarkStart w:id="20" w:name="bookmark19"/>
      <w:bookmarkEnd w:id="20"/>
      <w:bookmarkStart w:id="21" w:name="bookmark21"/>
      <w:bookmarkEnd w:id="2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3674745</wp:posOffset>
              </wp:positionH>
              <wp:positionV relativeFrom="page">
                <wp:posOffset>9918065</wp:posOffset>
              </wp:positionV>
              <wp:extent cx="50165" cy="77470"/>
              <wp:effectExtent l="0" t="0" r="0" b="0"/>
              <wp:wrapNone/>
              <wp:docPr id="4" name="Shape 4"/>
              <wp:cNvGraphicFramePr/>
              <a:graphic xmlns:a="http://schemas.openxmlformats.org/drawingml/2006/main">
                <a:graphicData uri="http://schemas.microsoft.com/office/word/2010/wordprocessingShape">
                  <wps:wsp>
                    <wps:cNvSpPr txBox="1"/>
                    <wps:spPr>
                      <a:xfrm>
                        <a:off x="0" y="0"/>
                        <a:ext cx="50165" cy="77470"/>
                      </a:xfrm>
                      <a:prstGeom prst="rect">
                        <a:avLst/>
                      </a:prstGeom>
                      <a:noFill/>
                    </wps:spPr>
                    <wps:txbx>
                      <w:txbxContent>
                        <w:p>
                          <w:pPr>
                            <w:pStyle w:val="24"/>
                            <w:keepNext w:val="0"/>
                            <w:keepLines w:val="0"/>
                            <w:widowControl w:val="0"/>
                            <w:shd w:val="clear" w:color="auto" w:fill="auto"/>
                            <w:bidi w:val="0"/>
                            <w:spacing w:before="0" w:after="0" w:line="240" w:lineRule="auto"/>
                            <w:ind w:left="0" w:right="0" w:firstLine="0"/>
                            <w:jc w:val="left"/>
                            <w:rPr>
                              <w:sz w:val="18"/>
                              <w:szCs w:val="18"/>
                            </w:rPr>
                          </w:pPr>
                        </w:p>
                      </w:txbxContent>
                    </wps:txbx>
                    <wps:bodyPr wrap="none" lIns="0" tIns="0" rIns="0" bIns="0">
                      <a:spAutoFit/>
                    </wps:bodyPr>
                  </wps:wsp>
                </a:graphicData>
              </a:graphic>
            </wp:anchor>
          </w:drawing>
        </mc:Choice>
        <mc:Fallback>
          <w:pict>
            <v:shape id="Shape 4" o:spid="_x0000_s1026" o:spt="202" type="#_x0000_t202" style="position:absolute;left:0pt;margin-left:289.35pt;margin-top:780.95pt;height:6.1pt;width:3.95pt;mso-position-horizontal-relative:page;mso-position-vertical-relative:page;mso-wrap-style:none;z-index:-251657216;mso-width-relative:page;mso-height-relative:page;" filled="f" stroked="f" coordsize="21600,21600" o:gfxdata="UEsDBAoAAAAAAIdO4kAAAAAAAAAAAAAAAAAEAAAAZHJzL1BLAwQUAAAACACHTuJABESaFdgAAAAN&#10;AQAADwAAAGRycy9kb3ducmV2LnhtbE2Py07DMBBF90j8gzWV2FEniDwIcbqoxIYdBSGxc+NpHNWP&#10;yHbT5O+ZrmA5c4/unGl3izVsxhBH7wTk2wwYut6r0Q0Cvj7fHmtgMUmnpPEOBawYYdfd37WyUf7q&#10;PnA+pIFRiYuNFKBTmhrOY6/Ryrj1EzrKTj5YmWgMA1dBXqncGv6UZSW3cnR0QcsJ9xr78+FiBVTL&#10;t8cp4h5/TnMf9LjW5n0V4mGTZ6/AEi7pD4abPqlDR05Hf3EqMiOgqOqKUAqKMn8BRkhRlyWw421V&#10;PefAu5b//6L7BVBLAwQUAAAACACHTuJAlRAgjawBAABtAwAADgAAAGRycy9lMm9Eb2MueG1srVPB&#10;btswDL0P6D8Iujd2irQZjDjFhqDFgGEb0O0DFFmKBUiiICqx8/ejZCctuksPu8g0ST++9yhvHkdn&#10;2UlFNOBbvlzUnCkvoTP+0PI/v59uP3OGSfhOWPCq5WeF/HF782kzhEbdQQ+2U5ERiMdmCC3vUwpN&#10;VaHslRO4gKA8FTVEJxK9xkPVRTEQurPVXV0/VAPELkSQCpGyu6nIZ8T4EUDQ2ki1A3l0yqcJNSor&#10;EknC3gTk28JWayXTT61RJWZbTkpTOWkIxft8VtuNaA5RhN7ImYL4CIV3mpwwnoZeoXYiCXaM5h8o&#10;Z2QEBJ0WElw1CSmOkIpl/c6bl14EVbSQ1RiupuP/g5U/Tr8iM13LV5x54WjhZSpbZWuGgA11vATq&#10;SeNXGOnCXPJIyax41NHlJ2lhVCdjz1dj1ZiYpOR9vXy450xSZb1erYvt1eunIWJ6VuBYDloeaWvF&#10;THH6joloUOulJU/y8GSszfnMb+KRozTux5n0HrozcR5osS33dI85s988+ZbvwCWIl2A/Bxkcw5dj&#10;ogFlbkadoOZhtIVCZ74xec1v30vX61+y/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ERJoV2AAA&#10;AA0BAAAPAAAAAAAAAAEAIAAAACIAAABkcnMvZG93bnJldi54bWxQSwECFAAUAAAACACHTuJAlRAg&#10;jawBAABtAwAADgAAAAAAAAABACAAAAAnAQAAZHJzL2Uyb0RvYy54bWxQSwUGAAAAAAYABgBZAQAA&#10;RQUAAAAA&#10;">
              <v:fill on="f" focussize="0,0"/>
              <v:stroke on="f"/>
              <v:imagedata o:title=""/>
              <o:lock v:ext="edit" aspectratio="f"/>
              <v:textbox inset="0mm,0mm,0mm,0mm" style="mso-fit-shape-to-text:t;">
                <w:txbxContent>
                  <w:p>
                    <w:pPr>
                      <w:pStyle w:val="24"/>
                      <w:keepNext w:val="0"/>
                      <w:keepLines w:val="0"/>
                      <w:widowControl w:val="0"/>
                      <w:shd w:val="clear" w:color="auto" w:fill="auto"/>
                      <w:bidi w:val="0"/>
                      <w:spacing w:before="0" w:after="0" w:line="240" w:lineRule="auto"/>
                      <w:ind w:left="0" w:right="0" w:firstLine="0"/>
                      <w:jc w:val="left"/>
                      <w:rPr>
                        <w:sz w:val="18"/>
                        <w:szCs w:val="1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D4B7FD"/>
    <w:multiLevelType w:val="singleLevel"/>
    <w:tmpl w:val="18D4B7FD"/>
    <w:lvl w:ilvl="0" w:tentative="0">
      <w:start w:val="1"/>
      <w:numFmt w:val="decimal"/>
      <w:suff w:val="nothing"/>
      <w:lvlText w:val="%1、"/>
      <w:lvlJc w:val="left"/>
    </w:lvl>
  </w:abstractNum>
  <w:abstractNum w:abstractNumId="1">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AF5455"/>
    <w:multiLevelType w:val="multilevel"/>
    <w:tmpl w:val="4EAF5455"/>
    <w:lvl w:ilvl="0" w:tentative="0">
      <w:start w:val="1"/>
      <w:numFmt w:val="chineseCountingThousand"/>
      <w:lvlText w:val="第%1章  "/>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3D33DD8"/>
    <w:multiLevelType w:val="singleLevel"/>
    <w:tmpl w:val="53D33DD8"/>
    <w:lvl w:ilvl="0" w:tentative="0">
      <w:start w:val="1"/>
      <w:numFmt w:val="decimal"/>
      <w:lvlText w:val="(%1)"/>
      <w:lvlJc w:val="left"/>
      <w:pPr>
        <w:ind w:left="425" w:hanging="425"/>
      </w:pPr>
      <w:rPr>
        <w:rFonts w:hint="default"/>
      </w:rPr>
    </w:lvl>
  </w:abstractNum>
  <w:abstractNum w:abstractNumId="4">
    <w:nsid w:val="5C19173C"/>
    <w:multiLevelType w:val="singleLevel"/>
    <w:tmpl w:val="5C19173C"/>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2ZTcwOGZmMTRkODQ5MWU4MTM1N2I3YzEyOTVhN2QifQ=="/>
  </w:docVars>
  <w:rsids>
    <w:rsidRoot w:val="2DF4197A"/>
    <w:rsid w:val="00B3602C"/>
    <w:rsid w:val="00BF52BD"/>
    <w:rsid w:val="01817688"/>
    <w:rsid w:val="03353615"/>
    <w:rsid w:val="047E185F"/>
    <w:rsid w:val="05790131"/>
    <w:rsid w:val="06056047"/>
    <w:rsid w:val="087D5842"/>
    <w:rsid w:val="08DF248D"/>
    <w:rsid w:val="093A686F"/>
    <w:rsid w:val="09681396"/>
    <w:rsid w:val="0A3F73AB"/>
    <w:rsid w:val="0AC737EC"/>
    <w:rsid w:val="0BFD2E3D"/>
    <w:rsid w:val="0D181A78"/>
    <w:rsid w:val="0D21097E"/>
    <w:rsid w:val="0EE72023"/>
    <w:rsid w:val="0FBF0E36"/>
    <w:rsid w:val="10360E88"/>
    <w:rsid w:val="132536A6"/>
    <w:rsid w:val="14D4445C"/>
    <w:rsid w:val="154F4A0A"/>
    <w:rsid w:val="15510852"/>
    <w:rsid w:val="15C94495"/>
    <w:rsid w:val="1744210D"/>
    <w:rsid w:val="19063631"/>
    <w:rsid w:val="1C422AD1"/>
    <w:rsid w:val="1D57445C"/>
    <w:rsid w:val="1F0D4D6E"/>
    <w:rsid w:val="214452F7"/>
    <w:rsid w:val="22E21CC0"/>
    <w:rsid w:val="251F15DC"/>
    <w:rsid w:val="2A245FD8"/>
    <w:rsid w:val="2B1A57A2"/>
    <w:rsid w:val="2D2F4295"/>
    <w:rsid w:val="2DF4197A"/>
    <w:rsid w:val="2E9C682F"/>
    <w:rsid w:val="2EC25AB9"/>
    <w:rsid w:val="2ED93263"/>
    <w:rsid w:val="304977CD"/>
    <w:rsid w:val="30C4542C"/>
    <w:rsid w:val="318E3C80"/>
    <w:rsid w:val="334D520D"/>
    <w:rsid w:val="34417B2A"/>
    <w:rsid w:val="34EB45AE"/>
    <w:rsid w:val="380C2ECE"/>
    <w:rsid w:val="392A081F"/>
    <w:rsid w:val="3E376877"/>
    <w:rsid w:val="41F92280"/>
    <w:rsid w:val="42841876"/>
    <w:rsid w:val="439D0404"/>
    <w:rsid w:val="451D2ED7"/>
    <w:rsid w:val="454665AA"/>
    <w:rsid w:val="45565B3D"/>
    <w:rsid w:val="45C9186F"/>
    <w:rsid w:val="46AF08CC"/>
    <w:rsid w:val="47C61378"/>
    <w:rsid w:val="49211C3E"/>
    <w:rsid w:val="49EB256C"/>
    <w:rsid w:val="4A474F52"/>
    <w:rsid w:val="4B8A1D1C"/>
    <w:rsid w:val="4B9A6D71"/>
    <w:rsid w:val="4BB00C01"/>
    <w:rsid w:val="4D7834CF"/>
    <w:rsid w:val="4EF03C10"/>
    <w:rsid w:val="4F246D4F"/>
    <w:rsid w:val="51C216B7"/>
    <w:rsid w:val="520E1655"/>
    <w:rsid w:val="525A28BF"/>
    <w:rsid w:val="55E62E4C"/>
    <w:rsid w:val="577F424A"/>
    <w:rsid w:val="57BE1470"/>
    <w:rsid w:val="57E554B6"/>
    <w:rsid w:val="58364BD7"/>
    <w:rsid w:val="589E2ED1"/>
    <w:rsid w:val="5A04382B"/>
    <w:rsid w:val="5AA304FB"/>
    <w:rsid w:val="5BE5323D"/>
    <w:rsid w:val="5C981DBF"/>
    <w:rsid w:val="5D624385"/>
    <w:rsid w:val="5F0D5C78"/>
    <w:rsid w:val="61737622"/>
    <w:rsid w:val="620121B5"/>
    <w:rsid w:val="628F68CF"/>
    <w:rsid w:val="65BA6903"/>
    <w:rsid w:val="6A151759"/>
    <w:rsid w:val="6F4E3F5C"/>
    <w:rsid w:val="6F6C3363"/>
    <w:rsid w:val="6F72638E"/>
    <w:rsid w:val="71DB4333"/>
    <w:rsid w:val="72F01BB6"/>
    <w:rsid w:val="746D0C3D"/>
    <w:rsid w:val="76590A11"/>
    <w:rsid w:val="768D39F2"/>
    <w:rsid w:val="78C86CF4"/>
    <w:rsid w:val="796E2B88"/>
    <w:rsid w:val="797F3C93"/>
    <w:rsid w:val="7D881FFF"/>
    <w:rsid w:val="7E6B1FD8"/>
    <w:rsid w:val="7F64315F"/>
    <w:rsid w:val="7F9A24D6"/>
    <w:rsid w:val="F9D6B9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9"/>
    <w:pPr>
      <w:adjustRightInd w:val="0"/>
      <w:spacing w:before="160" w:after="160" w:line="560" w:lineRule="exact"/>
      <w:ind w:firstLine="200" w:firstLineChars="200"/>
      <w:outlineLvl w:val="2"/>
    </w:pPr>
    <w:rPr>
      <w:rFonts w:eastAsia="楷体"/>
      <w:bCs/>
      <w:szCs w:val="32"/>
    </w:rPr>
  </w:style>
  <w:style w:type="character" w:default="1" w:styleId="17">
    <w:name w:val="Default Paragraph Font"/>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autoRedefine/>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6">
    <w:name w:val="Normal Indent"/>
    <w:basedOn w:val="1"/>
    <w:autoRedefine/>
    <w:qFormat/>
    <w:uiPriority w:val="0"/>
    <w:pPr>
      <w:ind w:firstLine="420"/>
    </w:pPr>
  </w:style>
  <w:style w:type="paragraph" w:styleId="7">
    <w:name w:val="annotation text"/>
    <w:basedOn w:val="1"/>
    <w:qFormat/>
    <w:uiPriority w:val="0"/>
    <w:pPr>
      <w:jc w:val="left"/>
    </w:pPr>
  </w:style>
  <w:style w:type="paragraph" w:styleId="8">
    <w:name w:val="Body Text"/>
    <w:basedOn w:val="1"/>
    <w:next w:val="1"/>
    <w:semiHidden/>
    <w:unhideWhenUsed/>
    <w:qFormat/>
    <w:uiPriority w:val="99"/>
    <w:pPr>
      <w:spacing w:after="120"/>
    </w:pPr>
  </w:style>
  <w:style w:type="paragraph" w:styleId="9">
    <w:name w:val="Body Text Indent"/>
    <w:basedOn w:val="1"/>
    <w:next w:val="10"/>
    <w:semiHidden/>
    <w:unhideWhenUsed/>
    <w:qFormat/>
    <w:uiPriority w:val="99"/>
    <w:pPr>
      <w:spacing w:after="120"/>
      <w:ind w:left="420" w:leftChars="200"/>
    </w:pPr>
  </w:style>
  <w:style w:type="paragraph" w:styleId="10">
    <w:name w:val="Body Text First Indent 2"/>
    <w:basedOn w:val="9"/>
    <w:semiHidden/>
    <w:unhideWhenUsed/>
    <w:qFormat/>
    <w:uiPriority w:val="99"/>
    <w:pPr>
      <w:ind w:firstLine="420" w:firstLineChars="200"/>
    </w:pPr>
  </w:style>
  <w:style w:type="paragraph" w:styleId="11">
    <w:name w:val="Plain Text"/>
    <w:basedOn w:val="1"/>
    <w:autoRedefine/>
    <w:qFormat/>
    <w:uiPriority w:val="0"/>
    <w:rPr>
      <w:rFonts w:ascii="宋体" w:hAnsi="Courier New" w:cs="Courier New"/>
    </w:rPr>
  </w:style>
  <w:style w:type="paragraph" w:styleId="12">
    <w:name w:val="footer"/>
    <w:basedOn w:val="1"/>
    <w:autoRedefine/>
    <w:qFormat/>
    <w:uiPriority w:val="0"/>
    <w:pPr>
      <w:tabs>
        <w:tab w:val="center" w:pos="4153"/>
        <w:tab w:val="right" w:pos="8306"/>
      </w:tabs>
      <w:snapToGrid w:val="0"/>
      <w:jc w:val="left"/>
    </w:pPr>
    <w:rPr>
      <w:sz w:val="18"/>
    </w:rPr>
  </w:style>
  <w:style w:type="paragraph" w:styleId="13">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table" w:styleId="16">
    <w:name w:val="Table Grid"/>
    <w:basedOn w:val="1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annotation reference"/>
    <w:qFormat/>
    <w:uiPriority w:val="99"/>
    <w:rPr>
      <w:sz w:val="21"/>
    </w:rPr>
  </w:style>
  <w:style w:type="paragraph" w:styleId="19">
    <w:name w:val="List Paragraph"/>
    <w:basedOn w:val="1"/>
    <w:qFormat/>
    <w:uiPriority w:val="34"/>
    <w:pPr>
      <w:ind w:firstLine="420" w:firstLineChars="200"/>
    </w:pPr>
  </w:style>
  <w:style w:type="character" w:customStyle="1" w:styleId="20">
    <w:name w:val="fontstyle21"/>
    <w:basedOn w:val="17"/>
    <w:qFormat/>
    <w:uiPriority w:val="0"/>
    <w:rPr>
      <w:rFonts w:hint="eastAsia" w:ascii="华文仿宋" w:hAnsi="华文仿宋" w:eastAsia="华文仿宋"/>
      <w:color w:val="000000"/>
      <w:sz w:val="28"/>
      <w:szCs w:val="28"/>
    </w:rPr>
  </w:style>
  <w:style w:type="paragraph" w:customStyle="1" w:styleId="21">
    <w:name w:val="Body text|1"/>
    <w:basedOn w:val="1"/>
    <w:autoRedefine/>
    <w:qFormat/>
    <w:uiPriority w:val="0"/>
    <w:pPr>
      <w:widowControl w:val="0"/>
      <w:shd w:val="clear" w:color="auto" w:fill="auto"/>
      <w:spacing w:line="439" w:lineRule="auto"/>
    </w:pPr>
    <w:rPr>
      <w:rFonts w:ascii="宋体" w:hAnsi="宋体" w:eastAsia="宋体" w:cs="宋体"/>
      <w:sz w:val="22"/>
      <w:szCs w:val="22"/>
      <w:u w:val="none"/>
      <w:shd w:val="clear" w:color="auto" w:fill="auto"/>
      <w:lang w:val="zh-TW" w:eastAsia="zh-TW" w:bidi="zh-TW"/>
    </w:rPr>
  </w:style>
  <w:style w:type="paragraph" w:customStyle="1" w:styleId="22">
    <w:name w:val="Other|1"/>
    <w:basedOn w:val="1"/>
    <w:autoRedefine/>
    <w:qFormat/>
    <w:uiPriority w:val="0"/>
    <w:pPr>
      <w:widowControl w:val="0"/>
      <w:shd w:val="clear" w:color="auto" w:fill="auto"/>
      <w:spacing w:line="439" w:lineRule="auto"/>
    </w:pPr>
    <w:rPr>
      <w:rFonts w:ascii="宋体" w:hAnsi="宋体" w:eastAsia="宋体" w:cs="宋体"/>
      <w:sz w:val="22"/>
      <w:szCs w:val="22"/>
      <w:u w:val="none"/>
      <w:shd w:val="clear" w:color="auto" w:fill="auto"/>
      <w:lang w:val="zh-TW" w:eastAsia="zh-TW" w:bidi="zh-TW"/>
    </w:rPr>
  </w:style>
  <w:style w:type="paragraph" w:customStyle="1" w:styleId="23">
    <w:name w:val="Picture caption|1"/>
    <w:basedOn w:val="1"/>
    <w:autoRedefine/>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paragraph" w:customStyle="1" w:styleId="24">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25">
    <w:name w:val="Header or footer|1"/>
    <w:basedOn w:val="1"/>
    <w:autoRedefine/>
    <w:qFormat/>
    <w:uiPriority w:val="0"/>
    <w:pPr>
      <w:widowControl w:val="0"/>
      <w:shd w:val="clear" w:color="auto" w:fill="auto"/>
      <w:spacing w:line="634" w:lineRule="exact"/>
    </w:pPr>
    <w:rPr>
      <w:rFonts w:ascii="宋体" w:hAnsi="宋体" w:eastAsia="宋体" w:cs="宋体"/>
      <w:color w:val="0E3B51"/>
      <w:sz w:val="26"/>
      <w:szCs w:val="26"/>
      <w:u w:val="none"/>
      <w:shd w:val="clear" w:color="auto" w:fill="auto"/>
      <w:lang w:val="zh-TW" w:eastAsia="zh-TW" w:bidi="zh-TW"/>
    </w:rPr>
  </w:style>
  <w:style w:type="paragraph" w:customStyle="1" w:styleId="26">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27">
    <w:name w:val="Normal_1"/>
    <w:autoRedefine/>
    <w:qFormat/>
    <w:uiPriority w:val="0"/>
    <w:rPr>
      <w:rFonts w:ascii="Times New Roman" w:hAnsi="Times New Roman" w:eastAsia="Times New Roman" w:cs="Times New Roman"/>
      <w:sz w:val="24"/>
      <w:szCs w:val="24"/>
    </w:rPr>
  </w:style>
  <w:style w:type="paragraph" w:customStyle="1" w:styleId="28">
    <w:name w:val="正文_0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正文_0"/>
    <w:autoRedefine/>
    <w:qFormat/>
    <w:uiPriority w:val="0"/>
    <w:pPr>
      <w:widowControl w:val="0"/>
      <w:jc w:val="both"/>
    </w:pPr>
    <w:rPr>
      <w:rFonts w:ascii="Times New Roman" w:hAnsi="Times New Roman" w:eastAsia="宋体" w:cs="Times New Roman"/>
      <w:kern w:val="2"/>
      <w:sz w:val="28"/>
      <w:szCs w:val="24"/>
      <w:lang w:val="en-US" w:eastAsia="zh-CN" w:bidi="ar-SA"/>
    </w:rPr>
  </w:style>
  <w:style w:type="paragraph" w:customStyle="1" w:styleId="30">
    <w:name w:val="CD正文"/>
    <w:basedOn w:val="1"/>
    <w:autoRedefine/>
    <w:qFormat/>
    <w:uiPriority w:val="0"/>
    <w:pPr>
      <w:spacing w:line="360" w:lineRule="auto"/>
      <w:ind w:firstLine="493"/>
    </w:pPr>
    <w:rPr>
      <w:sz w:val="30"/>
      <w:szCs w:val="28"/>
    </w:rPr>
  </w:style>
  <w:style w:type="paragraph" w:customStyle="1" w:styleId="31">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6509</Words>
  <Characters>6716</Characters>
  <Lines>0</Lines>
  <Paragraphs>0</Paragraphs>
  <TotalTime>1</TotalTime>
  <ScaleCrop>false</ScaleCrop>
  <LinksUpToDate>false</LinksUpToDate>
  <CharactersWithSpaces>6820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2022-06-09T19:30:00Z</dcterms:created>
  <dc:creator>NS</dc:creator>
  <cp:lastModifiedBy>远烟</cp:lastModifiedBy>
  <dcterms:modified xsi:type="dcterms:W3CDTF">2024-01-16T09:31:10Z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904E73F958594465BBAE98381806984E</vt:lpwstr>
  </property>
</Properties>
</file>