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left" w:pos="1982"/>
        </w:tabs>
        <w:adjustRightInd w:val="0"/>
        <w:snapToGrid w:val="0"/>
        <w:spacing w:line="560" w:lineRule="exact"/>
        <w:ind w:firstLine="0"/>
        <w:jc w:val="center"/>
        <w:rPr>
          <w:rFonts w:ascii="方正小标宋简体" w:hAnsi="方正小标宋简体" w:eastAsia="方正小标宋简体" w:cs="方正小标宋简体"/>
          <w:sz w:val="44"/>
          <w:szCs w:val="44"/>
          <w:lang w:val="en-US" w:eastAsia="zh-CN"/>
        </w:rPr>
      </w:pPr>
      <w:r>
        <w:rPr>
          <w:rFonts w:hint="eastAsia" w:ascii="黑体" w:hAnsi="黑体" w:eastAsia="黑体" w:cs="黑体"/>
          <w:sz w:val="44"/>
          <w:szCs w:val="44"/>
          <w:lang w:val="en-US" w:eastAsia="zh-CN"/>
        </w:rPr>
        <w:t>审计服务封闭式框架协议采购需求</w:t>
      </w:r>
    </w:p>
    <w:p>
      <w:pPr>
        <w:pStyle w:val="3"/>
        <w:numPr>
          <w:ilvl w:val="0"/>
          <w:numId w:val="0"/>
        </w:numPr>
        <w:spacing w:before="240" w:after="120"/>
        <w:ind w:leftChars="-200" w:firstLine="3855" w:firstLineChars="1200"/>
        <w:jc w:val="both"/>
        <w:rPr>
          <w:rFonts w:ascii="仿宋" w:hAnsi="仿宋" w:eastAsia="仿宋"/>
          <w:sz w:val="32"/>
          <w:szCs w:val="32"/>
        </w:rPr>
      </w:pPr>
      <w:r>
        <w:rPr>
          <w:rFonts w:hint="eastAsia" w:ascii="仿宋" w:hAnsi="仿宋" w:eastAsia="仿宋"/>
          <w:sz w:val="32"/>
          <w:szCs w:val="32"/>
          <w:lang w:val="en-US" w:eastAsia="zh-CN"/>
        </w:rPr>
        <w:t>第一章 资格条件</w:t>
      </w:r>
    </w:p>
    <w:p>
      <w:pPr>
        <w:rPr>
          <w:rFonts w:hint="eastAsia" w:ascii="仿宋" w:hAnsi="仿宋" w:eastAsia="仿宋"/>
          <w:sz w:val="32"/>
          <w:szCs w:val="32"/>
          <w:lang w:val="en-US" w:eastAsia="zh-CN"/>
        </w:rPr>
      </w:pPr>
    </w:p>
    <w:p>
      <w:pPr>
        <w:widowControl/>
        <w:snapToGrid w:val="0"/>
        <w:spacing w:line="520" w:lineRule="exact"/>
        <w:ind w:firstLine="480" w:firstLineChars="200"/>
        <w:jc w:val="left"/>
        <w:rPr>
          <w:rFonts w:ascii="仿宋" w:hAnsi="仿宋" w:eastAsia="仿宋"/>
          <w:bCs/>
          <w:sz w:val="24"/>
          <w:szCs w:val="24"/>
        </w:rPr>
      </w:pPr>
      <w:bookmarkStart w:id="0" w:name="_Toc124771270"/>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2.单位负责人为同一人或者存在直接控股、管理关系的不同供应商，不得参加本项目同一合同项下的政府采购活动。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520" w:lineRule="exact"/>
        <w:ind w:firstLine="480" w:firstLineChars="200"/>
        <w:jc w:val="left"/>
        <w:rPr>
          <w:rFonts w:hint="eastAsia" w:ascii="仿宋" w:hAnsi="仿宋" w:eastAsia="仿宋"/>
          <w:bCs/>
          <w:sz w:val="24"/>
          <w:szCs w:val="24"/>
        </w:rPr>
      </w:pPr>
      <w:r>
        <w:rPr>
          <w:rFonts w:hint="eastAsia" w:ascii="仿宋" w:hAnsi="仿宋" w:eastAsia="仿宋"/>
          <w:bCs/>
          <w:sz w:val="24"/>
          <w:szCs w:val="24"/>
        </w:rPr>
        <w:t>6.本项目的特定资格要求：</w:t>
      </w:r>
    </w:p>
    <w:p>
      <w:pPr>
        <w:widowControl/>
        <w:snapToGrid w:val="0"/>
        <w:spacing w:line="520" w:lineRule="exact"/>
        <w:ind w:firstLine="480" w:firstLineChars="200"/>
        <w:jc w:val="left"/>
        <w:rPr>
          <w:rFonts w:hint="eastAsia" w:ascii="仿宋" w:hAnsi="仿宋" w:eastAsia="仿宋"/>
          <w:bCs/>
          <w:sz w:val="24"/>
          <w:szCs w:val="24"/>
          <w:highlight w:val="none"/>
        </w:rPr>
      </w:pPr>
      <w:r>
        <w:rPr>
          <w:rFonts w:hint="eastAsia" w:ascii="仿宋" w:hAnsi="仿宋" w:eastAsia="仿宋"/>
          <w:bCs/>
          <w:sz w:val="24"/>
          <w:szCs w:val="24"/>
          <w:highlight w:val="none"/>
        </w:rPr>
        <w:t>（1）供应商应具备有效的《会计师事务所执业证书》。</w:t>
      </w:r>
    </w:p>
    <w:p>
      <w:pPr>
        <w:widowControl/>
        <w:snapToGrid w:val="0"/>
        <w:spacing w:line="520" w:lineRule="exact"/>
        <w:ind w:firstLine="480" w:firstLineChars="200"/>
        <w:jc w:val="left"/>
        <w:rPr>
          <w:rFonts w:hint="eastAsia" w:ascii="仿宋" w:hAnsi="仿宋" w:eastAsia="仿宋"/>
          <w:bCs/>
          <w:sz w:val="24"/>
          <w:szCs w:val="24"/>
          <w:highlight w:val="none"/>
        </w:rPr>
      </w:pPr>
      <w:r>
        <w:rPr>
          <w:rFonts w:hint="eastAsia" w:ascii="仿宋" w:hAnsi="仿宋" w:eastAsia="仿宋"/>
          <w:bCs/>
          <w:sz w:val="24"/>
          <w:szCs w:val="24"/>
          <w:highlight w:val="none"/>
        </w:rPr>
        <w:t>（2）</w:t>
      </w:r>
      <w:r>
        <w:rPr>
          <w:rFonts w:hint="eastAsia" w:ascii="仿宋" w:hAnsi="仿宋" w:eastAsia="仿宋"/>
          <w:bCs/>
          <w:sz w:val="24"/>
          <w:szCs w:val="24"/>
          <w:highlight w:val="none"/>
          <w:lang w:val="en-US" w:eastAsia="zh-CN"/>
        </w:rPr>
        <w:t>如分公司、分支机构或分所参与投标，须提供总公司、总机构或总所出具的唯一授权书</w:t>
      </w:r>
      <w:r>
        <w:rPr>
          <w:rFonts w:hint="eastAsia" w:ascii="仿宋" w:hAnsi="仿宋" w:eastAsia="仿宋"/>
          <w:bCs/>
          <w:sz w:val="24"/>
          <w:szCs w:val="24"/>
          <w:highlight w:val="none"/>
        </w:rPr>
        <w:t>。</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br w:type="page"/>
      </w:r>
    </w:p>
    <w:p>
      <w:pPr>
        <w:pStyle w:val="3"/>
        <w:numPr>
          <w:ilvl w:val="0"/>
          <w:numId w:val="0"/>
        </w:numPr>
        <w:spacing w:before="240" w:after="120"/>
        <w:ind w:leftChars="-200"/>
        <w:jc w:val="center"/>
        <w:rPr>
          <w:rFonts w:ascii="仿宋" w:hAnsi="仿宋" w:eastAsia="仿宋"/>
          <w:bCs w:val="0"/>
          <w:sz w:val="28"/>
          <w:szCs w:val="28"/>
          <w:lang w:val="zh-CN"/>
        </w:rPr>
      </w:pPr>
      <w:r>
        <w:rPr>
          <w:rFonts w:hint="eastAsia" w:ascii="仿宋" w:hAnsi="仿宋" w:eastAsia="仿宋"/>
          <w:sz w:val="32"/>
          <w:szCs w:val="32"/>
          <w:lang w:val="en-US" w:eastAsia="zh-CN"/>
        </w:rPr>
        <w:t xml:space="preserve">第二章 </w:t>
      </w:r>
      <w:r>
        <w:rPr>
          <w:rFonts w:hint="eastAsia" w:ascii="仿宋" w:hAnsi="仿宋" w:eastAsia="仿宋"/>
          <w:sz w:val="32"/>
          <w:szCs w:val="32"/>
        </w:rPr>
        <w:t>项目服务要求</w:t>
      </w:r>
      <w:bookmarkEnd w:id="0"/>
      <w:bookmarkStart w:id="1" w:name="_Toc338065593"/>
      <w:bookmarkStart w:id="2" w:name="_Toc339378679"/>
      <w:bookmarkStart w:id="3" w:name="_Toc48134912"/>
    </w:p>
    <w:bookmarkEnd w:id="1"/>
    <w:bookmarkEnd w:id="2"/>
    <w:bookmarkEnd w:id="3"/>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供应商响应的服务标准不得低于本章采购需求。供应商须在响应文件中参照《项目服务要求响应、偏离说明表》格式，对采购需求条款进行</w:t>
      </w:r>
      <w:r>
        <w:rPr>
          <w:rFonts w:hint="eastAsia" w:ascii="仿宋" w:hAnsi="仿宋" w:eastAsia="仿宋"/>
          <w:b/>
          <w:sz w:val="24"/>
          <w:szCs w:val="24"/>
          <w:u w:val="single"/>
        </w:rPr>
        <w:t>全面响应</w:t>
      </w:r>
      <w:r>
        <w:rPr>
          <w:rFonts w:hint="eastAsia" w:ascii="仿宋" w:hAnsi="仿宋" w:eastAsia="仿宋"/>
          <w:sz w:val="24"/>
          <w:szCs w:val="24"/>
        </w:rPr>
        <w:t>。</w:t>
      </w:r>
    </w:p>
    <w:p>
      <w:pPr>
        <w:pStyle w:val="4"/>
        <w:numPr>
          <w:ilvl w:val="0"/>
          <w:numId w:val="1"/>
        </w:numPr>
        <w:spacing w:before="0" w:after="0" w:line="360" w:lineRule="auto"/>
        <w:ind w:left="616" w:hanging="616"/>
        <w:jc w:val="left"/>
        <w:rPr>
          <w:rFonts w:ascii="仿宋" w:hAnsi="仿宋" w:eastAsia="仿宋"/>
          <w:bCs w:val="0"/>
          <w:sz w:val="28"/>
          <w:szCs w:val="28"/>
          <w:lang w:val="zh-CN"/>
        </w:rPr>
      </w:pPr>
      <w:bookmarkStart w:id="4" w:name="_Toc19685"/>
      <w:r>
        <w:rPr>
          <w:rFonts w:hint="eastAsia" w:ascii="仿宋" w:hAnsi="仿宋" w:eastAsia="仿宋"/>
          <w:bCs w:val="0"/>
          <w:sz w:val="28"/>
          <w:szCs w:val="28"/>
          <w:lang w:val="zh-CN"/>
        </w:rPr>
        <w:t>项目概况</w:t>
      </w:r>
      <w:bookmarkEnd w:id="4"/>
    </w:p>
    <w:p>
      <w:pPr>
        <w:spacing w:line="360" w:lineRule="auto"/>
        <w:ind w:firstLine="480" w:firstLineChars="200"/>
        <w:rPr>
          <w:rFonts w:ascii="仿宋" w:hAnsi="仿宋" w:eastAsia="仿宋"/>
          <w:sz w:val="24"/>
          <w:szCs w:val="24"/>
        </w:rPr>
      </w:pPr>
      <w:bookmarkStart w:id="5" w:name="_Toc339378680"/>
      <w:bookmarkStart w:id="6" w:name="_Toc338065594"/>
      <w:r>
        <w:rPr>
          <w:rFonts w:hint="eastAsia" w:ascii="仿宋" w:hAnsi="仿宋" w:eastAsia="仿宋"/>
          <w:sz w:val="24"/>
          <w:szCs w:val="24"/>
        </w:rPr>
        <w:t>1.需求内容：审计服务。</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2.服务对象：</w:t>
      </w:r>
      <w:r>
        <w:rPr>
          <w:rFonts w:hint="eastAsia" w:ascii="仿宋" w:hAnsi="仿宋" w:eastAsia="仿宋"/>
          <w:sz w:val="24"/>
          <w:szCs w:val="24"/>
          <w:lang w:val="en-US" w:eastAsia="zh-CN"/>
        </w:rPr>
        <w:t>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bookmarkStart w:id="26" w:name="_GoBack"/>
      <w:bookmarkEnd w:id="26"/>
      <w:r>
        <w:rPr>
          <w:rFonts w:hint="eastAsia" w:ascii="仿宋" w:hAnsi="仿宋" w:eastAsia="仿宋"/>
          <w:sz w:val="24"/>
          <w:szCs w:val="24"/>
        </w:rPr>
        <w:t>。</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3.框架协议有效期：</w:t>
      </w:r>
      <w:r>
        <w:rPr>
          <w:rFonts w:hint="eastAsia" w:ascii="仿宋" w:hAnsi="仿宋" w:eastAsia="仿宋"/>
          <w:sz w:val="24"/>
          <w:szCs w:val="24"/>
          <w:lang w:val="en-US" w:eastAsia="zh-CN"/>
        </w:rPr>
        <w:t>2024年1月1日</w:t>
      </w:r>
      <w:r>
        <w:rPr>
          <w:rFonts w:hint="eastAsia" w:ascii="仿宋" w:hAnsi="仿宋" w:eastAsia="仿宋"/>
          <w:sz w:val="24"/>
          <w:szCs w:val="24"/>
        </w:rPr>
        <w:t>起至202</w:t>
      </w:r>
      <w:r>
        <w:rPr>
          <w:rFonts w:hint="eastAsia" w:ascii="仿宋" w:hAnsi="仿宋" w:eastAsia="仿宋"/>
          <w:sz w:val="24"/>
          <w:szCs w:val="24"/>
          <w:lang w:val="en-US" w:eastAsia="zh-CN"/>
        </w:rPr>
        <w:t>4</w:t>
      </w:r>
      <w:r>
        <w:rPr>
          <w:rFonts w:hint="eastAsia" w:ascii="仿宋" w:hAnsi="仿宋" w:eastAsia="仿宋"/>
          <w:sz w:val="24"/>
          <w:szCs w:val="24"/>
        </w:rPr>
        <w:t>年12月31日</w:t>
      </w:r>
    </w:p>
    <w:p>
      <w:pPr>
        <w:spacing w:line="360" w:lineRule="auto"/>
        <w:ind w:firstLine="480" w:firstLineChars="200"/>
        <w:rPr>
          <w:rFonts w:hint="eastAsia" w:ascii="仿宋" w:hAnsi="仿宋" w:eastAsia="仿宋"/>
          <w:sz w:val="24"/>
          <w:szCs w:val="24"/>
          <w:lang w:val="zh-CN"/>
        </w:rPr>
      </w:pPr>
      <w:r>
        <w:rPr>
          <w:rFonts w:hint="eastAsia" w:ascii="仿宋" w:hAnsi="仿宋" w:eastAsia="仿宋"/>
          <w:sz w:val="24"/>
          <w:szCs w:val="24"/>
        </w:rPr>
        <w:t>4.分包情况：第1包</w:t>
      </w:r>
      <w:r>
        <w:rPr>
          <w:rFonts w:hint="eastAsia" w:ascii="仿宋" w:hAnsi="仿宋" w:eastAsia="仿宋"/>
          <w:sz w:val="24"/>
          <w:szCs w:val="24"/>
          <w:lang w:val="en-US" w:eastAsia="zh-CN"/>
        </w:rPr>
        <w:t>内部</w:t>
      </w:r>
      <w:r>
        <w:rPr>
          <w:rFonts w:hint="eastAsia" w:ascii="仿宋" w:hAnsi="仿宋" w:eastAsia="仿宋"/>
          <w:sz w:val="24"/>
          <w:szCs w:val="24"/>
        </w:rPr>
        <w:t>经济责任审计；第2包其他内容审计。</w:t>
      </w:r>
    </w:p>
    <w:p>
      <w:pPr>
        <w:pStyle w:val="4"/>
        <w:numPr>
          <w:ilvl w:val="0"/>
          <w:numId w:val="1"/>
        </w:numPr>
        <w:spacing w:before="0" w:after="0" w:line="360" w:lineRule="auto"/>
        <w:ind w:left="616" w:hanging="616"/>
        <w:jc w:val="left"/>
        <w:rPr>
          <w:rFonts w:ascii="仿宋" w:hAnsi="仿宋" w:eastAsia="仿宋"/>
          <w:bCs w:val="0"/>
          <w:sz w:val="28"/>
          <w:szCs w:val="28"/>
          <w:lang w:val="zh-CN"/>
        </w:rPr>
      </w:pPr>
      <w:bookmarkStart w:id="7" w:name="_Toc48134913"/>
      <w:bookmarkStart w:id="8" w:name="_Toc10510"/>
      <w:r>
        <w:rPr>
          <w:rFonts w:hint="eastAsia" w:ascii="仿宋" w:hAnsi="仿宋" w:eastAsia="仿宋"/>
          <w:bCs w:val="0"/>
          <w:sz w:val="28"/>
          <w:szCs w:val="28"/>
        </w:rPr>
        <w:t>服务</w:t>
      </w:r>
      <w:r>
        <w:rPr>
          <w:rFonts w:hint="eastAsia" w:ascii="仿宋" w:hAnsi="仿宋" w:eastAsia="仿宋"/>
          <w:bCs w:val="0"/>
          <w:sz w:val="28"/>
          <w:szCs w:val="28"/>
          <w:lang w:val="zh-CN"/>
        </w:rPr>
        <w:t>内容</w:t>
      </w:r>
      <w:bookmarkEnd w:id="7"/>
      <w:r>
        <w:rPr>
          <w:rFonts w:hint="eastAsia" w:ascii="仿宋" w:hAnsi="仿宋" w:eastAsia="仿宋"/>
          <w:bCs w:val="0"/>
          <w:sz w:val="28"/>
          <w:szCs w:val="28"/>
        </w:rPr>
        <w:t>和服务要求</w:t>
      </w:r>
      <w:bookmarkEnd w:id="8"/>
    </w:p>
    <w:bookmarkEnd w:id="5"/>
    <w:bookmarkEnd w:id="6"/>
    <w:p>
      <w:pPr>
        <w:outlineLvl w:val="0"/>
        <w:rPr>
          <w:rFonts w:hint="eastAsia" w:ascii="仿宋_GB2312" w:hAnsi="宋体" w:eastAsia="仿宋_GB2312"/>
          <w:b/>
          <w:bCs/>
          <w:sz w:val="28"/>
          <w:szCs w:val="28"/>
        </w:rPr>
      </w:pPr>
      <w:bookmarkStart w:id="9" w:name="_Toc26346"/>
      <w:bookmarkStart w:id="10" w:name="_Toc16212"/>
      <w:bookmarkStart w:id="11" w:name="_Toc18213"/>
      <w:bookmarkStart w:id="12" w:name="_Toc692"/>
      <w:bookmarkStart w:id="13" w:name="_Toc16979"/>
      <w:bookmarkStart w:id="14" w:name="_Toc20591"/>
      <w:bookmarkStart w:id="15" w:name="_Toc48134916"/>
      <w:r>
        <w:rPr>
          <w:rFonts w:hint="eastAsia" w:ascii="仿宋_GB2312" w:hAnsi="宋体" w:eastAsia="仿宋_GB2312"/>
          <w:b/>
          <w:bCs/>
          <w:sz w:val="28"/>
          <w:szCs w:val="28"/>
        </w:rPr>
        <w:t>1.各包服务内容</w:t>
      </w:r>
      <w:bookmarkEnd w:id="9"/>
    </w:p>
    <w:p>
      <w:pPr>
        <w:pStyle w:val="13"/>
        <w:spacing w:before="0" w:beforeLines="0" w:after="0" w:afterLines="0" w:line="600" w:lineRule="exact"/>
        <w:ind w:firstLine="640"/>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本项目共分2个包，分别为：内部经济责任审计、其他内容审计（年度财务报表审计、清产核资等专项审计、内部控制鉴证、基本建设工程决算审核业务建设项目竣工财务决算审计、非盈利机构报表审计等）。</w:t>
      </w:r>
    </w:p>
    <w:p>
      <w:pPr>
        <w:outlineLvl w:val="0"/>
        <w:rPr>
          <w:rFonts w:ascii="仿宋_GB2312" w:hAnsi="宋体" w:eastAsia="仿宋_GB2312"/>
          <w:b/>
          <w:bCs/>
          <w:sz w:val="28"/>
          <w:szCs w:val="28"/>
        </w:rPr>
      </w:pPr>
      <w:bookmarkStart w:id="16" w:name="_Toc20515"/>
      <w:r>
        <w:rPr>
          <w:rFonts w:hint="eastAsia" w:ascii="仿宋_GB2312" w:hAnsi="宋体" w:eastAsia="仿宋_GB2312"/>
          <w:b/>
          <w:bCs/>
          <w:sz w:val="28"/>
          <w:szCs w:val="28"/>
        </w:rPr>
        <w:t>2.服务要求</w:t>
      </w:r>
      <w:bookmarkEnd w:id="16"/>
    </w:p>
    <w:p>
      <w:pPr>
        <w:pStyle w:val="7"/>
        <w:spacing w:before="156" w:beforeLines="50"/>
        <w:ind w:left="0" w:leftChars="0" w:firstLine="0" w:firstLineChars="0"/>
        <w:jc w:val="left"/>
        <w:rPr>
          <w:rFonts w:hint="eastAsia" w:ascii="仿宋" w:hAnsi="仿宋" w:eastAsia="仿宋"/>
          <w:b/>
          <w:bCs/>
          <w:sz w:val="24"/>
          <w:szCs w:val="24"/>
        </w:rPr>
      </w:pPr>
      <w:r>
        <w:rPr>
          <w:rFonts w:hint="eastAsia" w:ascii="仿宋" w:hAnsi="仿宋" w:eastAsia="仿宋"/>
          <w:b/>
          <w:bCs/>
          <w:sz w:val="24"/>
          <w:szCs w:val="24"/>
        </w:rPr>
        <w:t>2.1服务标准</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服务内容：供应商须对每个审计项目，制定审计工作方案，工作方案应包括审计目的、审计对象、审计方法、审计指标、审计时间安排、团队人员组成、等。供应商必须对</w:t>
      </w:r>
      <w:r>
        <w:rPr>
          <w:rFonts w:ascii="仿宋" w:hAnsi="仿宋" w:eastAsia="仿宋"/>
          <w:sz w:val="24"/>
          <w:szCs w:val="24"/>
        </w:rPr>
        <w:t>检查</w:t>
      </w:r>
      <w:r>
        <w:rPr>
          <w:rFonts w:hint="eastAsia" w:ascii="仿宋" w:hAnsi="仿宋" w:eastAsia="仿宋"/>
          <w:sz w:val="24"/>
          <w:szCs w:val="24"/>
        </w:rPr>
        <w:t>数据和佐证资料的真实性、完整性、准确性以及提交的</w:t>
      </w:r>
      <w:r>
        <w:rPr>
          <w:rFonts w:ascii="仿宋" w:hAnsi="仿宋" w:eastAsia="仿宋"/>
          <w:sz w:val="24"/>
          <w:szCs w:val="24"/>
        </w:rPr>
        <w:t>检查</w:t>
      </w:r>
      <w:r>
        <w:rPr>
          <w:rFonts w:hint="eastAsia" w:ascii="仿宋" w:hAnsi="仿宋" w:eastAsia="仿宋"/>
          <w:sz w:val="24"/>
          <w:szCs w:val="24"/>
        </w:rPr>
        <w:t>报告的客观公正性负责。</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严格依据响应文件要求和征集文件的承诺，以不高于入围价格向各级单位提供服务。不实行任何形式的区域限制，不在框架协议内容之外，提出任何附加条款。全面履行投标承诺，圆满完成各级单位的相关定点服务工作，确保质量，提供快捷、方便、满意的服务。</w:t>
      </w:r>
    </w:p>
    <w:p>
      <w:pPr>
        <w:pStyle w:val="7"/>
        <w:spacing w:before="156" w:beforeLines="50"/>
        <w:ind w:left="0" w:leftChars="0" w:firstLine="0" w:firstLineChars="0"/>
        <w:jc w:val="left"/>
        <w:rPr>
          <w:rFonts w:hint="eastAsia" w:ascii="仿宋" w:hAnsi="仿宋" w:eastAsia="仿宋"/>
          <w:b/>
          <w:bCs/>
          <w:sz w:val="24"/>
          <w:szCs w:val="24"/>
        </w:rPr>
      </w:pPr>
      <w:r>
        <w:rPr>
          <w:rFonts w:hint="eastAsia" w:ascii="仿宋" w:hAnsi="仿宋" w:eastAsia="仿宋"/>
          <w:b/>
          <w:bCs/>
          <w:sz w:val="24"/>
          <w:szCs w:val="24"/>
        </w:rPr>
        <w:t>2.2服务人员要求</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应根据采购人的项目需求配备相应的服务团队及驻场服务要求，至少配备一名注册会计师和项目负责人（可为同一人），遵守采购人的打卡制度要求，在规定的时间节点内按照采购人确定的流程有序组织开展具体工作。</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供应商</w:t>
      </w:r>
      <w:r>
        <w:rPr>
          <w:rFonts w:hint="eastAsia" w:ascii="仿宋" w:hAnsi="仿宋" w:eastAsia="仿宋"/>
          <w:sz w:val="24"/>
          <w:szCs w:val="24"/>
          <w:lang w:val="zh-CN"/>
        </w:rPr>
        <w:t>在审计项目实施过程中，</w:t>
      </w:r>
      <w:r>
        <w:rPr>
          <w:rFonts w:hint="eastAsia" w:ascii="仿宋" w:hAnsi="仿宋" w:eastAsia="仿宋"/>
          <w:sz w:val="24"/>
          <w:szCs w:val="24"/>
        </w:rPr>
        <w:t>原则上不准更换服务团队人员，</w:t>
      </w:r>
      <w:r>
        <w:rPr>
          <w:rFonts w:hint="eastAsia" w:ascii="仿宋" w:hAnsi="仿宋" w:eastAsia="仿宋"/>
          <w:sz w:val="24"/>
          <w:szCs w:val="24"/>
          <w:lang w:val="zh-CN"/>
        </w:rPr>
        <w:t>如需更换，需提前7天书面向</w:t>
      </w:r>
      <w:r>
        <w:rPr>
          <w:rFonts w:hint="eastAsia" w:ascii="仿宋" w:hAnsi="仿宋" w:eastAsia="仿宋"/>
          <w:sz w:val="24"/>
          <w:szCs w:val="24"/>
        </w:rPr>
        <w:t>采购人</w:t>
      </w:r>
      <w:r>
        <w:rPr>
          <w:rFonts w:hint="eastAsia" w:ascii="仿宋" w:hAnsi="仿宋" w:eastAsia="仿宋"/>
          <w:sz w:val="24"/>
          <w:szCs w:val="24"/>
          <w:lang w:val="zh-CN"/>
        </w:rPr>
        <w:t>提出申请，经同意后更换，否则视为违约，</w:t>
      </w:r>
      <w:r>
        <w:rPr>
          <w:rFonts w:hint="eastAsia" w:ascii="仿宋" w:hAnsi="仿宋" w:eastAsia="仿宋"/>
          <w:sz w:val="24"/>
          <w:szCs w:val="24"/>
        </w:rPr>
        <w:t>按照合同约定的相关违约责任进行处理。</w:t>
      </w:r>
    </w:p>
    <w:p>
      <w:pPr>
        <w:pStyle w:val="7"/>
        <w:spacing w:before="156" w:beforeLines="50"/>
        <w:ind w:left="0" w:leftChars="0" w:firstLine="0" w:firstLineChars="0"/>
        <w:jc w:val="left"/>
        <w:rPr>
          <w:rFonts w:hint="eastAsia" w:ascii="仿宋" w:hAnsi="仿宋" w:eastAsia="仿宋"/>
          <w:b/>
          <w:bCs/>
          <w:sz w:val="24"/>
          <w:szCs w:val="24"/>
        </w:rPr>
      </w:pPr>
      <w:r>
        <w:rPr>
          <w:rFonts w:hint="eastAsia" w:ascii="仿宋" w:hAnsi="仿宋" w:eastAsia="仿宋"/>
          <w:b/>
          <w:bCs/>
          <w:sz w:val="24"/>
          <w:szCs w:val="24"/>
        </w:rPr>
        <w:t>2.3服务的地域范围</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成果交付：由双方约定，以采购人要求为准。</w:t>
      </w:r>
    </w:p>
    <w:p>
      <w:pPr>
        <w:pStyle w:val="7"/>
        <w:spacing w:before="156" w:beforeLines="50"/>
        <w:ind w:left="0" w:leftChars="0" w:firstLine="0" w:firstLineChars="0"/>
        <w:jc w:val="left"/>
        <w:rPr>
          <w:rFonts w:ascii="仿宋" w:hAnsi="仿宋" w:eastAsia="仿宋"/>
          <w:b/>
          <w:bCs/>
          <w:sz w:val="24"/>
          <w:szCs w:val="24"/>
        </w:rPr>
      </w:pPr>
      <w:r>
        <w:rPr>
          <w:rFonts w:hint="eastAsia" w:ascii="仿宋" w:hAnsi="仿宋" w:eastAsia="仿宋"/>
          <w:b/>
          <w:bCs/>
          <w:sz w:val="24"/>
          <w:szCs w:val="24"/>
        </w:rPr>
        <w:t>2.4服务计量方式</w:t>
      </w:r>
    </w:p>
    <w:p>
      <w:pPr>
        <w:spacing w:line="360" w:lineRule="auto"/>
        <w:ind w:firstLine="480" w:firstLineChars="200"/>
        <w:rPr>
          <w:rFonts w:hint="eastAsia"/>
        </w:rPr>
      </w:pPr>
      <w:r>
        <w:rPr>
          <w:rFonts w:hint="eastAsia" w:ascii="仿宋" w:hAnsi="仿宋" w:eastAsia="仿宋"/>
          <w:sz w:val="24"/>
          <w:szCs w:val="24"/>
        </w:rPr>
        <w:t>按件或者计时计算服务数量，具体服务计量方式根据项目实际情况，由采购人和供应商协商确定。</w:t>
      </w:r>
    </w:p>
    <w:p>
      <w:pPr>
        <w:pStyle w:val="4"/>
        <w:numPr>
          <w:ilvl w:val="0"/>
          <w:numId w:val="1"/>
        </w:numPr>
        <w:spacing w:before="0" w:after="0" w:line="360" w:lineRule="auto"/>
        <w:ind w:left="616" w:hanging="616"/>
        <w:jc w:val="left"/>
        <w:rPr>
          <w:rFonts w:ascii="仿宋" w:hAnsi="仿宋" w:eastAsia="仿宋"/>
          <w:bCs w:val="0"/>
          <w:sz w:val="28"/>
          <w:szCs w:val="28"/>
          <w:lang w:val="zh-CN"/>
        </w:rPr>
      </w:pPr>
      <w:bookmarkStart w:id="17" w:name="_Toc6099"/>
      <w:r>
        <w:rPr>
          <w:rFonts w:hint="eastAsia" w:ascii="仿宋" w:hAnsi="仿宋" w:eastAsia="仿宋"/>
          <w:bCs w:val="0"/>
          <w:sz w:val="28"/>
          <w:szCs w:val="28"/>
        </w:rPr>
        <w:t>报价</w:t>
      </w:r>
      <w:r>
        <w:rPr>
          <w:rFonts w:hint="eastAsia" w:ascii="仿宋" w:hAnsi="仿宋" w:eastAsia="仿宋"/>
          <w:bCs w:val="0"/>
          <w:sz w:val="28"/>
          <w:szCs w:val="28"/>
          <w:lang w:val="zh-CN"/>
        </w:rPr>
        <w:t>要求</w:t>
      </w:r>
      <w:bookmarkEnd w:id="10"/>
      <w:bookmarkEnd w:id="11"/>
      <w:bookmarkEnd w:id="12"/>
      <w:bookmarkEnd w:id="13"/>
      <w:bookmarkEnd w:id="14"/>
      <w:bookmarkEnd w:id="17"/>
    </w:p>
    <w:bookmarkEnd w:id="15"/>
    <w:p>
      <w:pPr>
        <w:widowControl/>
        <w:ind w:firstLine="600" w:firstLineChars="200"/>
        <w:jc w:val="left"/>
        <w:rPr>
          <w:rFonts w:hint="eastAsia" w:ascii="仿宋" w:hAnsi="仿宋" w:eastAsia="仿宋" w:cs="仿宋"/>
          <w:color w:val="000000"/>
          <w:kern w:val="0"/>
          <w:sz w:val="30"/>
          <w:szCs w:val="30"/>
          <w:highlight w:val="none"/>
          <w:lang w:bidi="ar"/>
        </w:rPr>
      </w:pPr>
      <w:bookmarkStart w:id="18" w:name="_Toc7211"/>
      <w:r>
        <w:rPr>
          <w:rFonts w:hint="eastAsia" w:ascii="仿宋" w:hAnsi="仿宋" w:eastAsia="仿宋" w:cs="仿宋"/>
          <w:color w:val="000000"/>
          <w:kern w:val="0"/>
          <w:sz w:val="30"/>
          <w:szCs w:val="30"/>
          <w:highlight w:val="none"/>
          <w:lang w:bidi="ar"/>
        </w:rPr>
        <w:t>第1包：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526"/>
        <w:gridCol w:w="939"/>
        <w:gridCol w:w="1026"/>
        <w:gridCol w:w="2287"/>
        <w:gridCol w:w="1024"/>
        <w:gridCol w:w="698"/>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61" w:type="dxa"/>
            <w:gridSpan w:val="8"/>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（一）计件收费报价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257" w:type="dxa"/>
            <w:gridSpan w:val="2"/>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收费项目</w:t>
            </w:r>
          </w:p>
        </w:tc>
        <w:tc>
          <w:tcPr>
            <w:tcW w:w="939" w:type="dxa"/>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计费依据</w:t>
            </w:r>
          </w:p>
        </w:tc>
        <w:tc>
          <w:tcPr>
            <w:tcW w:w="3313" w:type="dxa"/>
            <w:gridSpan w:val="2"/>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计费额度</w:t>
            </w:r>
          </w:p>
        </w:tc>
        <w:tc>
          <w:tcPr>
            <w:tcW w:w="1722" w:type="dxa"/>
            <w:gridSpan w:val="2"/>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最高费率或收费额</w:t>
            </w:r>
          </w:p>
        </w:tc>
        <w:tc>
          <w:tcPr>
            <w:tcW w:w="1830" w:type="dxa"/>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报价折扣率（%）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57" w:type="dxa"/>
            <w:gridSpan w:val="2"/>
            <w:vMerge w:val="restart"/>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内部经济责任、离任审计</w:t>
            </w:r>
          </w:p>
        </w:tc>
        <w:tc>
          <w:tcPr>
            <w:tcW w:w="939" w:type="dxa"/>
            <w:vMerge w:val="restart"/>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资产总额或年度收支总额</w:t>
            </w:r>
          </w:p>
        </w:tc>
        <w:tc>
          <w:tcPr>
            <w:tcW w:w="3313" w:type="dxa"/>
            <w:gridSpan w:val="2"/>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最低起收点</w:t>
            </w:r>
          </w:p>
        </w:tc>
        <w:tc>
          <w:tcPr>
            <w:tcW w:w="1722" w:type="dxa"/>
            <w:gridSpan w:val="2"/>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1万元</w:t>
            </w:r>
          </w:p>
        </w:tc>
        <w:tc>
          <w:tcPr>
            <w:tcW w:w="1830" w:type="dxa"/>
          </w:tcPr>
          <w:p>
            <w:pPr>
              <w:spacing w:line="360" w:lineRule="auto"/>
              <w:jc w:val="center"/>
              <w:rPr>
                <w:rFonts w:ascii="仿宋" w:hAnsi="仿宋" w:eastAsia="仿宋"/>
                <w:sz w:val="24"/>
                <w:highlight w:val="none"/>
              </w:rPr>
            </w:pP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57"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939" w:type="dxa"/>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3313"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100万元以下（含）</w:t>
            </w:r>
          </w:p>
        </w:tc>
        <w:tc>
          <w:tcPr>
            <w:tcW w:w="1722" w:type="dxa"/>
            <w:gridSpan w:val="2"/>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1.8万元</w:t>
            </w:r>
          </w:p>
        </w:tc>
        <w:tc>
          <w:tcPr>
            <w:tcW w:w="1830" w:type="dxa"/>
            <w:vMerge w:val="restart"/>
          </w:tcPr>
          <w:p>
            <w:pPr>
              <w:spacing w:line="360" w:lineRule="auto"/>
              <w:jc w:val="center"/>
              <w:rPr>
                <w:rFonts w:ascii="仿宋" w:hAnsi="仿宋" w:eastAsia="仿宋"/>
                <w:sz w:val="24"/>
                <w:highlight w:val="none"/>
              </w:rPr>
            </w:pPr>
            <w:r>
              <w:rPr>
                <w:rFonts w:hint="eastAsia" w:ascii="仿宋_GB2312" w:hAnsi="仿宋_GB2312" w:eastAsia="仿宋_GB2312" w:cs="仿宋_GB2312"/>
                <w:color w:val="000000"/>
                <w:kern w:val="0"/>
                <w:sz w:val="24"/>
                <w:highlight w:val="none"/>
              </w:rPr>
              <w:t>请供应商报价至小数点后两位数或以上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57"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939" w:type="dxa"/>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3313"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100-500万元（含）</w:t>
            </w:r>
          </w:p>
        </w:tc>
        <w:tc>
          <w:tcPr>
            <w:tcW w:w="1722"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0.5</w:t>
            </w:r>
            <w:r>
              <w:rPr>
                <w:rFonts w:hint="eastAsia" w:ascii="黑体" w:hAnsi="黑体" w:eastAsia="黑体" w:cs="黑体"/>
                <w:color w:val="000000"/>
                <w:kern w:val="0"/>
                <w:sz w:val="24"/>
                <w:highlight w:val="none"/>
              </w:rPr>
              <w:t>‰</w:t>
            </w:r>
          </w:p>
        </w:tc>
        <w:tc>
          <w:tcPr>
            <w:tcW w:w="1830" w:type="dxa"/>
            <w:vMerge w:val="continue"/>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57"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939" w:type="dxa"/>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3313"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500-1000万元（含）</w:t>
            </w:r>
          </w:p>
        </w:tc>
        <w:tc>
          <w:tcPr>
            <w:tcW w:w="1722"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0.4</w:t>
            </w:r>
            <w:r>
              <w:rPr>
                <w:rFonts w:hint="eastAsia" w:ascii="黑体" w:hAnsi="黑体" w:eastAsia="黑体" w:cs="黑体"/>
                <w:color w:val="000000"/>
                <w:kern w:val="0"/>
                <w:sz w:val="24"/>
                <w:highlight w:val="none"/>
              </w:rPr>
              <w:t>‰</w:t>
            </w:r>
          </w:p>
        </w:tc>
        <w:tc>
          <w:tcPr>
            <w:tcW w:w="1830" w:type="dxa"/>
            <w:vMerge w:val="continue"/>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57"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939" w:type="dxa"/>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3313"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1000-5000万元（含）</w:t>
            </w:r>
          </w:p>
        </w:tc>
        <w:tc>
          <w:tcPr>
            <w:tcW w:w="1722"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0.1</w:t>
            </w:r>
            <w:r>
              <w:rPr>
                <w:rFonts w:hint="eastAsia" w:ascii="黑体" w:hAnsi="黑体" w:eastAsia="黑体" w:cs="黑体"/>
                <w:color w:val="000000"/>
                <w:kern w:val="0"/>
                <w:sz w:val="24"/>
                <w:highlight w:val="none"/>
              </w:rPr>
              <w:t>‰</w:t>
            </w:r>
          </w:p>
        </w:tc>
        <w:tc>
          <w:tcPr>
            <w:tcW w:w="1830" w:type="dxa"/>
            <w:vMerge w:val="continue"/>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57"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939" w:type="dxa"/>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3313"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5000-1亿元（含）</w:t>
            </w:r>
          </w:p>
        </w:tc>
        <w:tc>
          <w:tcPr>
            <w:tcW w:w="1722"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0.04</w:t>
            </w:r>
            <w:r>
              <w:rPr>
                <w:rFonts w:hint="eastAsia" w:ascii="黑体" w:hAnsi="黑体" w:eastAsia="黑体" w:cs="黑体"/>
                <w:color w:val="000000"/>
                <w:kern w:val="0"/>
                <w:sz w:val="24"/>
                <w:highlight w:val="none"/>
              </w:rPr>
              <w:t>‰</w:t>
            </w:r>
          </w:p>
        </w:tc>
        <w:tc>
          <w:tcPr>
            <w:tcW w:w="1830" w:type="dxa"/>
            <w:vMerge w:val="continue"/>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57"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939" w:type="dxa"/>
            <w:vMerge w:val="continue"/>
            <w:vAlign w:val="center"/>
          </w:tcPr>
          <w:p>
            <w:pPr>
              <w:widowControl/>
              <w:jc w:val="center"/>
              <w:rPr>
                <w:rFonts w:hint="eastAsia" w:ascii="仿宋_GB2312" w:hAnsi="仿宋_GB2312" w:eastAsia="仿宋_GB2312" w:cs="仿宋_GB2312"/>
                <w:color w:val="000000"/>
                <w:kern w:val="0"/>
                <w:sz w:val="24"/>
                <w:highlight w:val="none"/>
              </w:rPr>
            </w:pPr>
          </w:p>
        </w:tc>
        <w:tc>
          <w:tcPr>
            <w:tcW w:w="3313" w:type="dxa"/>
            <w:gridSpan w:val="2"/>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1亿元以上的按增加额的0.016‰累计计算</w:t>
            </w:r>
          </w:p>
        </w:tc>
        <w:tc>
          <w:tcPr>
            <w:tcW w:w="1722" w:type="dxa"/>
            <w:gridSpan w:val="2"/>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w:t>
            </w:r>
          </w:p>
        </w:tc>
        <w:tc>
          <w:tcPr>
            <w:tcW w:w="1830" w:type="dxa"/>
            <w:vMerge w:val="continue"/>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61" w:type="dxa"/>
            <w:gridSpan w:val="8"/>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（二）计时收费报价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1" w:type="dxa"/>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序号</w:t>
            </w:r>
          </w:p>
        </w:tc>
        <w:tc>
          <w:tcPr>
            <w:tcW w:w="2491" w:type="dxa"/>
            <w:gridSpan w:val="3"/>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人员类别</w:t>
            </w:r>
          </w:p>
        </w:tc>
        <w:tc>
          <w:tcPr>
            <w:tcW w:w="3311" w:type="dxa"/>
            <w:gridSpan w:val="2"/>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最高收费限额（元/小时）</w:t>
            </w:r>
          </w:p>
        </w:tc>
        <w:tc>
          <w:tcPr>
            <w:tcW w:w="2528" w:type="dxa"/>
            <w:gridSpan w:val="2"/>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报价折扣率（%）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1" w:type="dxa"/>
            <w:vAlign w:val="center"/>
          </w:tcPr>
          <w:p>
            <w:pPr>
              <w:widowControl/>
              <w:jc w:val="center"/>
              <w:rPr>
                <w:rFonts w:hint="eastAsia" w:ascii="楷体_GB2312" w:hAnsi="楷体_GB2312" w:eastAsia="楷体_GB2312" w:cs="楷体_GB2312"/>
                <w:color w:val="000000"/>
                <w:kern w:val="0"/>
                <w:sz w:val="24"/>
                <w:highlight w:val="none"/>
              </w:rPr>
            </w:pPr>
            <w:r>
              <w:rPr>
                <w:rFonts w:hint="eastAsia" w:ascii="楷体_GB2312" w:hAnsi="楷体_GB2312" w:eastAsia="楷体_GB2312" w:cs="楷体_GB2312"/>
                <w:color w:val="000000"/>
                <w:kern w:val="0"/>
                <w:sz w:val="24"/>
                <w:highlight w:val="none"/>
              </w:rPr>
              <w:t>1</w:t>
            </w:r>
          </w:p>
        </w:tc>
        <w:tc>
          <w:tcPr>
            <w:tcW w:w="2491" w:type="dxa"/>
            <w:gridSpan w:val="3"/>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主任/副主任会计师</w:t>
            </w:r>
          </w:p>
        </w:tc>
        <w:tc>
          <w:tcPr>
            <w:tcW w:w="3311" w:type="dxa"/>
            <w:gridSpan w:val="2"/>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400</w:t>
            </w:r>
          </w:p>
        </w:tc>
        <w:tc>
          <w:tcPr>
            <w:tcW w:w="2528" w:type="dxa"/>
            <w:gridSpan w:val="2"/>
            <w:vMerge w:val="restart"/>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请供应商报价至小数点后两位数或以上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1" w:type="dxa"/>
            <w:vAlign w:val="center"/>
          </w:tcPr>
          <w:p>
            <w:pPr>
              <w:widowControl/>
              <w:jc w:val="center"/>
              <w:rPr>
                <w:rFonts w:hint="eastAsia" w:ascii="楷体_GB2312" w:hAnsi="楷体_GB2312" w:eastAsia="楷体_GB2312" w:cs="楷体_GB2312"/>
                <w:color w:val="000000"/>
                <w:kern w:val="0"/>
                <w:sz w:val="24"/>
                <w:highlight w:val="none"/>
              </w:rPr>
            </w:pPr>
            <w:r>
              <w:rPr>
                <w:rFonts w:hint="eastAsia" w:ascii="楷体_GB2312" w:hAnsi="楷体_GB2312" w:eastAsia="楷体_GB2312" w:cs="楷体_GB2312"/>
                <w:color w:val="000000"/>
                <w:kern w:val="0"/>
                <w:sz w:val="24"/>
                <w:highlight w:val="none"/>
              </w:rPr>
              <w:t>2</w:t>
            </w:r>
          </w:p>
        </w:tc>
        <w:tc>
          <w:tcPr>
            <w:tcW w:w="2491" w:type="dxa"/>
            <w:gridSpan w:val="3"/>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注册会计师</w:t>
            </w:r>
          </w:p>
        </w:tc>
        <w:tc>
          <w:tcPr>
            <w:tcW w:w="3311" w:type="dxa"/>
            <w:gridSpan w:val="2"/>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300</w:t>
            </w:r>
          </w:p>
        </w:tc>
        <w:tc>
          <w:tcPr>
            <w:tcW w:w="2528"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1" w:type="dxa"/>
            <w:vAlign w:val="center"/>
          </w:tcPr>
          <w:p>
            <w:pPr>
              <w:widowControl/>
              <w:jc w:val="center"/>
              <w:rPr>
                <w:rFonts w:hint="eastAsia" w:ascii="楷体_GB2312" w:hAnsi="楷体_GB2312" w:eastAsia="楷体_GB2312" w:cs="楷体_GB2312"/>
                <w:color w:val="000000"/>
                <w:kern w:val="0"/>
                <w:sz w:val="24"/>
                <w:highlight w:val="none"/>
              </w:rPr>
            </w:pPr>
            <w:r>
              <w:rPr>
                <w:rFonts w:hint="eastAsia" w:ascii="楷体_GB2312" w:hAnsi="楷体_GB2312" w:eastAsia="楷体_GB2312" w:cs="楷体_GB2312"/>
                <w:color w:val="000000"/>
                <w:kern w:val="0"/>
                <w:sz w:val="24"/>
                <w:highlight w:val="none"/>
              </w:rPr>
              <w:t>3</w:t>
            </w:r>
          </w:p>
        </w:tc>
        <w:tc>
          <w:tcPr>
            <w:tcW w:w="2491" w:type="dxa"/>
            <w:gridSpan w:val="3"/>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助理会计师</w:t>
            </w:r>
          </w:p>
        </w:tc>
        <w:tc>
          <w:tcPr>
            <w:tcW w:w="3311" w:type="dxa"/>
            <w:gridSpan w:val="2"/>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180</w:t>
            </w:r>
          </w:p>
        </w:tc>
        <w:tc>
          <w:tcPr>
            <w:tcW w:w="2528" w:type="dxa"/>
            <w:gridSpan w:val="2"/>
            <w:vMerge w:val="continue"/>
            <w:vAlign w:val="center"/>
          </w:tcPr>
          <w:p>
            <w:pPr>
              <w:widowControl/>
              <w:jc w:val="center"/>
              <w:rPr>
                <w:rFonts w:hint="eastAsia" w:ascii="仿宋_GB2312" w:hAnsi="仿宋_GB2312" w:eastAsia="仿宋_GB2312" w:cs="仿宋_GB2312"/>
                <w:color w:val="000000"/>
                <w:kern w:val="0"/>
                <w:sz w:val="24"/>
                <w:highlight w:val="none"/>
              </w:rPr>
            </w:pPr>
          </w:p>
        </w:tc>
      </w:tr>
    </w:tbl>
    <w:p>
      <w:pPr>
        <w:widowControl/>
        <w:spacing w:line="480" w:lineRule="exact"/>
        <w:ind w:firstLine="600" w:firstLineChars="200"/>
        <w:jc w:val="left"/>
        <w:rPr>
          <w:rFonts w:hint="eastAsia" w:ascii="仿宋" w:hAnsi="仿宋" w:eastAsia="仿宋" w:cs="仿宋"/>
          <w:color w:val="000000"/>
          <w:kern w:val="0"/>
          <w:sz w:val="30"/>
          <w:szCs w:val="30"/>
          <w:highlight w:val="none"/>
          <w:lang w:bidi="ar"/>
        </w:rPr>
      </w:pPr>
    </w:p>
    <w:p>
      <w:pPr>
        <w:widowControl/>
        <w:spacing w:line="480" w:lineRule="exact"/>
        <w:ind w:firstLine="600" w:firstLineChars="200"/>
        <w:jc w:val="left"/>
        <w:rPr>
          <w:rFonts w:hint="eastAsia" w:ascii="仿宋" w:hAnsi="仿宋" w:eastAsia="仿宋" w:cs="仿宋"/>
          <w:color w:val="000000"/>
          <w:kern w:val="0"/>
          <w:sz w:val="30"/>
          <w:szCs w:val="30"/>
          <w:highlight w:val="none"/>
          <w:lang w:eastAsia="zh-CN" w:bidi="ar"/>
        </w:rPr>
      </w:pPr>
      <w:r>
        <w:rPr>
          <w:rFonts w:hint="eastAsia" w:ascii="仿宋" w:hAnsi="仿宋" w:eastAsia="仿宋" w:cs="仿宋"/>
          <w:color w:val="000000"/>
          <w:kern w:val="0"/>
          <w:sz w:val="30"/>
          <w:szCs w:val="30"/>
          <w:highlight w:val="none"/>
          <w:lang w:bidi="ar"/>
        </w:rPr>
        <w:t>第2包</w:t>
      </w:r>
      <w:r>
        <w:rPr>
          <w:rFonts w:hint="eastAsia" w:ascii="仿宋" w:hAnsi="仿宋" w:eastAsia="仿宋" w:cs="仿宋"/>
          <w:color w:val="000000"/>
          <w:kern w:val="0"/>
          <w:sz w:val="30"/>
          <w:szCs w:val="30"/>
          <w:highlight w:val="none"/>
          <w:lang w:eastAsia="zh-CN" w:bidi="ar"/>
        </w:rPr>
        <w:t>：</w:t>
      </w:r>
    </w:p>
    <w:tbl>
      <w:tblPr>
        <w:tblStyle w:val="9"/>
        <w:tblpPr w:leftFromText="180" w:rightFromText="180" w:vertAnchor="text" w:horzAnchor="page" w:tblpX="1772" w:tblpY="432"/>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496"/>
        <w:gridCol w:w="885"/>
        <w:gridCol w:w="953"/>
        <w:gridCol w:w="2154"/>
        <w:gridCol w:w="1619"/>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7"/>
            <w:noWrap w:val="0"/>
            <w:vAlign w:val="top"/>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（一）计件收费报价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收费项目</w:t>
            </w:r>
          </w:p>
        </w:tc>
        <w:tc>
          <w:tcPr>
            <w:tcW w:w="519" w:type="pct"/>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计费依据</w:t>
            </w:r>
          </w:p>
        </w:tc>
        <w:tc>
          <w:tcPr>
            <w:tcW w:w="1823" w:type="pct"/>
            <w:gridSpan w:val="2"/>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计费额度</w:t>
            </w:r>
          </w:p>
        </w:tc>
        <w:tc>
          <w:tcPr>
            <w:tcW w:w="950" w:type="pct"/>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最高费率</w:t>
            </w:r>
          </w:p>
        </w:tc>
        <w:tc>
          <w:tcPr>
            <w:tcW w:w="1035" w:type="pct"/>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报价折扣率（%）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restar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1、年度财务报表审计</w:t>
            </w:r>
          </w:p>
        </w:tc>
        <w:tc>
          <w:tcPr>
            <w:tcW w:w="519" w:type="pct"/>
            <w:vMerge w:val="restart"/>
            <w:noWrap w:val="0"/>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资产总额或年度收支总额</w:t>
            </w: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szCs w:val="24"/>
                <w:highlight w:val="none"/>
                <w:lang w:val="en-US" w:eastAsia="zh-CN" w:bidi="ar-SA"/>
              </w:rPr>
            </w:pPr>
            <w:r>
              <w:rPr>
                <w:rFonts w:hint="eastAsia" w:ascii="仿宋_GB2312" w:hAnsi="仿宋_GB2312" w:eastAsia="仿宋_GB2312" w:cs="仿宋_GB2312"/>
                <w:color w:val="000000"/>
                <w:kern w:val="0"/>
                <w:sz w:val="24"/>
                <w:highlight w:val="none"/>
              </w:rPr>
              <w:t>起收点0.3</w:t>
            </w:r>
            <w:r>
              <w:rPr>
                <w:rFonts w:hint="eastAsia" w:ascii="仿宋_GB2312" w:hAnsi="仿宋_GB2312" w:eastAsia="仿宋_GB2312" w:cs="仿宋_GB2312"/>
                <w:color w:val="000000"/>
                <w:kern w:val="0"/>
                <w:sz w:val="24"/>
                <w:highlight w:val="none"/>
                <w:lang w:val="en-US" w:eastAsia="zh-CN"/>
              </w:rPr>
              <w:t>万</w:t>
            </w:r>
            <w:r>
              <w:rPr>
                <w:rFonts w:hint="eastAsia" w:ascii="仿宋_GB2312" w:hAnsi="仿宋_GB2312" w:eastAsia="仿宋_GB2312" w:cs="仿宋_GB2312"/>
                <w:color w:val="000000"/>
                <w:kern w:val="0"/>
                <w:sz w:val="24"/>
                <w:highlight w:val="none"/>
              </w:rPr>
              <w:t>元</w:t>
            </w:r>
          </w:p>
        </w:tc>
        <w:tc>
          <w:tcPr>
            <w:tcW w:w="950" w:type="pct"/>
            <w:noWrap w:val="0"/>
            <w:vAlign w:val="center"/>
          </w:tcPr>
          <w:p>
            <w:pPr>
              <w:widowControl/>
              <w:jc w:val="center"/>
              <w:rPr>
                <w:rFonts w:hint="eastAsia" w:ascii="仿宋_GB2312" w:hAnsi="仿宋_GB2312" w:eastAsia="仿宋_GB2312" w:cs="仿宋_GB2312"/>
                <w:color w:val="000000"/>
                <w:kern w:val="0"/>
                <w:sz w:val="24"/>
                <w:szCs w:val="24"/>
                <w:highlight w:val="none"/>
                <w:lang w:val="en-US" w:eastAsia="zh-CN" w:bidi="ar-SA"/>
              </w:rPr>
            </w:pPr>
            <w:r>
              <w:rPr>
                <w:rFonts w:hint="eastAsia" w:ascii="仿宋_GB2312" w:hAnsi="仿宋_GB2312" w:eastAsia="仿宋_GB2312" w:cs="仿宋_GB2312"/>
                <w:color w:val="000000"/>
                <w:kern w:val="0"/>
                <w:sz w:val="24"/>
                <w:highlight w:val="none"/>
              </w:rPr>
              <w:t>/</w:t>
            </w:r>
          </w:p>
        </w:tc>
        <w:tc>
          <w:tcPr>
            <w:tcW w:w="1035" w:type="pct"/>
            <w:noWrap w:val="0"/>
            <w:vAlign w:val="center"/>
          </w:tcPr>
          <w:p>
            <w:pPr>
              <w:spacing w:line="360" w:lineRule="auto"/>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100万元以下（含）</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3</w:t>
            </w:r>
            <w:r>
              <w:rPr>
                <w:rFonts w:hint="eastAsia" w:ascii="黑体" w:hAnsi="黑体" w:eastAsia="黑体" w:cs="黑体"/>
                <w:color w:val="000000"/>
                <w:kern w:val="0"/>
                <w:sz w:val="24"/>
                <w:highlight w:val="none"/>
              </w:rPr>
              <w:t>‰</w:t>
            </w:r>
          </w:p>
        </w:tc>
        <w:tc>
          <w:tcPr>
            <w:tcW w:w="1035" w:type="pct"/>
            <w:vMerge w:val="restart"/>
            <w:noWrap w:val="0"/>
            <w:vAlign w:val="center"/>
          </w:tcPr>
          <w:p>
            <w:pPr>
              <w:spacing w:line="360" w:lineRule="auto"/>
              <w:jc w:val="center"/>
              <w:rPr>
                <w:rFonts w:ascii="仿宋" w:hAnsi="仿宋" w:eastAsia="仿宋"/>
                <w:sz w:val="24"/>
                <w:highlight w:val="none"/>
              </w:rPr>
            </w:pPr>
            <w:r>
              <w:rPr>
                <w:rFonts w:hint="eastAsia" w:ascii="仿宋_GB2312" w:hAnsi="仿宋_GB2312" w:eastAsia="仿宋_GB2312" w:cs="仿宋_GB2312"/>
                <w:color w:val="000000"/>
                <w:kern w:val="0"/>
                <w:sz w:val="24"/>
                <w:highlight w:val="none"/>
              </w:rPr>
              <w:t>请供应商报价至小数点后</w:t>
            </w:r>
            <w:r>
              <w:rPr>
                <w:rFonts w:hint="eastAsia" w:ascii="仿宋_GB2312" w:hAnsi="仿宋_GB2312" w:eastAsia="仿宋_GB2312" w:cs="仿宋_GB2312"/>
                <w:color w:val="000000"/>
                <w:kern w:val="0"/>
                <w:sz w:val="24"/>
                <w:highlight w:val="none"/>
                <w:lang w:val="en-US" w:eastAsia="zh-CN"/>
              </w:rPr>
              <w:t>两</w:t>
            </w:r>
            <w:r>
              <w:rPr>
                <w:rFonts w:hint="eastAsia" w:ascii="仿宋_GB2312" w:hAnsi="仿宋_GB2312" w:eastAsia="仿宋_GB2312" w:cs="仿宋_GB2312"/>
                <w:color w:val="000000"/>
                <w:kern w:val="0"/>
                <w:sz w:val="24"/>
                <w:highlight w:val="none"/>
              </w:rPr>
              <w:t>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100—500万元（含）</w:t>
            </w:r>
          </w:p>
        </w:tc>
        <w:tc>
          <w:tcPr>
            <w:tcW w:w="950" w:type="pct"/>
            <w:noWrap w:val="0"/>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0.75</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500—1000万元（含）</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0.4</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1000—5000万元（含）</w:t>
            </w:r>
          </w:p>
        </w:tc>
        <w:tc>
          <w:tcPr>
            <w:tcW w:w="950" w:type="pct"/>
            <w:noWrap w:val="0"/>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0.15</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5000—1亿元（含）</w:t>
            </w:r>
          </w:p>
        </w:tc>
        <w:tc>
          <w:tcPr>
            <w:tcW w:w="950" w:type="pct"/>
            <w:noWrap w:val="0"/>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0.12</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1亿—10亿元（含）</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0.1</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10亿—50亿元（含）</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0.09</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50亿—100亿元（含）</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0.05</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1" w:type="pct"/>
            <w:gridSpan w:val="2"/>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519" w:type="pct"/>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100亿元以上</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0.04</w:t>
            </w:r>
            <w:r>
              <w:rPr>
                <w:rFonts w:hint="eastAsia" w:ascii="黑体" w:hAnsi="黑体" w:eastAsia="黑体" w:cs="黑体"/>
                <w:color w:val="000000"/>
                <w:kern w:val="0"/>
                <w:sz w:val="24"/>
                <w:highlight w:val="none"/>
              </w:rPr>
              <w:t>‰</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190" w:type="pct"/>
            <w:gridSpan w:val="3"/>
            <w:vMerge w:val="restar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2、清产核资等专项审计</w:t>
            </w: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起收点0.5万元</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w:t>
            </w:r>
          </w:p>
        </w:tc>
        <w:tc>
          <w:tcPr>
            <w:tcW w:w="1035" w:type="pct"/>
            <w:noWrap w:val="0"/>
            <w:vAlign w:val="center"/>
          </w:tcPr>
          <w:p>
            <w:pPr>
              <w:spacing w:line="360" w:lineRule="auto"/>
              <w:jc w:val="center"/>
              <w:rPr>
                <w:rFonts w:ascii="仿宋" w:hAnsi="仿宋" w:eastAsia="仿宋"/>
                <w:sz w:val="24"/>
                <w:highlight w:val="none"/>
              </w:rPr>
            </w:pPr>
            <w:r>
              <w:rPr>
                <w:rFonts w:hint="eastAsia" w:ascii="仿宋_GB2312" w:hAnsi="仿宋_GB2312" w:eastAsia="仿宋_GB2312" w:cs="仿宋_GB2312"/>
                <w:color w:val="00000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trPr>
        <w:tc>
          <w:tcPr>
            <w:tcW w:w="1190" w:type="pct"/>
            <w:gridSpan w:val="3"/>
            <w:vMerge w:val="continue"/>
            <w:noWrap w:val="0"/>
            <w:vAlign w:val="center"/>
          </w:tcPr>
          <w:p>
            <w:pPr>
              <w:widowControl/>
              <w:jc w:val="center"/>
              <w:rPr>
                <w:rFonts w:hint="eastAsia" w:ascii="仿宋_GB2312" w:hAnsi="仿宋_GB2312" w:eastAsia="仿宋_GB2312" w:cs="仿宋_GB2312"/>
                <w:color w:val="000000"/>
                <w:kern w:val="0"/>
                <w:sz w:val="24"/>
                <w:highlight w:val="none"/>
              </w:rPr>
            </w:pP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资产总额5‰收费</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w:t>
            </w:r>
          </w:p>
        </w:tc>
        <w:tc>
          <w:tcPr>
            <w:tcW w:w="1035" w:type="pct"/>
            <w:vMerge w:val="restart"/>
            <w:noWrap w:val="0"/>
            <w:vAlign w:val="center"/>
          </w:tcPr>
          <w:p>
            <w:pPr>
              <w:spacing w:line="360" w:lineRule="auto"/>
              <w:jc w:val="center"/>
              <w:rPr>
                <w:rFonts w:ascii="仿宋" w:hAnsi="仿宋" w:eastAsia="仿宋"/>
                <w:sz w:val="24"/>
                <w:highlight w:val="none"/>
              </w:rPr>
            </w:pPr>
            <w:r>
              <w:rPr>
                <w:rFonts w:hint="eastAsia" w:ascii="仿宋_GB2312" w:hAnsi="仿宋_GB2312" w:eastAsia="仿宋_GB2312" w:cs="仿宋_GB2312"/>
                <w:color w:val="000000"/>
                <w:kern w:val="0"/>
                <w:sz w:val="24"/>
                <w:highlight w:val="none"/>
              </w:rPr>
              <w:t>请供应商报价至小数点后</w:t>
            </w:r>
            <w:r>
              <w:rPr>
                <w:rFonts w:hint="eastAsia" w:ascii="仿宋_GB2312" w:hAnsi="仿宋_GB2312" w:eastAsia="仿宋_GB2312" w:cs="仿宋_GB2312"/>
                <w:color w:val="000000"/>
                <w:kern w:val="0"/>
                <w:sz w:val="24"/>
                <w:highlight w:val="none"/>
                <w:lang w:val="en-US" w:eastAsia="zh-CN"/>
              </w:rPr>
              <w:t>两</w:t>
            </w:r>
            <w:r>
              <w:rPr>
                <w:rFonts w:hint="eastAsia" w:ascii="仿宋_GB2312" w:hAnsi="仿宋_GB2312" w:eastAsia="仿宋_GB2312" w:cs="仿宋_GB2312"/>
                <w:color w:val="000000"/>
                <w:kern w:val="0"/>
                <w:sz w:val="24"/>
                <w:highlight w:val="none"/>
              </w:rPr>
              <w:t>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90" w:type="pct"/>
            <w:gridSpan w:val="3"/>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3、基本建设工程决算审核业务建设项目竣工财务决算审计</w:t>
            </w: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项目投资总额的3‰收取</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w:t>
            </w:r>
          </w:p>
        </w:tc>
        <w:tc>
          <w:tcPr>
            <w:tcW w:w="1035" w:type="pct"/>
            <w:vMerge w:val="continue"/>
            <w:noWrap w:val="0"/>
            <w:vAlign w:val="top"/>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atLeast"/>
        </w:trPr>
        <w:tc>
          <w:tcPr>
            <w:tcW w:w="1190" w:type="pct"/>
            <w:gridSpan w:val="3"/>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4、非盈利机构报表审计</w:t>
            </w:r>
          </w:p>
        </w:tc>
        <w:tc>
          <w:tcPr>
            <w:tcW w:w="1823" w:type="pct"/>
            <w:gridSpan w:val="2"/>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年度报表审计收费标准的70%收取</w:t>
            </w:r>
          </w:p>
        </w:tc>
        <w:tc>
          <w:tcPr>
            <w:tcW w:w="950" w:type="pct"/>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w:t>
            </w:r>
          </w:p>
        </w:tc>
        <w:tc>
          <w:tcPr>
            <w:tcW w:w="1035" w:type="pct"/>
            <w:vMerge w:val="continue"/>
            <w:noWrap w:val="0"/>
            <w:vAlign w:val="top"/>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5000" w:type="pct"/>
            <w:gridSpan w:val="7"/>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（二）计时收费报价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380" w:type="pct"/>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序号</w:t>
            </w:r>
          </w:p>
        </w:tc>
        <w:tc>
          <w:tcPr>
            <w:tcW w:w="1369" w:type="pct"/>
            <w:gridSpan w:val="3"/>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人员类别</w:t>
            </w:r>
          </w:p>
        </w:tc>
        <w:tc>
          <w:tcPr>
            <w:tcW w:w="2214" w:type="pct"/>
            <w:gridSpan w:val="2"/>
            <w:noWrap w:val="0"/>
            <w:vAlign w:val="center"/>
          </w:tcPr>
          <w:p>
            <w:pPr>
              <w:jc w:val="cente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最高收费限额（元/小时）</w:t>
            </w:r>
          </w:p>
        </w:tc>
        <w:tc>
          <w:tcPr>
            <w:tcW w:w="1035" w:type="pct"/>
            <w:noWrap w:val="0"/>
            <w:vAlign w:val="center"/>
          </w:tcPr>
          <w:p>
            <w:pPr>
              <w:rPr>
                <w:rFonts w:hint="eastAsia" w:ascii="黑体" w:hAnsi="黑体" w:eastAsia="黑体" w:cs="黑体"/>
                <w:color w:val="000000"/>
                <w:kern w:val="0"/>
                <w:sz w:val="24"/>
                <w:highlight w:val="none"/>
              </w:rPr>
            </w:pPr>
            <w:r>
              <w:rPr>
                <w:rFonts w:hint="eastAsia" w:ascii="黑体" w:hAnsi="黑体" w:eastAsia="黑体" w:cs="黑体"/>
                <w:color w:val="000000"/>
                <w:kern w:val="0"/>
                <w:sz w:val="24"/>
                <w:highlight w:val="none"/>
              </w:rPr>
              <w:t>报价折扣率（%）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80" w:type="pct"/>
            <w:noWrap w:val="0"/>
            <w:vAlign w:val="center"/>
          </w:tcPr>
          <w:p>
            <w:pPr>
              <w:widowControl/>
              <w:jc w:val="center"/>
              <w:rPr>
                <w:rFonts w:hint="eastAsia" w:ascii="楷体_GB2312" w:hAnsi="楷体_GB2312" w:eastAsia="楷体_GB2312" w:cs="楷体_GB2312"/>
                <w:color w:val="000000"/>
                <w:kern w:val="0"/>
                <w:sz w:val="24"/>
                <w:highlight w:val="none"/>
              </w:rPr>
            </w:pPr>
            <w:r>
              <w:rPr>
                <w:rFonts w:hint="eastAsia" w:ascii="楷体_GB2312" w:hAnsi="楷体_GB2312" w:eastAsia="楷体_GB2312" w:cs="楷体_GB2312"/>
                <w:color w:val="000000"/>
                <w:kern w:val="0"/>
                <w:sz w:val="24"/>
                <w:highlight w:val="none"/>
              </w:rPr>
              <w:t>1</w:t>
            </w:r>
          </w:p>
        </w:tc>
        <w:tc>
          <w:tcPr>
            <w:tcW w:w="1369" w:type="pct"/>
            <w:gridSpan w:val="3"/>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主任/副主任会计师</w:t>
            </w:r>
          </w:p>
        </w:tc>
        <w:tc>
          <w:tcPr>
            <w:tcW w:w="2214" w:type="pct"/>
            <w:gridSpan w:val="2"/>
            <w:noWrap w:val="0"/>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400</w:t>
            </w:r>
          </w:p>
        </w:tc>
        <w:tc>
          <w:tcPr>
            <w:tcW w:w="1035" w:type="pct"/>
            <w:vMerge w:val="restart"/>
            <w:noWrap w:val="0"/>
            <w:vAlign w:val="center"/>
          </w:tcPr>
          <w:p>
            <w:pPr>
              <w:spacing w:line="360" w:lineRule="auto"/>
              <w:jc w:val="center"/>
              <w:rPr>
                <w:rFonts w:ascii="仿宋" w:hAnsi="仿宋" w:eastAsia="仿宋"/>
                <w:sz w:val="24"/>
                <w:highlight w:val="none"/>
              </w:rPr>
            </w:pPr>
            <w:r>
              <w:rPr>
                <w:rFonts w:hint="eastAsia" w:ascii="仿宋_GB2312" w:hAnsi="仿宋_GB2312" w:eastAsia="仿宋_GB2312" w:cs="仿宋_GB2312"/>
                <w:color w:val="000000"/>
                <w:kern w:val="0"/>
                <w:sz w:val="24"/>
                <w:highlight w:val="none"/>
              </w:rPr>
              <w:t>请供应商报价至小数点后</w:t>
            </w:r>
            <w:r>
              <w:rPr>
                <w:rFonts w:hint="eastAsia" w:ascii="仿宋_GB2312" w:hAnsi="仿宋_GB2312" w:eastAsia="仿宋_GB2312" w:cs="仿宋_GB2312"/>
                <w:color w:val="000000"/>
                <w:kern w:val="0"/>
                <w:sz w:val="24"/>
                <w:highlight w:val="none"/>
                <w:lang w:val="en-US" w:eastAsia="zh-CN"/>
              </w:rPr>
              <w:t>两</w:t>
            </w:r>
            <w:r>
              <w:rPr>
                <w:rFonts w:hint="eastAsia" w:ascii="仿宋_GB2312" w:hAnsi="仿宋_GB2312" w:eastAsia="仿宋_GB2312" w:cs="仿宋_GB2312"/>
                <w:color w:val="000000"/>
                <w:kern w:val="0"/>
                <w:sz w:val="24"/>
                <w:highlight w:val="none"/>
              </w:rPr>
              <w:t>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380" w:type="pct"/>
            <w:noWrap w:val="0"/>
            <w:vAlign w:val="center"/>
          </w:tcPr>
          <w:p>
            <w:pPr>
              <w:widowControl/>
              <w:jc w:val="center"/>
              <w:rPr>
                <w:rFonts w:hint="eastAsia" w:ascii="楷体_GB2312" w:hAnsi="楷体_GB2312" w:eastAsia="楷体_GB2312" w:cs="楷体_GB2312"/>
                <w:color w:val="000000"/>
                <w:kern w:val="0"/>
                <w:sz w:val="24"/>
                <w:highlight w:val="none"/>
              </w:rPr>
            </w:pPr>
            <w:r>
              <w:rPr>
                <w:rFonts w:hint="eastAsia" w:ascii="楷体_GB2312" w:hAnsi="楷体_GB2312" w:eastAsia="楷体_GB2312" w:cs="楷体_GB2312"/>
                <w:color w:val="000000"/>
                <w:kern w:val="0"/>
                <w:sz w:val="24"/>
                <w:highlight w:val="none"/>
              </w:rPr>
              <w:t>2</w:t>
            </w:r>
          </w:p>
        </w:tc>
        <w:tc>
          <w:tcPr>
            <w:tcW w:w="1369" w:type="pct"/>
            <w:gridSpan w:val="3"/>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注册会计师</w:t>
            </w:r>
          </w:p>
        </w:tc>
        <w:tc>
          <w:tcPr>
            <w:tcW w:w="2214" w:type="pct"/>
            <w:gridSpan w:val="2"/>
            <w:noWrap w:val="0"/>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300</w:t>
            </w:r>
          </w:p>
        </w:tc>
        <w:tc>
          <w:tcPr>
            <w:tcW w:w="1035" w:type="pct"/>
            <w:vMerge w:val="continue"/>
            <w:noWrap w:val="0"/>
            <w:vAlign w:val="center"/>
          </w:tcPr>
          <w:p>
            <w:pPr>
              <w:spacing w:line="360"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380" w:type="pct"/>
            <w:noWrap w:val="0"/>
            <w:vAlign w:val="center"/>
          </w:tcPr>
          <w:p>
            <w:pPr>
              <w:widowControl/>
              <w:jc w:val="center"/>
              <w:rPr>
                <w:rFonts w:hint="eastAsia" w:ascii="楷体_GB2312" w:hAnsi="楷体_GB2312" w:eastAsia="楷体_GB2312" w:cs="楷体_GB2312"/>
                <w:color w:val="000000"/>
                <w:kern w:val="0"/>
                <w:sz w:val="24"/>
                <w:highlight w:val="none"/>
              </w:rPr>
            </w:pPr>
            <w:r>
              <w:rPr>
                <w:rFonts w:hint="eastAsia" w:ascii="楷体_GB2312" w:hAnsi="楷体_GB2312" w:eastAsia="楷体_GB2312" w:cs="楷体_GB2312"/>
                <w:color w:val="000000"/>
                <w:kern w:val="0"/>
                <w:sz w:val="24"/>
                <w:highlight w:val="none"/>
              </w:rPr>
              <w:t>3</w:t>
            </w:r>
          </w:p>
        </w:tc>
        <w:tc>
          <w:tcPr>
            <w:tcW w:w="1369" w:type="pct"/>
            <w:gridSpan w:val="3"/>
            <w:noWrap w:val="0"/>
            <w:vAlign w:val="center"/>
          </w:tcPr>
          <w:p>
            <w:pPr>
              <w:widowControl/>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助理会计师</w:t>
            </w:r>
          </w:p>
        </w:tc>
        <w:tc>
          <w:tcPr>
            <w:tcW w:w="2214" w:type="pct"/>
            <w:gridSpan w:val="2"/>
            <w:noWrap w:val="0"/>
            <w:vAlign w:val="center"/>
          </w:tcPr>
          <w:p>
            <w:pPr>
              <w:widowControl/>
              <w:jc w:val="cente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180</w:t>
            </w:r>
          </w:p>
        </w:tc>
        <w:tc>
          <w:tcPr>
            <w:tcW w:w="1035" w:type="pct"/>
            <w:vMerge w:val="continue"/>
            <w:noWrap w:val="0"/>
            <w:vAlign w:val="center"/>
          </w:tcPr>
          <w:p>
            <w:pPr>
              <w:spacing w:line="360" w:lineRule="auto"/>
              <w:jc w:val="center"/>
              <w:rPr>
                <w:rFonts w:ascii="仿宋" w:hAnsi="仿宋" w:eastAsia="仿宋"/>
                <w:sz w:val="24"/>
                <w:highlight w:val="none"/>
              </w:rPr>
            </w:pPr>
          </w:p>
        </w:tc>
      </w:tr>
    </w:tbl>
    <w:p>
      <w:pPr>
        <w:widowControl/>
        <w:spacing w:line="480" w:lineRule="exact"/>
        <w:ind w:firstLine="600" w:firstLineChars="200"/>
        <w:jc w:val="left"/>
        <w:rPr>
          <w:rFonts w:hint="eastAsia" w:ascii="仿宋" w:hAnsi="仿宋" w:eastAsia="仿宋" w:cs="仿宋"/>
          <w:color w:val="000000"/>
          <w:kern w:val="0"/>
          <w:sz w:val="30"/>
          <w:szCs w:val="30"/>
          <w:highlight w:val="none"/>
          <w:lang w:bidi="ar"/>
        </w:rPr>
      </w:pPr>
    </w:p>
    <w:p>
      <w:pPr>
        <w:pStyle w:val="13"/>
        <w:spacing w:before="0" w:beforeLines="0" w:after="0" w:afterLines="0" w:line="240" w:lineRule="auto"/>
        <w:ind w:firstLine="482"/>
        <w:rPr>
          <w:rFonts w:ascii="仿宋" w:hAnsi="仿宋" w:eastAsia="仿宋"/>
          <w:b/>
          <w:color w:val="auto"/>
          <w:highlight w:val="none"/>
        </w:rPr>
      </w:pPr>
      <w:r>
        <w:rPr>
          <w:rFonts w:hint="eastAsia" w:ascii="仿宋" w:hAnsi="仿宋" w:eastAsia="仿宋"/>
          <w:b/>
          <w:highlight w:val="none"/>
        </w:rPr>
        <w:t>注：1、</w:t>
      </w:r>
      <w:r>
        <w:rPr>
          <w:rFonts w:hint="eastAsia" w:ascii="仿宋" w:hAnsi="仿宋" w:eastAsia="仿宋"/>
          <w:b/>
          <w:color w:val="auto"/>
          <w:highlight w:val="none"/>
        </w:rPr>
        <w:t>经过报价折扣计算的收费费用小于最低起收点时，按最低起收点收取，最低起收点不需报折扣率。</w:t>
      </w:r>
    </w:p>
    <w:p>
      <w:pPr>
        <w:widowControl/>
        <w:spacing w:line="480" w:lineRule="exact"/>
        <w:ind w:firstLine="482" w:firstLineChars="200"/>
        <w:jc w:val="left"/>
        <w:rPr>
          <w:rFonts w:hint="eastAsia" w:ascii="仿宋" w:hAnsi="仿宋" w:eastAsia="仿宋" w:cs="仿宋"/>
          <w:color w:val="000000"/>
          <w:kern w:val="0"/>
          <w:sz w:val="30"/>
          <w:szCs w:val="30"/>
          <w:highlight w:val="none"/>
          <w:lang w:bidi="ar"/>
        </w:rPr>
      </w:pPr>
      <w:r>
        <w:rPr>
          <w:rFonts w:hint="eastAsia" w:ascii="仿宋" w:hAnsi="仿宋" w:eastAsia="仿宋"/>
          <w:b/>
          <w:sz w:val="24"/>
          <w:highlight w:val="none"/>
        </w:rPr>
        <w:t>2、投标人对于不同审计内容需报出同一个折扣率（计件收费和计时收费的折扣率必须相等），且不得超出每个档次的最高费率（0＜折扣率≤100%）。</w:t>
      </w:r>
    </w:p>
    <w:p>
      <w:pPr>
        <w:pStyle w:val="4"/>
        <w:numPr>
          <w:ilvl w:val="0"/>
          <w:numId w:val="1"/>
        </w:numPr>
        <w:spacing w:line="360" w:lineRule="auto"/>
        <w:ind w:left="616" w:hanging="616"/>
        <w:jc w:val="left"/>
        <w:rPr>
          <w:rFonts w:hint="eastAsia" w:ascii="仿宋" w:hAnsi="仿宋" w:eastAsia="仿宋"/>
          <w:bCs w:val="0"/>
          <w:sz w:val="28"/>
          <w:szCs w:val="28"/>
          <w:lang w:val="zh-CN"/>
        </w:rPr>
      </w:pPr>
      <w:r>
        <w:rPr>
          <w:rFonts w:hint="eastAsia" w:ascii="仿宋" w:hAnsi="仿宋" w:eastAsia="仿宋"/>
          <w:bCs w:val="0"/>
          <w:sz w:val="28"/>
          <w:szCs w:val="28"/>
          <w:lang w:val="zh-CN"/>
        </w:rPr>
        <w:t>其他要求</w:t>
      </w:r>
      <w:bookmarkEnd w:id="18"/>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1.供应商报价包含后期服务实施全过程中可能发生的所有费用，应充分考虑相关因素，后期不额外收取交通费、住宿费等费用。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2.供应商应提供拟投入的人员资格证书和劳动合同。</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3.供应商应当提供保密和廉政承诺，并有具体的违约处罚措施；同时，严格执行回避制度，审计人员及有关工作人员与被审项目单位直接关系或存在可能影响审计公正性关系的，应予以回避。</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4.验收要求：按照《中国注册会计师执业准则》等相关规定开展审计或检查服务，完成审计或检查工作并提交检查报告或审计结果，并对提交给采购人审计或检查报告的数据的准确性、内容的客观真实性负责。</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5.违约责任：双方按照《中华人民共和国民法典》的规定承担违约责任。任何纠纷或争议（包括关于本约定书条款的存在、效力或终止，或无效之后果），可向有关部门提起诉讼或提交仲裁。</w:t>
      </w:r>
      <w:r>
        <w:rPr>
          <w:rFonts w:hint="eastAsia" w:ascii="仿宋" w:hAnsi="仿宋" w:eastAsia="仿宋"/>
          <w:sz w:val="24"/>
          <w:szCs w:val="24"/>
        </w:rPr>
        <w:br w:type="page"/>
      </w:r>
    </w:p>
    <w:p>
      <w:pPr>
        <w:pStyle w:val="3"/>
        <w:numPr>
          <w:ilvl w:val="0"/>
          <w:numId w:val="0"/>
        </w:numPr>
        <w:spacing w:before="240" w:after="120"/>
        <w:ind w:left="1680" w:leftChars="0"/>
        <w:jc w:val="both"/>
        <w:rPr>
          <w:rFonts w:hint="eastAsia" w:ascii="仿宋" w:hAnsi="仿宋" w:eastAsia="仿宋" w:cs="仿宋"/>
          <w:sz w:val="32"/>
          <w:szCs w:val="32"/>
          <w:lang w:val="en-US" w:eastAsia="zh-CN"/>
        </w:rPr>
      </w:pPr>
      <w:bookmarkStart w:id="19" w:name="_Toc494721093"/>
      <w:bookmarkStart w:id="20" w:name="_Toc19256"/>
      <w:bookmarkStart w:id="21" w:name="_Toc494702263"/>
      <w:bookmarkStart w:id="22" w:name="_Toc494665546"/>
      <w:bookmarkStart w:id="23" w:name="_Toc494745310"/>
      <w:bookmarkStart w:id="24" w:name="_Toc494664993"/>
      <w:bookmarkStart w:id="25" w:name="_Toc494665943"/>
      <w:r>
        <w:rPr>
          <w:rFonts w:hint="eastAsia" w:ascii="仿宋" w:hAnsi="仿宋" w:eastAsia="仿宋"/>
          <w:sz w:val="32"/>
          <w:szCs w:val="32"/>
          <w:lang w:val="en-US" w:eastAsia="zh-CN"/>
        </w:rPr>
        <w:t xml:space="preserve">第三章 </w:t>
      </w:r>
      <w:r>
        <w:rPr>
          <w:rFonts w:hint="eastAsia" w:ascii="仿宋" w:hAnsi="仿宋" w:eastAsia="仿宋" w:cs="仿宋"/>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（1）本项目对小型和微型企业产品给予</w:t>
      </w:r>
      <w:r>
        <w:rPr>
          <w:rFonts w:hint="eastAsia" w:ascii="仿宋" w:hAnsi="仿宋" w:eastAsia="仿宋" w:cs="仿宋"/>
          <w:bCs/>
          <w:sz w:val="24"/>
          <w:szCs w:val="24"/>
          <w:highlight w:val="none"/>
          <w:lang w:val="en-US" w:eastAsia="zh-CN"/>
        </w:rPr>
        <w:t>10%</w:t>
      </w:r>
      <w:r>
        <w:rPr>
          <w:rFonts w:hint="default" w:ascii="仿宋" w:hAnsi="仿宋" w:eastAsia="仿宋" w:cs="仿宋"/>
          <w:bCs/>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2、残疾人福利单位价格扣除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440" w:lineRule="exact"/>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440" w:lineRule="exact"/>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二、确定第二阶段成交供应商的方式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480" w:firstLineChars="200"/>
        <w:jc w:val="both"/>
        <w:rPr>
          <w:rFonts w:hint="default" w:ascii="华文仿宋" w:hAnsi="华文仿宋" w:eastAsia="华文仿宋" w:cs="Times New Roman"/>
          <w:sz w:val="24"/>
          <w:szCs w:val="24"/>
        </w:rPr>
      </w:pPr>
      <w:r>
        <w:rPr>
          <w:rFonts w:hint="default" w:ascii="仿宋" w:hAnsi="仿宋" w:eastAsia="仿宋" w:cs="仿宋"/>
          <w:bCs/>
          <w:sz w:val="24"/>
          <w:szCs w:val="24"/>
          <w:lang w:val="en-US" w:eastAsia="zh-CN"/>
        </w:rPr>
        <w:t>1.确定第二阶段成交供应商的方式为</w:t>
      </w:r>
      <w:r>
        <w:rPr>
          <w:rStyle w:val="15"/>
          <w:rFonts w:hint="default" w:ascii="华文仿宋" w:hAnsi="华文仿宋" w:eastAsia="华文仿宋" w:cs="华文仿宋"/>
          <w:kern w:val="2"/>
          <w:sz w:val="24"/>
          <w:szCs w:val="24"/>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5"/>
          <w:rFonts w:hint="default" w:ascii="华文仿宋" w:hAnsi="华文仿宋" w:eastAsia="华文仿宋" w:cs="华文仿宋"/>
          <w:b/>
          <w:bCs/>
          <w:kern w:val="2"/>
          <w:sz w:val="24"/>
          <w:szCs w:val="24"/>
          <w:u w:val="none"/>
          <w:lang w:eastAsia="zh-CN" w:bidi="ar"/>
        </w:rPr>
        <w:t xml:space="preserve">    </w:t>
      </w:r>
      <w:r>
        <w:rPr>
          <w:rStyle w:val="15"/>
          <w:rFonts w:hint="default" w:ascii="华文仿宋" w:hAnsi="华文仿宋" w:eastAsia="华文仿宋" w:cs="华文仿宋"/>
          <w:b/>
          <w:bCs/>
          <w:kern w:val="2"/>
          <w:sz w:val="24"/>
          <w:szCs w:val="24"/>
          <w:u w:val="single"/>
          <w:lang w:val="en-US" w:eastAsia="zh-CN" w:bidi="ar"/>
        </w:rPr>
        <w:t>直接选定</w:t>
      </w:r>
      <w:r>
        <w:rPr>
          <w:rStyle w:val="15"/>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Style w:val="15"/>
          <w:rFonts w:hint="default" w:ascii="华文仿宋" w:hAnsi="华文仿宋" w:eastAsia="华文仿宋" w:cs="华文仿宋"/>
          <w:b/>
          <w:bCs/>
          <w:kern w:val="2"/>
          <w:sz w:val="24"/>
          <w:szCs w:val="24"/>
          <w:u w:val="single"/>
          <w:lang w:val="en-US" w:eastAsia="zh-CN" w:bidi="ar"/>
        </w:rPr>
        <w:t>二次竞价</w:t>
      </w:r>
      <w:r>
        <w:rPr>
          <w:rStyle w:val="15"/>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Fonts w:hint="default" w:ascii="仿宋" w:hAnsi="仿宋" w:eastAsia="仿宋" w:cs="仿宋"/>
          <w:bCs/>
          <w:sz w:val="24"/>
          <w:szCs w:val="24"/>
          <w:lang w:val="en-US" w:eastAsia="zh-CN"/>
        </w:rPr>
        <w:t>2.采购人在确定成交供应商后，双方应当按照框架协议中规定的“采购合同文本”格式签订电子采购合同，不得擅自改变框架协议约定的合同实质性条款。</w:t>
      </w:r>
    </w:p>
    <w:bookmarkEnd w:id="19"/>
    <w:bookmarkEnd w:id="20"/>
    <w:bookmarkEnd w:id="21"/>
    <w:bookmarkEnd w:id="22"/>
    <w:bookmarkEnd w:id="23"/>
    <w:bookmarkEnd w:id="24"/>
    <w:bookmarkEnd w:id="25"/>
    <w:p>
      <w:pPr>
        <w:pStyle w:val="2"/>
        <w:rPr>
          <w:rFonts w:ascii="仿宋" w:hAnsi="仿宋" w:eastAsia="仿宋" w:cs="仿宋"/>
          <w:b/>
          <w:bCs/>
          <w:sz w:val="24"/>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500616D9"/>
    <w:rsid w:val="01E25A66"/>
    <w:rsid w:val="022E23BB"/>
    <w:rsid w:val="02821C9E"/>
    <w:rsid w:val="06F27392"/>
    <w:rsid w:val="09D373F3"/>
    <w:rsid w:val="0A205021"/>
    <w:rsid w:val="1095000A"/>
    <w:rsid w:val="1889680F"/>
    <w:rsid w:val="1BDE5181"/>
    <w:rsid w:val="1BE56F9B"/>
    <w:rsid w:val="1FE91A56"/>
    <w:rsid w:val="360E5394"/>
    <w:rsid w:val="373F65F3"/>
    <w:rsid w:val="3AA062BE"/>
    <w:rsid w:val="4C7258DC"/>
    <w:rsid w:val="4F6E0C97"/>
    <w:rsid w:val="500616D9"/>
    <w:rsid w:val="50BB4417"/>
    <w:rsid w:val="63B932A2"/>
    <w:rsid w:val="681E6973"/>
    <w:rsid w:val="744864C7"/>
    <w:rsid w:val="7FF94142"/>
    <w:rsid w:val="AEFCC2E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w:basedOn w:val="1"/>
    <w:unhideWhenUsed/>
    <w:qFormat/>
    <w:uiPriority w:val="99"/>
    <w:pPr>
      <w:spacing w:after="120"/>
    </w:pPr>
  </w:style>
  <w:style w:type="paragraph" w:styleId="6">
    <w:name w:val="Body Text Indent"/>
    <w:basedOn w:val="1"/>
    <w:next w:val="7"/>
    <w:unhideWhenUsed/>
    <w:qFormat/>
    <w:uiPriority w:val="99"/>
    <w:pPr>
      <w:spacing w:after="120"/>
      <w:ind w:left="420" w:leftChars="200"/>
    </w:pPr>
  </w:style>
  <w:style w:type="paragraph" w:styleId="7">
    <w:name w:val="Body Text First Indent 2"/>
    <w:basedOn w:val="6"/>
    <w:unhideWhenUsed/>
    <w:qFormat/>
    <w:uiPriority w:val="99"/>
    <w:pPr>
      <w:ind w:firstLine="420" w:firstLineChars="200"/>
    </w:pPr>
  </w:style>
  <w:style w:type="paragraph" w:styleId="8">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Body text|2"/>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13">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character" w:customStyle="1" w:styleId="14">
    <w:name w:val="fontstyle21"/>
    <w:qFormat/>
    <w:uiPriority w:val="0"/>
    <w:rPr>
      <w:rFonts w:hint="eastAsia" w:ascii="华文仿宋" w:hAnsi="华文仿宋" w:eastAsia="华文仿宋"/>
      <w:color w:val="000000"/>
      <w:sz w:val="28"/>
      <w:szCs w:val="28"/>
    </w:rPr>
  </w:style>
  <w:style w:type="character" w:customStyle="1" w:styleId="15">
    <w:name w:val="15"/>
    <w:basedOn w:val="11"/>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3424</Words>
  <Characters>3618</Characters>
  <Lines>0</Lines>
  <Paragraphs>0</Paragraphs>
  <TotalTime>0</TotalTime>
  <ScaleCrop>false</ScaleCrop>
  <LinksUpToDate>false</LinksUpToDate>
  <CharactersWithSpaces>3625</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2023-09-26T09:54:00Z</dcterms:created>
  <dc:creator>NS</dc:creator>
  <cp:lastModifiedBy>胡靖</cp:lastModifiedBy>
  <dcterms:modified xsi:type="dcterms:W3CDTF">2023-12-12T08:59:54Z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C06FB165B7034CA381F6440B9262CCF3</vt:lpwstr>
  </property>
</Properties>
</file>