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90" w:lineRule="exact"/>
        <w:ind w:left="0" w:leftChars="0" w:firstLine="0" w:firstLineChars="0"/>
        <w:rPr>
          <w:rFonts w:hint="eastAsia" w:ascii="黑体" w:hAnsi="黑体" w:eastAsia="黑体" w:cs="黑体"/>
          <w:szCs w:val="32"/>
        </w:rPr>
      </w:pPr>
      <w:r>
        <w:rPr>
          <w:rFonts w:hint="eastAsia" w:ascii="黑体" w:hAnsi="黑体" w:eastAsia="黑体" w:cs="黑体"/>
          <w:szCs w:val="32"/>
        </w:rPr>
        <w:t>附件3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决定修改市政府规章及规范性文件目录（35件）</w:t>
      </w:r>
    </w:p>
    <w:tbl>
      <w:tblPr>
        <w:tblStyle w:val="4"/>
        <w:tblW w:w="0" w:type="auto"/>
        <w:jc w:val="center"/>
        <w:tblLayout w:type="fixed"/>
        <w:tblCellMar>
          <w:top w:w="15" w:type="dxa"/>
          <w:left w:w="15" w:type="dxa"/>
          <w:bottom w:w="15" w:type="dxa"/>
          <w:right w:w="15" w:type="dxa"/>
        </w:tblCellMar>
      </w:tblPr>
      <w:tblGrid>
        <w:gridCol w:w="786"/>
        <w:gridCol w:w="2919"/>
        <w:gridCol w:w="10475"/>
      </w:tblGrid>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kern w:val="0"/>
                <w:sz w:val="24"/>
                <w:lang w:bidi="ar"/>
              </w:rPr>
            </w:pPr>
            <w:r>
              <w:rPr>
                <w:rFonts w:hint="eastAsia" w:ascii="黑体" w:hAnsi="宋体" w:eastAsia="黑体" w:cs="黑体"/>
                <w:color w:val="000000"/>
                <w:kern w:val="0"/>
                <w:sz w:val="24"/>
                <w:lang w:bidi="ar"/>
              </w:rPr>
              <w:t>序号</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黑体" w:hAnsi="宋体" w:eastAsia="黑体" w:cs="黑体"/>
                <w:color w:val="000000"/>
                <w:kern w:val="0"/>
                <w:sz w:val="24"/>
                <w:lang w:bidi="ar"/>
              </w:rPr>
              <w:t>文 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jc w:val="center"/>
              <w:textAlignment w:val="center"/>
              <w:rPr>
                <w:rFonts w:hint="eastAsia" w:ascii="仿宋_GB2312" w:hAnsi="宋体" w:eastAsia="仿宋_GB2312" w:cs="仿宋_GB2312"/>
                <w:color w:val="000000"/>
                <w:kern w:val="0"/>
                <w:sz w:val="24"/>
                <w:lang w:bidi="ar"/>
              </w:rPr>
            </w:pPr>
            <w:r>
              <w:rPr>
                <w:rFonts w:hint="eastAsia" w:ascii="黑体" w:hAnsi="宋体" w:eastAsia="黑体" w:cs="黑体"/>
                <w:color w:val="000000"/>
                <w:kern w:val="0"/>
                <w:sz w:val="24"/>
                <w:lang w:bidi="ar"/>
              </w:rPr>
              <w:t>文  件  名  称</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鄂州市人民政府令2号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鄂州市电动车管理暂行办法</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鄂州市人民政府令3号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鄂州市农贸市场管理办法</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鄂州市人民政府令5号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鄂州市建筑垃圾管理办法</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鄂州市人民政府令7号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鄂州市网络预约出租汽车经营服务管理实施办法（暂行）</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鄂州市人民政府令11号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鄂州市物业管理实施办法</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鄂州政办发〔2006〕23号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市人民政府办公室转发市财政局等部门《鄂州市残疾人就业保障金征收管理办法》的通知</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鄂州政办发〔2009〕33号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市人民政府办公室关于在全市非公有制企业全面推行住房公积金制度的通知</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鄂州政办发〔2014〕49号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市人民政府办公室关于调整城镇征税土地等级范围的通知</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鄂州政办发〔2015〕46号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市人民政府办公室关于明确房产税征税范围的通知</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鄂州政办发〔2015〕6号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市人民政府办公室关于进一步改进和加强住房公积金管理工作的通知</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鄂州政办发〔2016〕32号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市人民政府办公室关于印发《鄂州市创建全国旅游标准化示范城市奖励考核办法》的通知</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鄂州政办发〔2017〕34号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市人民政府办公室关于进一步完善城乡居民基本医疗保险制度的实施意见</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鄂州政办发〔2017〕48号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市人民政府办公室关于印发鄂州市激励企业开展研究开发活动暂行办法的通知</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鄂州政办发〔2018〕39号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市人民政府办公室关于鄂州市固定资产投资项目前期工作奖励办法的通知</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鄂州政办发〔2020〕12号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市人民政府办公室关于印发鄂州市12345政府服务热线管理办法的通知</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鄂州政办函〔2016〕57号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市人民政府办公室关于转发市财政局市国土局鄂州市国有土地使用权出让收支管理办法的通知</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仿宋_GB2312" w:eastAsia="仿宋_GB2312" w:cs="仿宋_GB2312"/>
                <w:color w:val="000000"/>
                <w:kern w:val="0"/>
                <w:sz w:val="24"/>
                <w:lang w:bidi="ar"/>
              </w:rPr>
              <w:t>17</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鄂州政办函〔2017〕14号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市人民政府办公室关于推进服务业发展有关事项的通知</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鄂州政办函〔2017〕56号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市人民政府办公室关于提高精准扶贫对象医疗保障待遇的实施意见</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鄂州政办函〔2017〕66号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市人民政府办公室关于进一步提高我市精准扶贫对象医保待遇的补充通知</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鄂州政办函〔2020〕44号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市人民政府办公室关于印发鄂州市加快推进工业用地“标准地”出让的实施办法的通知</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鄂州政发〔2007〕6号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鄂州市人民政府关于加快旅游商品开发的意见</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鄂州政发〔2017〕9号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市人民政府关于加快发展人力资源服务业的实施意见</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鄂州政发〔2019〕3号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市人民政府关于促进服务业发展若干政策措施的意见</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鄂州政规〔2011〕11号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市人民政府关于印发《鄂州市公共租赁住房管理办法》的通知</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鄂州政规〔2012〕1号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市人民政府关于发布《鄂州市居民家庭经济状况核对办法（试行）》的通知</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鄂州政规〔2014〕5号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市人民政府关于发布《鄂州市市政基础设施建设管理办法（修订）》的通知</w:t>
            </w:r>
          </w:p>
        </w:tc>
      </w:tr>
      <w:tr>
        <w:tblPrEx>
          <w:tblCellMar>
            <w:top w:w="15" w:type="dxa"/>
            <w:left w:w="15" w:type="dxa"/>
            <w:bottom w:w="15" w:type="dxa"/>
            <w:right w:w="15" w:type="dxa"/>
          </w:tblCellMar>
        </w:tblPrEx>
        <w:trPr>
          <w:trHeight w:val="1046"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鄂州政规〔2015〕8号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市人民政府关于修订部分规范性文件的决定：鄂州市规范性文件后评价规定、鄂州市规范性文件后评价专家库管理办法、鄂州市重大行政决策社会稳定性风险评估实施办法、鄂州市行政许可听证规则</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鄂州政规〔2016〕10号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市人民政府关于印发《鄂州市供水管理办法》的通知</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29</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鄂州政规〔2016〕2号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市人民政府关于发布《鄂州市规范性文件管理办法（2016修订）》的通知</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鄂州政规〔2016〕3号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市人民政府关于印发鄂州市城乡居民基本养老保险实施办法的通知</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鄂州政规〔2016〕8号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市人民政府关于印发鄂州市城市地下综合管廊管理办法（试行）的通知</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鄂州政规〔2018〕4号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市人民政府关于印发鄂州市城市建设资金管理办法的通知</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鄂州政规〔2018〕6号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市人民政府关于印发鄂州市既有住宅增设电梯指导意见的通知</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鄂州政规〔2019〕1号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市人民政府关于印发鄂州市节能监察实施细则的通知</w:t>
            </w:r>
          </w:p>
        </w:tc>
      </w:tr>
      <w:tr>
        <w:tblPrEx>
          <w:tblCellMar>
            <w:top w:w="15" w:type="dxa"/>
            <w:left w:w="15" w:type="dxa"/>
            <w:bottom w:w="15" w:type="dxa"/>
            <w:right w:w="15" w:type="dxa"/>
          </w:tblCellMar>
        </w:tblPrEx>
        <w:trPr>
          <w:trHeight w:val="567" w:hRule="atLeast"/>
          <w:tblHeader/>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w:t>
            </w:r>
          </w:p>
        </w:tc>
        <w:tc>
          <w:tcPr>
            <w:tcW w:w="291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鄂州政规〔2020〕2号</w:t>
            </w:r>
          </w:p>
        </w:tc>
        <w:tc>
          <w:tcPr>
            <w:tcW w:w="10475"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市人民政府关于印发鄂州市住宅专项维修资金管理办法的通知</w:t>
            </w:r>
          </w:p>
        </w:tc>
      </w:tr>
    </w:tbl>
    <w:p>
      <w:pPr>
        <w:pStyle w:val="2"/>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E34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ind w:left="420" w:leftChars="200" w:firstLine="420" w:firstLineChars="200"/>
      <w:jc w:val="both"/>
    </w:pPr>
    <w:rPr>
      <w:rFonts w:ascii="Times New Roman" w:hAnsi="Times New Roman" w:eastAsia="仿宋_GB2312" w:cs="Times New Roman"/>
      <w:kern w:val="2"/>
      <w:sz w:val="32"/>
      <w:szCs w:val="22"/>
      <w:lang w:val="en-US" w:eastAsia="zh-CN" w:bidi="ar-SA"/>
    </w:rPr>
  </w:style>
  <w:style w:type="paragraph" w:styleId="3">
    <w:name w:val="Body Text Indent"/>
    <w:basedOn w:val="1"/>
    <w:next w:val="2"/>
    <w:qFormat/>
    <w:uiPriority w:val="0"/>
    <w:pPr>
      <w:widowControl w:val="0"/>
      <w:ind w:left="420" w:leftChars="20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2021-07-27T00:56:16Z</dcterms:created>
  <dc:creator>Hui Tang</dc:creator>
  <cp:lastModifiedBy>远烟</cp:lastModifiedBy>
  <dcterms:modified xsi:type="dcterms:W3CDTF">2021-07-27T00:57:34Z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D6B776C869744C0786E41C44B6C7DE91</vt:lpwstr>
  </property>
</Properties>
</file>