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湖北省梧桐湖新区投资有限公司五行岛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商住项目（一期）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  <w:t>核准的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湖北省梧桐湖新区投资有限公司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你公司《关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于湖北省梧桐湖新区投资有限公司五行岛商住项目（一期）核准申请的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请示》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（鄂梧投综〔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59号）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及有关附件收悉。经研究，</w:t>
      </w:r>
      <w:r>
        <w:rPr>
          <w:rFonts w:hint="eastAsia" w:ascii="仿宋_GB2312" w:eastAsia="仿宋_GB2312"/>
          <w:spacing w:val="0"/>
          <w:sz w:val="32"/>
          <w:szCs w:val="32"/>
        </w:rPr>
        <w:t>现就该项目核准事项批复如下：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为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促进梧桐湖新区的区域经济发展</w:t>
      </w:r>
      <w:r>
        <w:rPr>
          <w:rFonts w:hint="eastAsia" w:ascii="仿宋_GB2312" w:eastAsia="仿宋_GB2312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改善当地居民居住条件，</w:t>
      </w:r>
      <w:r>
        <w:rPr>
          <w:rFonts w:hint="eastAsia" w:ascii="仿宋_GB2312" w:eastAsia="仿宋_GB2312"/>
          <w:spacing w:val="0"/>
          <w:sz w:val="32"/>
          <w:szCs w:val="32"/>
        </w:rPr>
        <w:t>提升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城市居住品质</w:t>
      </w:r>
      <w:r>
        <w:rPr>
          <w:rFonts w:hint="eastAsia" w:ascii="仿宋_GB2312" w:eastAsia="仿宋_GB2312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依据《行政许可法》、《企业投资项目核准备案管理条例》，</w:t>
      </w:r>
      <w:r>
        <w:rPr>
          <w:rFonts w:hint="eastAsia" w:ascii="仿宋_GB2312" w:eastAsia="仿宋_GB2312"/>
          <w:spacing w:val="0"/>
          <w:sz w:val="32"/>
          <w:szCs w:val="32"/>
        </w:rPr>
        <w:t>同意你公司建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设梧桐湖新区五行岛商住项目（一期）。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项目代码：2018-420794-70-02-048037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val="en-US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二、项目建设地点：鄂州市梁子湖区东沟镇大垅村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三、主要经济技术指标和主要建设内容、建设规模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该项目（一期）规划净用地面积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225673.33平方米（约338.51亩），</w:t>
      </w:r>
      <w:r>
        <w:rPr>
          <w:rFonts w:hint="eastAsia" w:ascii="仿宋_GB2312" w:eastAsia="仿宋_GB2312"/>
          <w:spacing w:val="0"/>
          <w:sz w:val="32"/>
          <w:szCs w:val="32"/>
        </w:rPr>
        <w:t>总建筑面积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248959.35</w:t>
      </w:r>
      <w:r>
        <w:rPr>
          <w:rFonts w:hint="eastAsia" w:ascii="仿宋_GB2312" w:eastAsia="仿宋_GB2312"/>
          <w:spacing w:val="0"/>
          <w:sz w:val="32"/>
          <w:szCs w:val="32"/>
        </w:rPr>
        <w:t>平方米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，其中：住宅建筑面积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152309.09</w:t>
      </w:r>
      <w:r>
        <w:rPr>
          <w:rFonts w:hint="eastAsia" w:ascii="仿宋_GB2312" w:eastAsia="仿宋_GB2312"/>
          <w:spacing w:val="0"/>
          <w:sz w:val="32"/>
          <w:szCs w:val="32"/>
        </w:rPr>
        <w:t>平方米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，商业用房及相关建筑面积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39448.59</w:t>
      </w:r>
      <w:r>
        <w:rPr>
          <w:rFonts w:hint="eastAsia" w:ascii="仿宋_GB2312" w:eastAsia="仿宋_GB2312"/>
          <w:spacing w:val="0"/>
          <w:sz w:val="32"/>
          <w:szCs w:val="32"/>
        </w:rPr>
        <w:t>平方米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，地下室面积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57201.67</w:t>
      </w:r>
      <w:r>
        <w:rPr>
          <w:rFonts w:hint="eastAsia" w:ascii="仿宋_GB2312" w:eastAsia="仿宋_GB2312"/>
          <w:spacing w:val="0"/>
          <w:sz w:val="32"/>
          <w:szCs w:val="32"/>
        </w:rPr>
        <w:t>平方米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。项目容积率为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0.85，建筑密度20.82%，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绿化率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35.04%，总户数916户。机动车停车位1628辆，其中地上车位170辆，地下车位1458辆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四、项目总投资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126813.75</w:t>
      </w:r>
      <w:r>
        <w:rPr>
          <w:rFonts w:hint="eastAsia" w:ascii="仿宋_GB2312" w:eastAsia="仿宋_GB2312"/>
          <w:spacing w:val="0"/>
          <w:sz w:val="32"/>
          <w:szCs w:val="32"/>
        </w:rPr>
        <w:t>万元，资金由企业自筹解决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，其中项目资本金不得低于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20%，即25363万元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五、项目区域内的供水、雨污排放、供电、供气、通信等市政配套设施的建设以及节能环保、抗震、消防、人防等与项目同步实施。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六、该项目必须依法招标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（见附件）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七、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按照相关法律、行政法规，</w:t>
      </w:r>
      <w:r>
        <w:rPr>
          <w:rFonts w:hint="eastAsia" w:ascii="仿宋_GB2312" w:eastAsia="仿宋_GB2312"/>
          <w:spacing w:val="0"/>
          <w:sz w:val="32"/>
          <w:szCs w:val="32"/>
        </w:rPr>
        <w:t>核准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pacing w:val="0"/>
          <w:sz w:val="32"/>
          <w:szCs w:val="32"/>
        </w:rPr>
        <w:t>项目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应附前置条件</w:t>
      </w:r>
      <w:r>
        <w:rPr>
          <w:rFonts w:hint="eastAsia" w:ascii="仿宋_GB2312" w:eastAsia="仿宋_GB2312"/>
          <w:spacing w:val="0"/>
          <w:sz w:val="32"/>
          <w:szCs w:val="32"/>
        </w:rPr>
        <w:t>的相关文件分别是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梧桐湖新区行政审批局规划设计要点（鄂州梧规设字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[2017]第005号）、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鄂州市国土资源局《关于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关于五行岛—火岛商住项目用地预审意见的请示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&gt;的说明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》、《关于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关于五行岛—水岛商住项目用地预审意见的请示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&gt;的说明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》和《关于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关于五行岛—金木岛商住项目用地预审意见的请示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&gt;的说明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pacing w:val="0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pacing w:val="0"/>
          <w:sz w:val="32"/>
          <w:szCs w:val="32"/>
        </w:rPr>
        <w:t>进行调整，请按照《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pacing w:val="0"/>
          <w:sz w:val="32"/>
          <w:szCs w:val="32"/>
        </w:rPr>
        <w:t>项目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pacing w:val="0"/>
          <w:sz w:val="32"/>
          <w:szCs w:val="32"/>
        </w:rPr>
        <w:t>管理办法》的有关规定，及时提出调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变更</w:t>
      </w:r>
      <w:r>
        <w:rPr>
          <w:rFonts w:hint="eastAsia" w:ascii="仿宋_GB2312" w:eastAsia="仿宋_GB2312"/>
          <w:spacing w:val="0"/>
          <w:sz w:val="32"/>
          <w:szCs w:val="32"/>
        </w:rPr>
        <w:t>申请，我委将根据项目具体情况，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作出是否同意变更的书面决定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pacing w:val="0"/>
          <w:sz w:val="32"/>
          <w:szCs w:val="32"/>
        </w:rPr>
        <w:t>、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pacing w:val="0"/>
          <w:sz w:val="32"/>
          <w:szCs w:val="32"/>
        </w:rPr>
        <w:t>、本核准文件自印发之日起有效期限2年。在核准文件有效期内未开工建设的，应在核准文件有效期届满前的30个工作日之前向我委申请延期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pacing w:val="0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附：工程招标审批部门核准意见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sz w:val="32"/>
          <w:szCs w:val="32"/>
        </w:rPr>
        <w:t xml:space="preserve"> 201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2018年7月17日印发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建设单位: 湖北省梧桐湖新区投资有限公司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项目名称:</w:t>
      </w:r>
      <w:r>
        <w:rPr>
          <w:rFonts w:hint="eastAsia" w:ascii="仿宋_GB2312" w:eastAsia="仿宋_GB2312"/>
          <w:sz w:val="24"/>
          <w:lang w:eastAsia="zh-CN"/>
        </w:rPr>
        <w:t xml:space="preserve"> 五行岛商住项目（一期）</w:t>
      </w:r>
    </w:p>
    <w:tbl>
      <w:tblPr>
        <w:tblStyle w:val="6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83"/>
        <w:gridCol w:w="982"/>
        <w:gridCol w:w="983"/>
        <w:gridCol w:w="983"/>
        <w:gridCol w:w="983"/>
        <w:gridCol w:w="983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64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核准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43" w:firstLineChars="194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717" w:firstLineChars="2042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880" w:firstLineChars="21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 w:firstLine="5600" w:firstLineChars="20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</w:pPr>
    </w:p>
    <w:sectPr>
      <w:pgSz w:w="11849" w:h="16781"/>
      <w:pgMar w:top="1984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0B582"/>
    <w:multiLevelType w:val="singleLevel"/>
    <w:tmpl w:val="86C0B5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7F1D"/>
    <w:rsid w:val="00206E83"/>
    <w:rsid w:val="00536AE6"/>
    <w:rsid w:val="00EB230D"/>
    <w:rsid w:val="02384A81"/>
    <w:rsid w:val="025F6562"/>
    <w:rsid w:val="02F45840"/>
    <w:rsid w:val="03326913"/>
    <w:rsid w:val="03A32A65"/>
    <w:rsid w:val="05165672"/>
    <w:rsid w:val="06421616"/>
    <w:rsid w:val="070403D1"/>
    <w:rsid w:val="082C02D4"/>
    <w:rsid w:val="08CF6F6F"/>
    <w:rsid w:val="09033CEE"/>
    <w:rsid w:val="096C68C2"/>
    <w:rsid w:val="098051F9"/>
    <w:rsid w:val="09DF7021"/>
    <w:rsid w:val="0DE62282"/>
    <w:rsid w:val="11CD2FB9"/>
    <w:rsid w:val="12EA1D0E"/>
    <w:rsid w:val="13A014E8"/>
    <w:rsid w:val="14191415"/>
    <w:rsid w:val="14474A76"/>
    <w:rsid w:val="17653597"/>
    <w:rsid w:val="18FE2914"/>
    <w:rsid w:val="1C0D1776"/>
    <w:rsid w:val="1CDF2292"/>
    <w:rsid w:val="1DB46DF0"/>
    <w:rsid w:val="1E110CE3"/>
    <w:rsid w:val="1E8E73BB"/>
    <w:rsid w:val="1ECD2A42"/>
    <w:rsid w:val="1FAE437A"/>
    <w:rsid w:val="20537F1D"/>
    <w:rsid w:val="21605F1B"/>
    <w:rsid w:val="21DA2A66"/>
    <w:rsid w:val="23155E31"/>
    <w:rsid w:val="25777625"/>
    <w:rsid w:val="25A5459F"/>
    <w:rsid w:val="26966A3E"/>
    <w:rsid w:val="27E26F34"/>
    <w:rsid w:val="284D0BD1"/>
    <w:rsid w:val="28CE3FC5"/>
    <w:rsid w:val="2AD2323B"/>
    <w:rsid w:val="2B7F464D"/>
    <w:rsid w:val="2B8245C2"/>
    <w:rsid w:val="2BB471F9"/>
    <w:rsid w:val="2BDB75EA"/>
    <w:rsid w:val="2FF15331"/>
    <w:rsid w:val="30722231"/>
    <w:rsid w:val="30936D44"/>
    <w:rsid w:val="33361CF4"/>
    <w:rsid w:val="33966356"/>
    <w:rsid w:val="34D401DA"/>
    <w:rsid w:val="36A43490"/>
    <w:rsid w:val="38757A38"/>
    <w:rsid w:val="3A173443"/>
    <w:rsid w:val="3A2522E8"/>
    <w:rsid w:val="3A9B339F"/>
    <w:rsid w:val="3C827AFC"/>
    <w:rsid w:val="3CF5301C"/>
    <w:rsid w:val="3D8D6FE5"/>
    <w:rsid w:val="3F565610"/>
    <w:rsid w:val="41420045"/>
    <w:rsid w:val="41C35F92"/>
    <w:rsid w:val="42907A72"/>
    <w:rsid w:val="43392607"/>
    <w:rsid w:val="443F4A28"/>
    <w:rsid w:val="45582077"/>
    <w:rsid w:val="45F53DA9"/>
    <w:rsid w:val="46D4196B"/>
    <w:rsid w:val="4A4804B3"/>
    <w:rsid w:val="4A8C269E"/>
    <w:rsid w:val="4B045D3D"/>
    <w:rsid w:val="4DA64523"/>
    <w:rsid w:val="4E3C39FA"/>
    <w:rsid w:val="4E631F38"/>
    <w:rsid w:val="50054518"/>
    <w:rsid w:val="505041BC"/>
    <w:rsid w:val="50EA7F64"/>
    <w:rsid w:val="516D735B"/>
    <w:rsid w:val="52177810"/>
    <w:rsid w:val="5466784A"/>
    <w:rsid w:val="54F07612"/>
    <w:rsid w:val="56E51535"/>
    <w:rsid w:val="56E53A12"/>
    <w:rsid w:val="572B7C65"/>
    <w:rsid w:val="57843562"/>
    <w:rsid w:val="58CD626F"/>
    <w:rsid w:val="58E80E56"/>
    <w:rsid w:val="5964052B"/>
    <w:rsid w:val="5A0B4467"/>
    <w:rsid w:val="5A9D11E8"/>
    <w:rsid w:val="5B326750"/>
    <w:rsid w:val="5BAE59FA"/>
    <w:rsid w:val="5C420357"/>
    <w:rsid w:val="5CDD6A5C"/>
    <w:rsid w:val="5EBD308A"/>
    <w:rsid w:val="600F249C"/>
    <w:rsid w:val="60443C70"/>
    <w:rsid w:val="60776CD5"/>
    <w:rsid w:val="61024FD1"/>
    <w:rsid w:val="614263FA"/>
    <w:rsid w:val="6188631D"/>
    <w:rsid w:val="621222F1"/>
    <w:rsid w:val="6401049B"/>
    <w:rsid w:val="640A32A5"/>
    <w:rsid w:val="640D4CD4"/>
    <w:rsid w:val="646E41B6"/>
    <w:rsid w:val="665C3701"/>
    <w:rsid w:val="6739723C"/>
    <w:rsid w:val="686B501A"/>
    <w:rsid w:val="68BC432A"/>
    <w:rsid w:val="69C726E9"/>
    <w:rsid w:val="6B1D37DE"/>
    <w:rsid w:val="6BA01150"/>
    <w:rsid w:val="6C333300"/>
    <w:rsid w:val="6DA747E2"/>
    <w:rsid w:val="6E67083E"/>
    <w:rsid w:val="6ECF711C"/>
    <w:rsid w:val="72C63C21"/>
    <w:rsid w:val="7360486D"/>
    <w:rsid w:val="73703801"/>
    <w:rsid w:val="74766A4B"/>
    <w:rsid w:val="75386BDC"/>
    <w:rsid w:val="753D428C"/>
    <w:rsid w:val="75877F8D"/>
    <w:rsid w:val="7702256F"/>
    <w:rsid w:val="77BA4245"/>
    <w:rsid w:val="7A7B1891"/>
    <w:rsid w:val="7B4763E6"/>
    <w:rsid w:val="7C1D2091"/>
    <w:rsid w:val="7F217CFA"/>
    <w:rsid w:val="7F9D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2017-05-17T01:26:00Z</dcterms:created>
  <dc:creator>lenovo</dc:creator>
  <cp:lastModifiedBy>Administrator</cp:lastModifiedBy>
  <cp:lastPrinted>2018-03-19T01:09:00Z</cp:lastPrinted>
  <dcterms:modified xsi:type="dcterms:W3CDTF">2018-07-18T03:49:11Z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