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sz w:val="32"/>
          <w:szCs w:val="32"/>
        </w:rPr>
        <w:t>鄂州发改投资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177</w:t>
      </w:r>
      <w:r>
        <w:rPr>
          <w:rFonts w:hint="eastAsia" w:ascii="仿宋_GB2312" w:hAnsi="方正小标宋简体" w:eastAsia="仿宋_GB2312" w:cs="方正小标宋简体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/>
          <w:spacing w:val="0"/>
          <w:w w:val="10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spacing w:val="0"/>
          <w:w w:val="100"/>
          <w:sz w:val="44"/>
          <w:szCs w:val="44"/>
        </w:rPr>
        <w:t>关</w:t>
      </w:r>
      <w:r>
        <w:rPr>
          <w:rFonts w:hint="eastAsia" w:ascii="方正小标宋简体" w:hAnsi="宋体" w:eastAsia="方正小标宋简体"/>
          <w:spacing w:val="0"/>
          <w:w w:val="100"/>
          <w:sz w:val="44"/>
          <w:szCs w:val="44"/>
          <w:lang w:eastAsia="zh-CN"/>
        </w:rPr>
        <w:t>于鄂州市民生房地产开发有限公司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/>
          <w:spacing w:val="0"/>
          <w:w w:val="100"/>
          <w:sz w:val="44"/>
          <w:szCs w:val="44"/>
        </w:rPr>
      </w:pPr>
      <w:r>
        <w:rPr>
          <w:rFonts w:hint="eastAsia" w:ascii="方正小标宋简体" w:hAnsi="宋体" w:eastAsia="方正小标宋简体"/>
          <w:spacing w:val="0"/>
          <w:w w:val="100"/>
          <w:sz w:val="44"/>
          <w:szCs w:val="44"/>
          <w:lang w:eastAsia="zh-CN"/>
        </w:rPr>
        <w:t>锦湖</w:t>
      </w:r>
      <w:r>
        <w:rPr>
          <w:rFonts w:hint="eastAsia" w:ascii="仿宋" w:hAnsi="仿宋" w:eastAsia="仿宋" w:cs="仿宋"/>
          <w:spacing w:val="0"/>
          <w:w w:val="100"/>
          <w:sz w:val="44"/>
          <w:szCs w:val="44"/>
          <w:lang w:eastAsia="zh-CN"/>
        </w:rPr>
        <w:t>·</w:t>
      </w:r>
      <w:r>
        <w:rPr>
          <w:rFonts w:hint="eastAsia" w:ascii="方正小标宋简体" w:hAnsi="宋体" w:eastAsia="方正小标宋简体"/>
          <w:spacing w:val="0"/>
          <w:w w:val="100"/>
          <w:sz w:val="44"/>
          <w:szCs w:val="44"/>
          <w:lang w:eastAsia="zh-CN"/>
        </w:rPr>
        <w:t>宝丽嘉园项目</w:t>
      </w:r>
      <w:r>
        <w:rPr>
          <w:rFonts w:hint="eastAsia" w:ascii="方正小标宋简体" w:hAnsi="宋体" w:eastAsia="方正小标宋简体"/>
          <w:spacing w:val="0"/>
          <w:w w:val="100"/>
          <w:sz w:val="44"/>
          <w:szCs w:val="44"/>
        </w:rPr>
        <w:t>核准的</w:t>
      </w:r>
      <w:r>
        <w:rPr>
          <w:rFonts w:hint="eastAsia" w:ascii="方正小标宋简体" w:hAnsi="宋体" w:eastAsia="方正小标宋简体"/>
          <w:spacing w:val="0"/>
          <w:w w:val="100"/>
          <w:sz w:val="44"/>
          <w:szCs w:val="44"/>
          <w:lang w:eastAsia="zh-CN"/>
        </w:rPr>
        <w:t>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eastAsia" w:ascii="宋体" w:hAnsi="宋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鄂州市民生房地产开发有</w:t>
      </w:r>
      <w:r>
        <w:rPr>
          <w:rFonts w:hint="eastAsia" w:ascii="仿宋_GB2312" w:eastAsia="仿宋_GB2312"/>
          <w:spacing w:val="-6"/>
          <w:sz w:val="32"/>
          <w:szCs w:val="32"/>
          <w:lang w:eastAsia="zh-CN"/>
        </w:rPr>
        <w:t>限公司</w:t>
      </w:r>
      <w:r>
        <w:rPr>
          <w:rFonts w:hint="eastAsia" w:ascii="仿宋_GB2312" w:eastAsia="仿宋_GB2312"/>
          <w:spacing w:val="-6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你公司《</w:t>
      </w:r>
      <w:r>
        <w:rPr>
          <w:rFonts w:hint="eastAsia" w:ascii="仿宋_GB2312" w:eastAsia="仿宋_GB2312"/>
          <w:sz w:val="32"/>
          <w:szCs w:val="32"/>
        </w:rPr>
        <w:t>关于</w:t>
      </w:r>
      <w:r>
        <w:rPr>
          <w:rFonts w:hint="eastAsia" w:ascii="仿宋_GB2312" w:eastAsia="仿宋_GB2312"/>
          <w:sz w:val="32"/>
          <w:szCs w:val="32"/>
          <w:lang w:eastAsia="zh-CN"/>
        </w:rPr>
        <w:t>锦湖·宝丽嘉园项目核准的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请示》</w:t>
      </w:r>
      <w:r>
        <w:rPr>
          <w:rFonts w:hint="eastAsia" w:ascii="仿宋_GB2312" w:eastAsia="仿宋_GB2312"/>
          <w:sz w:val="32"/>
          <w:szCs w:val="32"/>
          <w:lang w:eastAsia="zh-CN"/>
        </w:rPr>
        <w:t>（民生房产〔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2018</w:t>
      </w:r>
      <w:r>
        <w:rPr>
          <w:rFonts w:hint="eastAsia" w:ascii="仿宋_GB2312" w:eastAsia="仿宋_GB2312"/>
          <w:sz w:val="32"/>
          <w:szCs w:val="32"/>
          <w:lang w:eastAsia="zh-CN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11号）</w:t>
      </w:r>
      <w:r>
        <w:rPr>
          <w:rFonts w:hint="eastAsia" w:ascii="仿宋_GB2312" w:eastAsia="仿宋_GB2312"/>
          <w:spacing w:val="-6"/>
          <w:sz w:val="32"/>
          <w:szCs w:val="32"/>
          <w:lang w:eastAsia="zh-CN"/>
        </w:rPr>
        <w:t>及有关</w:t>
      </w:r>
      <w:r>
        <w:rPr>
          <w:rFonts w:hint="eastAsia" w:ascii="仿宋_GB2312" w:eastAsia="仿宋_GB2312"/>
          <w:sz w:val="32"/>
          <w:szCs w:val="32"/>
          <w:lang w:eastAsia="zh-CN"/>
        </w:rPr>
        <w:t>附件收</w:t>
      </w:r>
      <w:r>
        <w:rPr>
          <w:rFonts w:hint="eastAsia" w:ascii="仿宋_GB2312" w:eastAsia="仿宋_GB2312"/>
          <w:spacing w:val="-6"/>
          <w:sz w:val="32"/>
          <w:szCs w:val="32"/>
        </w:rPr>
        <w:t>悉。</w:t>
      </w:r>
      <w:r>
        <w:rPr>
          <w:rFonts w:hint="eastAsia" w:ascii="仿宋_GB2312" w:eastAsia="仿宋_GB2312"/>
          <w:sz w:val="32"/>
          <w:szCs w:val="32"/>
        </w:rPr>
        <w:t>经研究，现就该项目核准事项批复如下：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一、为进一步加快</w:t>
      </w:r>
      <w:r>
        <w:rPr>
          <w:rFonts w:hint="eastAsia" w:ascii="仿宋_GB2312" w:eastAsia="仿宋_GB2312"/>
          <w:sz w:val="32"/>
          <w:szCs w:val="32"/>
          <w:lang w:eastAsia="zh-CN"/>
        </w:rPr>
        <w:t>城市</w:t>
      </w:r>
      <w:r>
        <w:rPr>
          <w:rFonts w:hint="eastAsia" w:ascii="仿宋_GB2312" w:eastAsia="仿宋_GB2312"/>
          <w:sz w:val="32"/>
          <w:szCs w:val="32"/>
        </w:rPr>
        <w:t>建设步伐，</w:t>
      </w:r>
      <w:r>
        <w:rPr>
          <w:rFonts w:hint="eastAsia" w:ascii="仿宋_GB2312" w:eastAsia="仿宋_GB2312"/>
          <w:sz w:val="32"/>
          <w:szCs w:val="32"/>
          <w:lang w:eastAsia="zh-CN"/>
        </w:rPr>
        <w:t>改善当地居民居住条件，</w:t>
      </w:r>
      <w:r>
        <w:rPr>
          <w:rFonts w:hint="eastAsia" w:ascii="仿宋_GB2312" w:eastAsia="仿宋_GB2312"/>
          <w:sz w:val="32"/>
          <w:szCs w:val="32"/>
        </w:rPr>
        <w:t>提升</w:t>
      </w:r>
      <w:r>
        <w:rPr>
          <w:rFonts w:hint="eastAsia" w:ascii="仿宋_GB2312" w:eastAsia="仿宋_GB2312"/>
          <w:sz w:val="32"/>
          <w:szCs w:val="32"/>
          <w:lang w:eastAsia="zh-CN"/>
        </w:rPr>
        <w:t>城市居住品质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依据《行政许可法》、《企业投资项目核准备案管理条例》，</w:t>
      </w:r>
      <w:r>
        <w:rPr>
          <w:rFonts w:hint="eastAsia" w:ascii="仿宋_GB2312" w:eastAsia="仿宋_GB2312"/>
          <w:sz w:val="32"/>
          <w:szCs w:val="32"/>
        </w:rPr>
        <w:t>同意你公司建</w:t>
      </w:r>
      <w:r>
        <w:rPr>
          <w:rFonts w:hint="eastAsia" w:ascii="仿宋_GB2312" w:eastAsia="仿宋_GB2312"/>
          <w:sz w:val="32"/>
          <w:szCs w:val="32"/>
          <w:lang w:eastAsia="zh-CN"/>
        </w:rPr>
        <w:t>设锦湖·宝丽嘉园项目。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项目代码：</w:t>
      </w:r>
      <w:r>
        <w:rPr>
          <w:rFonts w:hint="eastAsia" w:ascii="仿宋_GB2312" w:eastAsia="仿宋_GB2312"/>
          <w:sz w:val="32"/>
          <w:szCs w:val="32"/>
        </w:rPr>
        <w:fldChar w:fldCharType="begin"/>
      </w:r>
      <w:r>
        <w:rPr>
          <w:rFonts w:hint="eastAsia" w:ascii="仿宋_GB2312" w:eastAsia="仿宋_GB2312"/>
          <w:sz w:val="32"/>
          <w:szCs w:val="32"/>
        </w:rPr>
        <w:instrText xml:space="preserve"> HYPERLINK "http://www.hbtzls.gov.cn:8083/tzxmapp/pages/addition/approve/approvaloperation/javascript:void(0);" </w:instrText>
      </w:r>
      <w:r>
        <w:rPr>
          <w:rFonts w:hint="eastAsia" w:ascii="仿宋_GB2312" w:eastAsia="仿宋_GB2312"/>
          <w:sz w:val="32"/>
          <w:szCs w:val="32"/>
        </w:rPr>
        <w:fldChar w:fldCharType="separate"/>
      </w:r>
      <w:r>
        <w:rPr>
          <w:rFonts w:hint="eastAsia" w:ascii="仿宋_GB2312" w:eastAsia="仿宋_GB2312"/>
          <w:sz w:val="32"/>
          <w:szCs w:val="32"/>
        </w:rPr>
        <w:t>2018-420704-47-02-030547</w:t>
      </w:r>
      <w:r>
        <w:rPr>
          <w:rFonts w:hint="eastAsia" w:ascii="仿宋_GB2312" w:eastAsia="仿宋_GB2312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二、项目建设地点：鄂州市滨湖西路，市财政局南侧，西面与花园小区相邻，东面紧邻洋澜湖。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三、主要经济技术指标和主要建设内容、建设规模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原则同意该项目</w:t>
      </w:r>
      <w:r>
        <w:rPr>
          <w:rFonts w:hint="eastAsia" w:ascii="仿宋_GB2312" w:eastAsia="仿宋_GB2312"/>
          <w:sz w:val="32"/>
          <w:szCs w:val="32"/>
          <w:lang w:eastAsia="zh-CN"/>
        </w:rPr>
        <w:t>规划设计要点，总用地面积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11636平方米，净用地面积6416平方米，</w:t>
      </w:r>
      <w:r>
        <w:rPr>
          <w:rFonts w:hint="eastAsia" w:ascii="仿宋_GB2312" w:eastAsia="仿宋_GB2312"/>
          <w:sz w:val="32"/>
          <w:szCs w:val="32"/>
        </w:rPr>
        <w:t>总建筑面积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25391.72</w:t>
      </w:r>
      <w:r>
        <w:rPr>
          <w:rFonts w:hint="eastAsia" w:ascii="仿宋_GB2312" w:eastAsia="仿宋_GB2312"/>
          <w:sz w:val="32"/>
          <w:szCs w:val="32"/>
        </w:rPr>
        <w:t>平方米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容积率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3.38，绿地率24.10%</w:t>
      </w:r>
      <w:r>
        <w:rPr>
          <w:rFonts w:hint="eastAsia" w:ascii="仿宋_GB2312" w:eastAsia="仿宋_GB2312"/>
          <w:sz w:val="32"/>
          <w:szCs w:val="32"/>
          <w:lang w:eastAsia="zh-CN"/>
        </w:rPr>
        <w:t>。地上建筑面积（计容）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21717.79平方米，</w:t>
      </w:r>
      <w:r>
        <w:rPr>
          <w:rFonts w:hint="eastAsia" w:ascii="仿宋_GB2312" w:eastAsia="仿宋_GB2312"/>
          <w:sz w:val="32"/>
          <w:szCs w:val="32"/>
          <w:lang w:eastAsia="zh-CN"/>
        </w:rPr>
        <w:t>其中：住宅建筑面积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18858.10</w:t>
      </w:r>
      <w:r>
        <w:rPr>
          <w:rFonts w:hint="eastAsia" w:ascii="仿宋_GB2312" w:eastAsia="仿宋_GB2312"/>
          <w:sz w:val="32"/>
          <w:szCs w:val="32"/>
        </w:rPr>
        <w:t>平方米</w:t>
      </w:r>
      <w:r>
        <w:rPr>
          <w:rFonts w:hint="eastAsia" w:ascii="仿宋_GB2312" w:eastAsia="仿宋_GB2312"/>
          <w:sz w:val="32"/>
          <w:szCs w:val="32"/>
          <w:lang w:eastAsia="zh-CN"/>
        </w:rPr>
        <w:t>，商业建筑面积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2464.87</w:t>
      </w:r>
      <w:r>
        <w:rPr>
          <w:rFonts w:hint="eastAsia" w:ascii="仿宋_GB2312" w:eastAsia="仿宋_GB2312"/>
          <w:sz w:val="32"/>
          <w:szCs w:val="32"/>
        </w:rPr>
        <w:t>平方米</w:t>
      </w:r>
      <w:r>
        <w:rPr>
          <w:rFonts w:hint="eastAsia" w:ascii="仿宋_GB2312" w:eastAsia="仿宋_GB2312"/>
          <w:sz w:val="32"/>
          <w:szCs w:val="32"/>
          <w:lang w:eastAsia="zh-CN"/>
        </w:rPr>
        <w:t>，配套设施建筑面积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394.82</w:t>
      </w:r>
      <w:r>
        <w:rPr>
          <w:rFonts w:hint="eastAsia" w:ascii="仿宋_GB2312" w:eastAsia="仿宋_GB2312"/>
          <w:sz w:val="32"/>
          <w:szCs w:val="32"/>
        </w:rPr>
        <w:t>平方米</w:t>
      </w:r>
      <w:r>
        <w:rPr>
          <w:rFonts w:hint="eastAsia" w:ascii="仿宋_GB2312" w:eastAsia="仿宋_GB2312"/>
          <w:sz w:val="32"/>
          <w:szCs w:val="32"/>
          <w:lang w:eastAsia="zh-CN"/>
        </w:rPr>
        <w:t>；地下室建筑面积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3673.93平方米；总户数170户，总停车位82个，电动自行车充电桩34个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四、项目总投资为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7000</w:t>
      </w:r>
      <w:r>
        <w:rPr>
          <w:rFonts w:hint="eastAsia" w:ascii="仿宋_GB2312" w:eastAsia="仿宋_GB2312"/>
          <w:sz w:val="32"/>
          <w:szCs w:val="32"/>
        </w:rPr>
        <w:t>万元，资金由企业自筹解决</w:t>
      </w:r>
      <w:r>
        <w:rPr>
          <w:rFonts w:hint="eastAsia" w:ascii="仿宋_GB2312" w:eastAsia="仿宋_GB2312"/>
          <w:sz w:val="32"/>
          <w:szCs w:val="32"/>
          <w:lang w:eastAsia="zh-CN"/>
        </w:rPr>
        <w:t>，其中项目资本金不得低于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20%，即1400万元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五、项目区域内的供水、雨污排放、供电、供气、通信等市政配套设施的建设以及节能环保、抗震、消防、人防等与项目同步实施。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六、该项目必须依法招标</w:t>
      </w:r>
      <w:r>
        <w:rPr>
          <w:rFonts w:hint="eastAsia" w:ascii="仿宋_GB2312" w:eastAsia="仿宋_GB2312"/>
          <w:sz w:val="32"/>
          <w:szCs w:val="32"/>
          <w:lang w:eastAsia="zh-CN"/>
        </w:rPr>
        <w:t>（见附件）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64" w:firstLineChars="200"/>
        <w:jc w:val="both"/>
        <w:textAlignment w:val="auto"/>
        <w:outlineLvl w:val="9"/>
        <w:rPr>
          <w:rFonts w:hint="eastAsia" w:ascii="仿宋_GB2312" w:eastAsia="仿宋_GB2312"/>
          <w:spacing w:val="6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6"/>
          <w:sz w:val="32"/>
          <w:szCs w:val="32"/>
        </w:rPr>
        <w:t>七、</w:t>
      </w:r>
      <w:r>
        <w:rPr>
          <w:rFonts w:hint="eastAsia" w:ascii="仿宋_GB2312" w:eastAsia="仿宋_GB2312"/>
          <w:spacing w:val="6"/>
          <w:sz w:val="32"/>
          <w:szCs w:val="32"/>
          <w:lang w:eastAsia="zh-CN"/>
        </w:rPr>
        <w:t>按照相关法律、行政法规，</w:t>
      </w:r>
      <w:r>
        <w:rPr>
          <w:rFonts w:hint="eastAsia" w:ascii="仿宋_GB2312" w:eastAsia="仿宋_GB2312"/>
          <w:spacing w:val="6"/>
          <w:sz w:val="32"/>
          <w:szCs w:val="32"/>
        </w:rPr>
        <w:t>核准</w:t>
      </w:r>
      <w:r>
        <w:rPr>
          <w:rFonts w:hint="eastAsia" w:ascii="仿宋_GB2312" w:eastAsia="仿宋_GB2312"/>
          <w:spacing w:val="6"/>
          <w:sz w:val="32"/>
          <w:szCs w:val="32"/>
          <w:lang w:eastAsia="zh-CN"/>
        </w:rPr>
        <w:t>该</w:t>
      </w:r>
      <w:r>
        <w:rPr>
          <w:rFonts w:hint="eastAsia" w:ascii="仿宋_GB2312" w:eastAsia="仿宋_GB2312"/>
          <w:spacing w:val="6"/>
          <w:sz w:val="32"/>
          <w:szCs w:val="32"/>
        </w:rPr>
        <w:t>项目</w:t>
      </w:r>
      <w:r>
        <w:rPr>
          <w:rFonts w:hint="eastAsia" w:ascii="仿宋_GB2312" w:eastAsia="仿宋_GB2312"/>
          <w:spacing w:val="6"/>
          <w:sz w:val="32"/>
          <w:szCs w:val="32"/>
          <w:lang w:eastAsia="zh-CN"/>
        </w:rPr>
        <w:t>应附前置条件</w:t>
      </w:r>
      <w:r>
        <w:rPr>
          <w:rFonts w:hint="eastAsia" w:ascii="仿宋_GB2312" w:eastAsia="仿宋_GB2312"/>
          <w:spacing w:val="6"/>
          <w:sz w:val="32"/>
          <w:szCs w:val="32"/>
        </w:rPr>
        <w:t>的相关文件分别是</w:t>
      </w:r>
      <w:r>
        <w:rPr>
          <w:rFonts w:hint="eastAsia" w:ascii="仿宋_GB2312" w:eastAsia="仿宋_GB2312"/>
          <w:spacing w:val="6"/>
          <w:sz w:val="32"/>
          <w:szCs w:val="32"/>
          <w:lang w:eastAsia="zh-CN"/>
        </w:rPr>
        <w:t>市规委会</w:t>
      </w:r>
      <w:r>
        <w:rPr>
          <w:rFonts w:hint="eastAsia" w:ascii="仿宋_GB2312" w:eastAsia="仿宋_GB2312"/>
          <w:spacing w:val="6"/>
          <w:sz w:val="32"/>
          <w:szCs w:val="32"/>
          <w:lang w:val="en-US" w:eastAsia="zh-CN"/>
        </w:rPr>
        <w:t>2017年第二次主任会议审议通过的项目规划方案调整总平面图、</w:t>
      </w:r>
      <w:r>
        <w:rPr>
          <w:rFonts w:hint="eastAsia" w:ascii="仿宋_GB2312" w:eastAsia="仿宋_GB2312"/>
          <w:spacing w:val="6"/>
          <w:sz w:val="32"/>
          <w:szCs w:val="32"/>
          <w:lang w:eastAsia="zh-CN"/>
        </w:rPr>
        <w:t>鄂州市国土资源局《关于锦湖</w:t>
      </w:r>
      <w:r>
        <w:rPr>
          <w:rFonts w:hint="eastAsia" w:ascii="微软雅黑" w:hAnsi="微软雅黑" w:eastAsia="微软雅黑" w:cs="微软雅黑"/>
          <w:spacing w:val="6"/>
          <w:sz w:val="32"/>
          <w:szCs w:val="32"/>
          <w:lang w:val="en-US" w:eastAsia="zh-CN"/>
        </w:rPr>
        <w:t>·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宝丽嘉园</w:t>
      </w:r>
      <w:r>
        <w:rPr>
          <w:rFonts w:hint="eastAsia" w:ascii="仿宋_GB2312" w:eastAsia="仿宋_GB2312"/>
          <w:spacing w:val="6"/>
          <w:sz w:val="32"/>
          <w:szCs w:val="32"/>
          <w:lang w:eastAsia="zh-CN"/>
        </w:rPr>
        <w:t>项目用地预审情况的说明》</w:t>
      </w:r>
      <w:r>
        <w:rPr>
          <w:rFonts w:hint="eastAsia" w:ascii="仿宋_GB2312" w:eastAsia="仿宋_GB2312"/>
          <w:spacing w:val="6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八、</w:t>
      </w:r>
      <w:r>
        <w:rPr>
          <w:rFonts w:hint="eastAsia" w:ascii="仿宋_GB2312" w:eastAsia="仿宋_GB2312"/>
          <w:sz w:val="32"/>
          <w:szCs w:val="32"/>
        </w:rPr>
        <w:t>如需对本项目核准文件所规定的</w:t>
      </w:r>
      <w:r>
        <w:rPr>
          <w:rFonts w:hint="eastAsia" w:ascii="仿宋_GB2312" w:eastAsia="仿宋_GB2312"/>
          <w:sz w:val="32"/>
          <w:szCs w:val="32"/>
          <w:lang w:eastAsia="zh-CN"/>
        </w:rPr>
        <w:t>建设地点、建设规模、主要建设内容等</w:t>
      </w:r>
      <w:r>
        <w:rPr>
          <w:rFonts w:hint="eastAsia" w:ascii="仿宋_GB2312" w:eastAsia="仿宋_GB2312"/>
          <w:sz w:val="32"/>
          <w:szCs w:val="32"/>
        </w:rPr>
        <w:t>进行调整，请按照《</w:t>
      </w:r>
      <w:r>
        <w:rPr>
          <w:rFonts w:hint="eastAsia" w:ascii="仿宋_GB2312" w:eastAsia="仿宋_GB2312"/>
          <w:sz w:val="32"/>
          <w:szCs w:val="32"/>
          <w:lang w:eastAsia="zh-CN"/>
        </w:rPr>
        <w:t>湖北省企业投资</w:t>
      </w:r>
      <w:r>
        <w:rPr>
          <w:rFonts w:hint="eastAsia" w:ascii="仿宋_GB2312" w:eastAsia="仿宋_GB2312"/>
          <w:sz w:val="32"/>
          <w:szCs w:val="32"/>
        </w:rPr>
        <w:t>项目</w:t>
      </w:r>
      <w:r>
        <w:rPr>
          <w:rFonts w:hint="eastAsia" w:ascii="仿宋_GB2312" w:eastAsia="仿宋_GB2312"/>
          <w:sz w:val="32"/>
          <w:szCs w:val="32"/>
          <w:lang w:eastAsia="zh-CN"/>
        </w:rPr>
        <w:t>核准和备案</w:t>
      </w:r>
      <w:r>
        <w:rPr>
          <w:rFonts w:hint="eastAsia" w:ascii="仿宋_GB2312" w:eastAsia="仿宋_GB2312"/>
          <w:sz w:val="32"/>
          <w:szCs w:val="32"/>
        </w:rPr>
        <w:t>管理办法》的有关规定，及时提出调</w:t>
      </w:r>
      <w:r>
        <w:rPr>
          <w:rFonts w:hint="eastAsia" w:ascii="仿宋_GB2312" w:eastAsia="仿宋_GB2312"/>
          <w:sz w:val="32"/>
          <w:szCs w:val="32"/>
          <w:lang w:eastAsia="zh-CN"/>
        </w:rPr>
        <w:t>变更</w:t>
      </w:r>
      <w:r>
        <w:rPr>
          <w:rFonts w:hint="eastAsia" w:ascii="仿宋_GB2312" w:eastAsia="仿宋_GB2312"/>
          <w:sz w:val="32"/>
          <w:szCs w:val="32"/>
        </w:rPr>
        <w:t>申请，我委将根据项目具体情况，</w:t>
      </w:r>
      <w:r>
        <w:rPr>
          <w:rFonts w:hint="eastAsia" w:ascii="仿宋_GB2312" w:eastAsia="仿宋_GB2312"/>
          <w:sz w:val="32"/>
          <w:szCs w:val="32"/>
          <w:lang w:eastAsia="zh-CN"/>
        </w:rPr>
        <w:t>作出是否同意变更的书面决定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九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请你公司在项目开工建设前，依据相关法律、行政法规规定办理规划许可、土地使用、资源利用、安全生产、环评等相关报建手续。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十</w:t>
      </w:r>
      <w:r>
        <w:rPr>
          <w:rFonts w:hint="eastAsia" w:ascii="仿宋_GB2312" w:eastAsia="仿宋_GB2312"/>
          <w:sz w:val="32"/>
          <w:szCs w:val="32"/>
        </w:rPr>
        <w:t>、本核准文件自印发之日起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有效期限2年。在核准文件有效期内未开工建设的，应在核准文件有效期届满前的30个工作日之前向我委申请延期</w:t>
      </w:r>
      <w:r>
        <w:rPr>
          <w:rFonts w:hint="eastAsia" w:ascii="仿宋_GB2312" w:eastAsia="仿宋_GB2312"/>
          <w:sz w:val="32"/>
          <w:szCs w:val="32"/>
          <w:lang w:eastAsia="zh-CN"/>
        </w:rPr>
        <w:t>开工建设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  <w:lang w:eastAsia="zh-CN"/>
        </w:rPr>
        <w:t>开工建设只能延期一次，期限最长不得超过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1年。</w:t>
      </w:r>
      <w:r>
        <w:rPr>
          <w:rFonts w:hint="eastAsia" w:ascii="仿宋_GB2312" w:eastAsia="仿宋_GB2312"/>
          <w:sz w:val="32"/>
          <w:szCs w:val="32"/>
        </w:rPr>
        <w:t>项目在核准文件有效期内未开工建设也未按规定申请延期的，或虽提出延期申请但未获批准的，本核准文件自动失效。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附：工程招标审批部门核准意见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鄂州市发展和改革委员会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960" w:firstLineChars="155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640" w:firstLineChars="145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640" w:firstLineChars="145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抄送：市城建委、国土局、环保局、规划局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鄂州市发展和改革委员会            2018年6月28日印发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工程招标审批部门核准意见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/>
        <w:textAlignment w:val="auto"/>
        <w:outlineLvl w:val="9"/>
        <w:rPr>
          <w:rFonts w:hint="eastAsia" w:ascii="仿宋_GB2312" w:eastAsia="仿宋_GB2312"/>
          <w:sz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/>
        <w:jc w:val="left"/>
        <w:textAlignment w:val="auto"/>
        <w:outlineLvl w:val="9"/>
        <w:rPr>
          <w:rFonts w:hint="eastAsia" w:ascii="仿宋_GB2312" w:eastAsia="仿宋_GB2312"/>
          <w:sz w:val="24"/>
          <w:lang w:eastAsia="zh-CN"/>
        </w:rPr>
      </w:pPr>
      <w:r>
        <w:rPr>
          <w:rFonts w:hint="eastAsia" w:ascii="仿宋_GB2312" w:eastAsia="仿宋_GB2312"/>
          <w:sz w:val="24"/>
          <w:lang w:eastAsia="zh-CN"/>
        </w:rPr>
        <w:t>建设单位: 鄂州市民生房地产开发有限公司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/>
        <w:jc w:val="left"/>
        <w:textAlignment w:val="auto"/>
        <w:outlineLvl w:val="9"/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</w:rPr>
        <w:t>项目名称:</w:t>
      </w:r>
      <w:r>
        <w:rPr>
          <w:rFonts w:hint="eastAsia" w:ascii="仿宋_GB2312" w:eastAsia="仿宋_GB2312"/>
          <w:sz w:val="24"/>
          <w:lang w:eastAsia="zh-CN"/>
        </w:rPr>
        <w:t xml:space="preserve"> 锦湖·宝丽嘉园项目</w:t>
      </w:r>
    </w:p>
    <w:tbl>
      <w:tblPr>
        <w:tblStyle w:val="6"/>
        <w:tblW w:w="86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983"/>
        <w:gridCol w:w="982"/>
        <w:gridCol w:w="983"/>
        <w:gridCol w:w="983"/>
        <w:gridCol w:w="983"/>
        <w:gridCol w:w="983"/>
        <w:gridCol w:w="13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23" w:hRule="atLeast"/>
        </w:trPr>
        <w:tc>
          <w:tcPr>
            <w:tcW w:w="13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招标范围</w:t>
            </w:r>
          </w:p>
        </w:tc>
        <w:tc>
          <w:tcPr>
            <w:tcW w:w="19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招标组织形式</w:t>
            </w:r>
          </w:p>
        </w:tc>
        <w:tc>
          <w:tcPr>
            <w:tcW w:w="19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招标方式</w:t>
            </w:r>
          </w:p>
        </w:tc>
        <w:tc>
          <w:tcPr>
            <w:tcW w:w="139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不采用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1006" w:hRule="atLeast"/>
        </w:trPr>
        <w:tc>
          <w:tcPr>
            <w:tcW w:w="13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委托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邀请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distribute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勘察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distribute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设计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distribute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建筑工程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distribute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安装工程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distribute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监理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distribute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主要设备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distribute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重要材料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distribute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其它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6" w:hRule="atLeast"/>
        </w:trPr>
        <w:tc>
          <w:tcPr>
            <w:tcW w:w="8640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审批部门核准意见：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核准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543" w:firstLineChars="194"/>
              <w:jc w:val="left"/>
              <w:textAlignment w:val="auto"/>
              <w:outlineLvl w:val="9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请严格按照《中华人民共和国招标投标法》等相关法律法规和相关部门规章，规范招标投标行为。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5717" w:firstLineChars="2042"/>
              <w:jc w:val="left"/>
              <w:textAlignment w:val="auto"/>
              <w:outlineLvl w:val="9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880" w:firstLineChars="2100"/>
              <w:jc w:val="left"/>
              <w:textAlignment w:val="auto"/>
              <w:outlineLvl w:val="9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审批部门盖章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560" w:firstLine="5600" w:firstLineChars="2000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201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28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/>
        <w:textAlignment w:val="auto"/>
        <w:outlineLvl w:val="9"/>
      </w:pPr>
    </w:p>
    <w:sectPr>
      <w:pgSz w:w="11906" w:h="16838"/>
      <w:pgMar w:top="1984" w:right="1701" w:bottom="1701" w:left="1701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537F1D"/>
    <w:rsid w:val="00206E83"/>
    <w:rsid w:val="00536AE6"/>
    <w:rsid w:val="00EB230D"/>
    <w:rsid w:val="02384A81"/>
    <w:rsid w:val="025F6562"/>
    <w:rsid w:val="02AC5858"/>
    <w:rsid w:val="03326913"/>
    <w:rsid w:val="03A32A65"/>
    <w:rsid w:val="05165672"/>
    <w:rsid w:val="06421616"/>
    <w:rsid w:val="082C02D4"/>
    <w:rsid w:val="08CF6F6F"/>
    <w:rsid w:val="09033CEE"/>
    <w:rsid w:val="096C68C2"/>
    <w:rsid w:val="098051F9"/>
    <w:rsid w:val="0AB907EE"/>
    <w:rsid w:val="0DE62282"/>
    <w:rsid w:val="0F003047"/>
    <w:rsid w:val="0F936759"/>
    <w:rsid w:val="11CD2FB9"/>
    <w:rsid w:val="12EA1D0E"/>
    <w:rsid w:val="13A014E8"/>
    <w:rsid w:val="14191415"/>
    <w:rsid w:val="14474A76"/>
    <w:rsid w:val="17653597"/>
    <w:rsid w:val="18FE2914"/>
    <w:rsid w:val="1B837648"/>
    <w:rsid w:val="1BF46866"/>
    <w:rsid w:val="1C0D1776"/>
    <w:rsid w:val="1CDF2292"/>
    <w:rsid w:val="1DB46DF0"/>
    <w:rsid w:val="1E110CE3"/>
    <w:rsid w:val="1E8E73BB"/>
    <w:rsid w:val="1FAE437A"/>
    <w:rsid w:val="20537F1D"/>
    <w:rsid w:val="21605F1B"/>
    <w:rsid w:val="21DA2A66"/>
    <w:rsid w:val="23155E31"/>
    <w:rsid w:val="25146F98"/>
    <w:rsid w:val="25607FBE"/>
    <w:rsid w:val="25777625"/>
    <w:rsid w:val="25A5459F"/>
    <w:rsid w:val="27E26F34"/>
    <w:rsid w:val="284D0BD1"/>
    <w:rsid w:val="28CE3FC5"/>
    <w:rsid w:val="29BF23F2"/>
    <w:rsid w:val="2AD2323B"/>
    <w:rsid w:val="2B8245C2"/>
    <w:rsid w:val="2BB471F9"/>
    <w:rsid w:val="2BDB75EA"/>
    <w:rsid w:val="2DBC552F"/>
    <w:rsid w:val="2FF15331"/>
    <w:rsid w:val="30722231"/>
    <w:rsid w:val="30936D44"/>
    <w:rsid w:val="33361CF4"/>
    <w:rsid w:val="33966356"/>
    <w:rsid w:val="34D401DA"/>
    <w:rsid w:val="3606213E"/>
    <w:rsid w:val="36A43490"/>
    <w:rsid w:val="38757A38"/>
    <w:rsid w:val="398150E9"/>
    <w:rsid w:val="39BD4ACC"/>
    <w:rsid w:val="3A173443"/>
    <w:rsid w:val="3A2522E8"/>
    <w:rsid w:val="3A9B339F"/>
    <w:rsid w:val="3C827AFC"/>
    <w:rsid w:val="3CF5301C"/>
    <w:rsid w:val="3D8D6FE5"/>
    <w:rsid w:val="3DBC2097"/>
    <w:rsid w:val="3EE63BE4"/>
    <w:rsid w:val="3F565610"/>
    <w:rsid w:val="41420045"/>
    <w:rsid w:val="41C35F92"/>
    <w:rsid w:val="42907A72"/>
    <w:rsid w:val="43392607"/>
    <w:rsid w:val="45582077"/>
    <w:rsid w:val="45F53DA9"/>
    <w:rsid w:val="462E63DF"/>
    <w:rsid w:val="46D4196B"/>
    <w:rsid w:val="48211640"/>
    <w:rsid w:val="482A69C4"/>
    <w:rsid w:val="4A4804B3"/>
    <w:rsid w:val="4A8C269E"/>
    <w:rsid w:val="4B045D3D"/>
    <w:rsid w:val="4DA64523"/>
    <w:rsid w:val="4E3C39FA"/>
    <w:rsid w:val="4E631F38"/>
    <w:rsid w:val="516D735B"/>
    <w:rsid w:val="52177810"/>
    <w:rsid w:val="5466784A"/>
    <w:rsid w:val="54F07612"/>
    <w:rsid w:val="56E51535"/>
    <w:rsid w:val="56E53A12"/>
    <w:rsid w:val="572B7C65"/>
    <w:rsid w:val="57843562"/>
    <w:rsid w:val="5964052B"/>
    <w:rsid w:val="599750F6"/>
    <w:rsid w:val="5A0B4467"/>
    <w:rsid w:val="5A9D11E8"/>
    <w:rsid w:val="5B326750"/>
    <w:rsid w:val="5B90075C"/>
    <w:rsid w:val="5BAE59FA"/>
    <w:rsid w:val="5C420357"/>
    <w:rsid w:val="5CDD6A5C"/>
    <w:rsid w:val="5DDC29FD"/>
    <w:rsid w:val="5EBD308A"/>
    <w:rsid w:val="600F249C"/>
    <w:rsid w:val="60443C70"/>
    <w:rsid w:val="60776CD5"/>
    <w:rsid w:val="61024FD1"/>
    <w:rsid w:val="614263FA"/>
    <w:rsid w:val="6188631D"/>
    <w:rsid w:val="621222F1"/>
    <w:rsid w:val="6401049B"/>
    <w:rsid w:val="640A32A5"/>
    <w:rsid w:val="646E41B6"/>
    <w:rsid w:val="665C3701"/>
    <w:rsid w:val="6739723C"/>
    <w:rsid w:val="686B501A"/>
    <w:rsid w:val="68BC432A"/>
    <w:rsid w:val="69C726E9"/>
    <w:rsid w:val="6BA01150"/>
    <w:rsid w:val="6C333300"/>
    <w:rsid w:val="6DA747E2"/>
    <w:rsid w:val="6E67083E"/>
    <w:rsid w:val="6ECF711C"/>
    <w:rsid w:val="72C63C21"/>
    <w:rsid w:val="73703801"/>
    <w:rsid w:val="73F557FD"/>
    <w:rsid w:val="74766A4B"/>
    <w:rsid w:val="75386BDC"/>
    <w:rsid w:val="753D428C"/>
    <w:rsid w:val="75877F8D"/>
    <w:rsid w:val="76E87D7E"/>
    <w:rsid w:val="7702256F"/>
    <w:rsid w:val="77BA4245"/>
    <w:rsid w:val="7A7B1891"/>
    <w:rsid w:val="7B4763E6"/>
    <w:rsid w:val="7C1D2091"/>
    <w:rsid w:val="7F9D29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2017-05-17T01:26:00Z</dcterms:created>
  <dc:creator>lenovo</dc:creator>
  <cp:lastModifiedBy>Administrator</cp:lastModifiedBy>
  <cp:lastPrinted>2018-06-29T00:29:50Z</cp:lastPrinted>
  <dcterms:modified xsi:type="dcterms:W3CDTF">2018-06-29T00:30:07Z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