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鄂州市2021年8月份养老、工伤保险收入、支出情况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 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截至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2021年8月，全市累计参加养老保险人数808550人，其中参加企业职工养老保险307584人，参加“老机保”1998人，参加“新机保”31657人，参加城乡居民养老保险467311人；全市累计参加工伤保险人数136509人。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8月，全市养老保险基金收入356265万元，其中企业职工养老保险基金收入269155万元，“老机保”基金收入3685万元，“新机保”基金收入58960万元，城乡居民养老保险基金收入24465万元；全市工伤保险基金收入2373万元。全市养老保险基金支出396457万元，其中企业职工养老保险基金支出321625万元，“老机保”基金支出86万元，“新机保”基金支出60368万元，城乡居民养老保险基金支出14378万元；全市工伤保险基金支出1836万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10A64E3F"/>
    <w:rsid w:val="15D21A07"/>
    <w:rsid w:val="34176465"/>
    <w:rsid w:val="55D1584F"/>
    <w:rsid w:val="5F687176"/>
    <w:rsid w:val="6A39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8A7ED3F93349410197165F04894FFE62</vt:lpwstr>
  </property>
</Properties>
</file>