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0"/>
        <w:jc w:val="center"/>
        <w:rPr>
          <w:color w:val="333333"/>
          <w:sz w:val="39"/>
          <w:szCs w:val="39"/>
        </w:rPr>
      </w:pPr>
      <w:bookmarkStart w:id="0" w:name="_GoBack"/>
      <w:r>
        <w:rPr>
          <w:i w:val="0"/>
          <w:iCs w:val="0"/>
          <w:caps w:val="0"/>
          <w:color w:val="333333"/>
          <w:spacing w:val="0"/>
          <w:sz w:val="39"/>
          <w:szCs w:val="39"/>
          <w:bdr w:val="none" w:color="auto" w:sz="0" w:space="0"/>
          <w:shd w:val="clear" w:fill="FFFFFF"/>
        </w:rPr>
        <w:t>鄂州市2021年2月份养老、工伤保险收入、支出情况</w:t>
      </w:r>
    </w:p>
    <w:bookmarkEnd w:id="0"/>
    <w:p>
      <w:pPr>
        <w:keepNext w:val="0"/>
        <w:keepLines w:val="0"/>
        <w:widowControl/>
        <w:suppressLineNumbers w:val="0"/>
        <w:pBdr>
          <w:top w:val="none" w:color="auto" w:sz="0" w:space="0"/>
        </w:pBdr>
        <w:shd w:val="clear" w:fill="FFFFFF"/>
        <w:spacing w:line="540" w:lineRule="atLeast"/>
        <w:ind w:left="0" w:firstLine="0"/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6"/>
          <w:szCs w:val="36"/>
          <w:shd w:val="clear" w:fill="FFFFFF"/>
          <w:lang w:val="en-US" w:eastAsia="zh-CN" w:bidi="ar"/>
        </w:rPr>
        <w:t>    </w:t>
      </w:r>
      <w:r>
        <w:rPr>
          <w:rFonts w:ascii="仿宋_GB2312" w:hAnsi="宋体" w:eastAsia="仿宋_GB2312" w:cs="仿宋_GB2312"/>
          <w:i w:val="0"/>
          <w:iCs w:val="0"/>
          <w:caps w:val="0"/>
          <w:color w:val="333333"/>
          <w:spacing w:val="0"/>
          <w:kern w:val="0"/>
          <w:sz w:val="36"/>
          <w:szCs w:val="36"/>
          <w:shd w:val="clear" w:fill="FFFFFF"/>
          <w:lang w:val="en-US" w:eastAsia="zh-CN" w:bidi="ar"/>
        </w:rPr>
        <w:t>2021年2月，全市累计参加养老保险人数801866人，其中参加企业职工养老保险292330人，参加“老机保”1998人，参加“新机保”31372人，参加城乡居民养老保险476166人。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640"/>
        <w:jc w:val="left"/>
        <w:rPr>
          <w:rFonts w:ascii="宋体" w:hAnsi="宋体" w:eastAsia="宋体" w:cs="宋体"/>
          <w:color w:val="333333"/>
        </w:rPr>
      </w:pPr>
      <w:r>
        <w:rPr>
          <w:rFonts w:hint="default" w:ascii="仿宋_GB2312" w:hAnsi="宋体" w:eastAsia="仿宋_GB2312" w:cs="仿宋_GB2312"/>
          <w:i w:val="0"/>
          <w:iCs w:val="0"/>
          <w:caps w:val="0"/>
          <w:color w:val="333333"/>
          <w:spacing w:val="0"/>
          <w:kern w:val="0"/>
          <w:sz w:val="36"/>
          <w:szCs w:val="36"/>
          <w:bdr w:val="none" w:color="auto" w:sz="0" w:space="0"/>
          <w:shd w:val="clear" w:fill="FFFFFF"/>
          <w:lang w:val="en-US" w:eastAsia="zh-CN" w:bidi="ar"/>
        </w:rPr>
        <w:t>截至2021年2月，全市养老保险基金收入84654万元，其中企业职工养老保险基金收入61557万元，“老机保”基金收入1150万元，“新机保”基金收入19049万元，城乡居民养老保险基金收入2898万元。全市养老保险基金支出79352万元，其中企业职工养老保险基金支出56911万元，“老机保”基金支出40万元，“新机保”基金支出19171万元，城乡居民养老保险基金支出3230万元。</w:t>
      </w:r>
    </w:p>
    <w:p>
      <w:pPr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176465"/>
    <w:rsid w:val="02CE4C4F"/>
    <w:rsid w:val="06772F06"/>
    <w:rsid w:val="0A1B6592"/>
    <w:rsid w:val="103C7052"/>
    <w:rsid w:val="10A64E3F"/>
    <w:rsid w:val="11C7185E"/>
    <w:rsid w:val="15D21A07"/>
    <w:rsid w:val="278D2053"/>
    <w:rsid w:val="2BE725E9"/>
    <w:rsid w:val="2DE87B62"/>
    <w:rsid w:val="34176465"/>
    <w:rsid w:val="40431A15"/>
    <w:rsid w:val="413876A9"/>
    <w:rsid w:val="4A676D1C"/>
    <w:rsid w:val="4F147FC8"/>
    <w:rsid w:val="55D1584F"/>
    <w:rsid w:val="5C9341F2"/>
    <w:rsid w:val="5F687176"/>
    <w:rsid w:val="6A394A75"/>
    <w:rsid w:val="71AB5CAD"/>
    <w:rsid w:val="744144BE"/>
    <w:rsid w:val="7C494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26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2021-10-26T08:09:00Z</dcterms:created>
  <dc:creator>dell</dc:creator>
  <cp:lastModifiedBy>dell</cp:lastModifiedBy>
  <dcterms:modified xsi:type="dcterms:W3CDTF">2021-10-26T08:36:50Z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85F1C7A320B94BA48D12E6F3BB7264E7</vt:lpwstr>
  </property>
</Properties>
</file>