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Tahoma" w:hAnsi="Tahoma" w:eastAsia="Tahoma" w:cs="Tahoma"/>
          <w:i w:val="0"/>
          <w:iCs w:val="0"/>
          <w:caps w:val="0"/>
          <w:color w:val="333333"/>
          <w:spacing w:val="0"/>
          <w:sz w:val="39"/>
          <w:szCs w:val="39"/>
        </w:rPr>
      </w:pPr>
      <w:r>
        <w:rPr>
          <w:rFonts w:hint="default" w:ascii="Tahoma" w:hAnsi="Tahoma" w:eastAsia="Tahoma" w:cs="Tahoma"/>
          <w:i w:val="0"/>
          <w:iCs w:val="0"/>
          <w:caps w:val="0"/>
          <w:color w:val="333333"/>
          <w:spacing w:val="0"/>
          <w:sz w:val="39"/>
          <w:szCs w:val="39"/>
          <w:bdr w:val="none" w:color="auto" w:sz="0" w:space="0"/>
          <w:shd w:val="clear" w:fill="FFFFFF"/>
        </w:rPr>
        <w:t>鄂州市2021年第一季度行政复议行政应诉案件情况通报</w:t>
      </w:r>
    </w:p>
    <w:p>
      <w:pPr>
        <w:keepNext w:val="0"/>
        <w:keepLines w:val="0"/>
        <w:widowControl/>
        <w:suppressLineNumbers w:val="0"/>
        <w:jc w:val="left"/>
      </w:pPr>
      <w:r>
        <w:rPr>
          <w:rFonts w:ascii="仿宋_GB2312" w:hAnsi="宋体" w:eastAsia="仿宋_GB2312" w:cs="仿宋_GB2312"/>
          <w:i w:val="0"/>
          <w:iCs w:val="0"/>
          <w:caps w:val="0"/>
          <w:color w:val="333333"/>
          <w:spacing w:val="0"/>
          <w:kern w:val="0"/>
          <w:sz w:val="32"/>
          <w:szCs w:val="32"/>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shd w:val="clear" w:fill="FFFFFF"/>
          <w:lang w:val="en-US" w:eastAsia="zh-CN" w:bidi="ar"/>
        </w:rPr>
        <w:t>根据《鄂州市人民政府行政复议委员会案件报告制度》和《鄂州市行政应诉工作暂行规定》要求，我们对全市</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2021</w:t>
      </w:r>
      <w:r>
        <w:rPr>
          <w:rFonts w:hint="default" w:ascii="仿宋_GB2312" w:hAnsi="宋体" w:eastAsia="仿宋_GB2312" w:cs="仿宋_GB2312"/>
          <w:i w:val="0"/>
          <w:iCs w:val="0"/>
          <w:caps w:val="0"/>
          <w:color w:val="333333"/>
          <w:spacing w:val="0"/>
          <w:kern w:val="0"/>
          <w:sz w:val="32"/>
          <w:szCs w:val="32"/>
          <w:shd w:val="clear" w:fill="FFFFFF"/>
          <w:lang w:val="en-US" w:eastAsia="zh-CN" w:bidi="ar"/>
        </w:rPr>
        <w:t>年第一季度行政复议与行政应诉案件报表进行了统计，分析了第一季度工作的基本情况、存在的问题，并提出下一步工作要求及建议，现将有关情况通报如下</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一、行政复议工作基本情况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（一）案件办理情况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2021年第一季度全市各级行政复议机构共收到行政复议申请22件。其中市司法局收到申请13件，受理10件，审结9件（含上年结转）；鄂城区司法局收到申请8件，不予受理1件，审结4件（含上年结转）；梁子湖区司法局收到申请1件；华容区司法局0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（二）案件审理情况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第一季度全市共审结行政复议申请13件（含上年度结转5件），其中纠错（含行政行为被撤销或确认违法等）3件，纠错率约23.07%。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鄂城区、华容区、梁子湖区数据均通过电子表格报送至市司法局，但未录入全国行政复议工作平台。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二、行政应诉案件情况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（一）基本情况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第一季度全市两级人民法院共开庭审理30件行政诉讼案件，审结10件（含上年结转2件）。其中，行政负责人出庭应诉29件，出庭率96.67%。从被告构成看，乡镇人民政府数量占比较高；从案件类型看，涉及土地征收补（赔）偿的数量占比达70%，其次为履行法定职责、行政强制措施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经省高级人民法院指定管辖，武汉铁路运输中级法院审理以市人民政府为被告的行政案件3件，主要涉及行政协议的履行。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（二）案件结案情况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全市两级法院已审结的10件行政诉讼案件中，作出驳回诉讼请求4件，驳回起诉1件，另5件原告撤回起诉。武汉铁路运输中级法院审理的3案均未结案。第一季度行政机关无败诉案件。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（一）部分行政机关履职能力有待加强。</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部分行政机关对《行政复议法》的立法宗旨缺乏深刻认识，履行行政复议相关职责意识淡薄，主要表现为：一是仍存在行政复议答复不及时，提交的证据材料不全等问题。一季度以来，市司法局受理的行政复议申请及承办的以市政府为第三人的行政复议案件中，有6件案件存在相关行政部门未在法定期限内提交答复材料的情况；二是部分区司法局未按要求通过全国行政复议工作平台办理复议案件，仅是结案后将案件信息录入平台，有的甚至未使用平台，临到检查时才录入信息，行政复议信息化建设形同虚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（二）土地征收及补偿安置领域行政诉讼案件高发。</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在30件行政诉讼案件中，有21件涉及土地征收、房屋拆迁补偿安置等，其中有10件案件涉及同一建设项目，社会影响较大。个别案件涉及行政、民事、刑事等多重法律关系，案情复杂，处理难度大。这类群体性、法律关系复杂的案件也成为近几年行政应诉工作的难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（三）政府信息公开领域问题突出。</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近年来，随着电子政务的普及，申请人通过网站申请政府信息公开的数量大幅增加，但部分行政机关因网站管理维护不到位，未及时处理政府信息公开申请。个别行政机关直至收到《行政复议答复通知书》后才知晓相关申请事项。在审理行政复议案件中发现，政府信息公开工作中普遍存在答复内容不全、不准，答复主体不符，甚至答复错误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四、下一步工作要求及建议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（一）切实提升复议应诉履职能力。</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一是各单位应提高站位，高度重视行政复议和行政应诉工作，安排专人负责。工作人员应熟练掌握行政复议和行政应诉履职规则，全面提升行政复议与应诉工作能力。二是各单位要严格按照要求履行职责。各区司法局要积极运用“全国行政复议工作平台”办理行政复议案件。各行政机关要在法定期限内提交行政复议、诉讼答复（答辩）材料。三是行政复议咨询服务点要按照试点先行、稳步推进、便民高效的原则，为群众申请行政复议提供咨询服务，引导群众通过行政复议等法定渠道解决争议、化解矛盾纠纷。同时，各行政部门要积极配合，协助行政复议咨询服务点做好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（二）全面有效化解行政纠纷。</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各单位要通过行政复议和行政应诉活动，全面了解行政相对人的真实诉求，积极搭建平台，组织有关主管部门、辖区政府共同协商解决。对纠纷形成时间长、情况复杂的案件，由辖区政府牵头，依法依规制定符合当地实际且操作性强的化解方案；必要时，由辖区政府或主管部门负责人召集申请人（原告）等多方会商，力争当事人诉求妥善解决，定分止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楷体_GB2312" w:hAnsi="宋体" w:eastAsia="楷体_GB2312" w:cs="楷体_GB2312"/>
          <w:i w:val="0"/>
          <w:iCs w:val="0"/>
          <w:caps w:val="0"/>
          <w:color w:val="333333"/>
          <w:spacing w:val="0"/>
          <w:kern w:val="0"/>
          <w:sz w:val="32"/>
          <w:szCs w:val="32"/>
          <w:bdr w:val="none" w:color="auto" w:sz="0" w:space="0"/>
          <w:shd w:val="clear" w:fill="FFFFFF"/>
          <w:lang w:val="en-US" w:eastAsia="zh-CN" w:bidi="ar"/>
        </w:rPr>
        <w:t>（三）切实提升行政执法水平。</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一是各单位应严格落实行政执法三项制度。坚持行政执法公示、执法全过程记录、重大执法决定法制审核制度，完善执法程序，规范执法行为，着力推进行政执法透明、规范、合法、公正。二是各单位应加强业务培训。上级主管部门要加强系统内专业知识的培训指导，执法人员熟知相关业务知识，熟练掌握执法职权、执法程序等。三是各单位应加强责任追究。对经复议、诉讼后行政行为被确认违法或被撤销的案件要认真查找原因，对执法违法或执法不规范等行为依法依规予以处理，增加执法人员的责任感，倒逼其提升行政执法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righ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鄂州市人民政府行政复议委员会办公室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righ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2021年4月16日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D7DF5"/>
    <w:rsid w:val="52DD7DF5"/>
    <w:rsid w:val="76E3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2021-10-25T01:58:00Z</dcterms:created>
  <dc:creator>dell</dc:creator>
  <cp:lastModifiedBy>dell</cp:lastModifiedBy>
  <dcterms:modified xsi:type="dcterms:W3CDTF">2021-10-25T02:00:50Z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7196923E08B74F3AA828AE7CE554E050</vt:lpwstr>
  </property>
</Properties>
</file>