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E4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Tahoma" w:hAnsi="Tahoma" w:eastAsia="Tahoma" w:cs="Tahoma"/>
          <w:i w:val="0"/>
          <w:iCs w:val="0"/>
          <w:caps w:val="0"/>
          <w:color w:val="333333"/>
          <w:spacing w:val="0"/>
          <w:sz w:val="39"/>
          <w:szCs w:val="39"/>
        </w:rPr>
      </w:pPr>
      <w:r>
        <w:rPr>
          <w:rFonts w:hint="default" w:ascii="Tahoma" w:hAnsi="Tahoma" w:eastAsia="Tahoma" w:cs="Tahoma"/>
          <w:i w:val="0"/>
          <w:iCs w:val="0"/>
          <w:caps w:val="0"/>
          <w:color w:val="333333"/>
          <w:spacing w:val="0"/>
          <w:sz w:val="39"/>
          <w:szCs w:val="39"/>
          <w:shd w:val="clear" w:fill="FFFFFF"/>
        </w:rPr>
        <w:t>鄂州市2021年第一季度行政复议行政应诉案件情况通报</w:t>
      </w:r>
    </w:p>
    <w:p w14:paraId="71FAD7F2">
      <w:pPr>
        <w:keepNext w:val="0"/>
        <w:keepLines w:val="0"/>
        <w:widowControl/>
        <w:suppressLineNumbers w:val="0"/>
        <w:jc w:val="left"/>
      </w:pPr>
      <w:r>
        <w:rPr>
          <w:rFonts w:ascii="仿宋_GB2312" w:hAnsi="宋体" w:eastAsia="仿宋_GB2312" w:cs="仿宋_GB2312"/>
          <w:i w:val="0"/>
          <w:iCs w:val="0"/>
          <w:caps w:val="0"/>
          <w:color w:val="333333"/>
          <w:spacing w:val="0"/>
          <w:kern w:val="0"/>
          <w:sz w:val="32"/>
          <w:szCs w:val="32"/>
          <w:shd w:val="clear" w:fill="FFFFFF"/>
          <w:lang w:val="en-US" w:eastAsia="zh-CN" w:bidi="ar"/>
        </w:rPr>
        <w:t> </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根据《鄂州市人民政府行政复议委员会案件报告制度》和《鄂州市行政应诉工作暂行规定》要求，我们对全市</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2021</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年第一季度行政复议与行政应诉案件报表进行了统计，分析了第一季度工作的基本情况、存在的问题，并提出下一步工作要求及建议，现将有关情况通报如下</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w:t>
      </w:r>
    </w:p>
    <w:p w14:paraId="303292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ascii="黑体" w:hAnsi="宋体" w:eastAsia="黑体" w:cs="黑体"/>
          <w:i w:val="0"/>
          <w:iCs w:val="0"/>
          <w:caps w:val="0"/>
          <w:color w:val="333333"/>
          <w:spacing w:val="0"/>
          <w:kern w:val="0"/>
          <w:sz w:val="32"/>
          <w:szCs w:val="32"/>
          <w:shd w:val="clear" w:fill="FFFFFF"/>
          <w:lang w:val="en-US" w:eastAsia="zh-CN" w:bidi="ar"/>
        </w:rPr>
        <w:t>一、行政复议工作基本情况</w:t>
      </w:r>
    </w:p>
    <w:p w14:paraId="6BD5A5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ascii="楷体_GB2312" w:hAnsi="宋体" w:eastAsia="楷体_GB2312" w:cs="楷体_GB2312"/>
          <w:i w:val="0"/>
          <w:iCs w:val="0"/>
          <w:caps w:val="0"/>
          <w:color w:val="333333"/>
          <w:spacing w:val="0"/>
          <w:kern w:val="0"/>
          <w:sz w:val="32"/>
          <w:szCs w:val="32"/>
          <w:shd w:val="clear" w:fill="FFFFFF"/>
          <w:lang w:val="en-US" w:eastAsia="zh-CN" w:bidi="ar"/>
        </w:rPr>
        <w:t>（一）案件办理情况</w:t>
      </w:r>
    </w:p>
    <w:p w14:paraId="42591C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2021年第一季度全市各级行政复议机构共收到行政复议申请22件。其中市司法局收到申请13件，受理10件，审结9件（含上年结转）；鄂城区司法局收到申请8件，不予受理1件，审结4件（含上年结转）；梁子湖区司法局收到申请1件；华容区司法局0件。</w:t>
      </w:r>
    </w:p>
    <w:p w14:paraId="3AAC4D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（二）案件审理情况</w:t>
      </w:r>
    </w:p>
    <w:p w14:paraId="5F9957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第一季度全市共审结行政复议申请13件（含上年度结转5件），其中纠错（含行政行为被撤销或确认违法等）3件，纠错率约23.07%。</w:t>
      </w:r>
    </w:p>
    <w:p w14:paraId="617EE7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鄂城区、华容区、梁子湖区数据均通过电子表格报送至市司法局，但未录入全国行政复议工作平台。</w:t>
      </w:r>
    </w:p>
    <w:p w14:paraId="0E70FF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二、行政应诉案件情况</w:t>
      </w:r>
    </w:p>
    <w:p w14:paraId="148538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（一）基本情况</w:t>
      </w:r>
    </w:p>
    <w:p w14:paraId="66BA0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第一季度全市两级人民法院共开庭审理30件行政诉讼案件，审结10件（含上年结转2件）。其中，行政负责人出庭应诉29件，出庭率96.67%。从被告构成看，乡镇人民政府数量占比较高；从案件类型看，涉及土地征收补（赔）偿的数量占比达70%，其次为履行法定职责、行政强制措施等。</w:t>
      </w:r>
    </w:p>
    <w:p w14:paraId="7A1599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经省高级人民法院指定管辖，武汉铁路运输中级法院审理以市人民政府为被告的行政案件3件，主要涉及行政协议的履行。</w:t>
      </w:r>
    </w:p>
    <w:p w14:paraId="2D2733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（二）案件结案情况</w:t>
      </w:r>
    </w:p>
    <w:p w14:paraId="71C305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全市两级法院已审结的10件行政诉讼案件中，作出驳回诉讼请求4件，驳回起诉1件，另5件原告撤回起诉。武汉铁路运输中级法院审理的3案均未结案。第一季度行政机关无败诉案件。</w:t>
      </w:r>
    </w:p>
    <w:p w14:paraId="755F85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三、存在的问题</w:t>
      </w:r>
    </w:p>
    <w:p w14:paraId="0E77BD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（一）部分行政机关履职能力有待加强。</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部分行政机关对《行政复议法》的立法宗旨缺乏深刻认识，履行行政复议相关职责意识淡薄，主要表现为：一是仍存在行政复议答复不及时，提交的证据材料不全等问题。一季度以来，市司法局受理的行政复议申请及承办的以市政府为第三人的行政复议案件中，有6件案件存在相关行政部门未在法定期限内提交答复材料的情况；二是部分区司法局未按要求通过全国行政复议工作平台办理复议案件，仅是结案后将案件信息录入平台，有的甚至未使用平台，临到检查时才录入信息，行政复议信息化建设形同虚设。</w:t>
      </w:r>
    </w:p>
    <w:p w14:paraId="3CA012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（二）土地征收及补偿安置领域行政诉讼案件高发。</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在30件行政诉讼案件中，有21件涉及土地征收、房屋拆迁补偿安置等，其中有10件案件涉及同一建设项目，社会影响较大。个别案件涉及行政、民事、刑事等多重法律关系，案情复杂，处理难度大。这类群体性、法律关系复杂的案件也成为近几年行政应诉工作的难点。</w:t>
      </w:r>
    </w:p>
    <w:p w14:paraId="5344F2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（三）政府信息公开领域问题突出。</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近年来，随着电子政务的普及，申请人通过网站申请政府信息公开的数量大幅增加，但部分行政机关因网站管理维护不到位，未及时处理政府信息公开申请。个别行政机关直至收到《行政复议答复通知书》后才知晓相关申请事项。在审理行政复议案件中发现，政府信息公开工作中普遍存在答复内容不全、不准，答复主体不符，甚至答复错误等问题。</w:t>
      </w:r>
    </w:p>
    <w:p w14:paraId="206B1B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eastAsia" w:ascii="黑体" w:hAnsi="宋体" w:eastAsia="黑体" w:cs="黑体"/>
          <w:i w:val="0"/>
          <w:iCs w:val="0"/>
          <w:caps w:val="0"/>
          <w:color w:val="333333"/>
          <w:spacing w:val="0"/>
          <w:kern w:val="0"/>
          <w:sz w:val="32"/>
          <w:szCs w:val="32"/>
          <w:shd w:val="clear" w:fill="FFFFFF"/>
          <w:lang w:val="en-US" w:eastAsia="zh-CN" w:bidi="ar"/>
        </w:rPr>
        <w:t>四、下一步工作要求及建议</w:t>
      </w:r>
    </w:p>
    <w:p w14:paraId="6DD3BF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（一）切实提升复议应诉履职能力。</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一是各单位应提高站位，高度重视行政复议和行政应诉工作，安排专人负责。工作人员应熟练掌握行政复议和行政应诉履职规则，全面提升行政复议与应诉工作能力。二是各单位要严格按照要求履行职责。各区司法局要积极运用“全国行政复议工作平台”办理行政复议案件。各行政机关要在法定期限内提交行政复议、诉讼答复（答辩）材料。三是行政复议咨询服务点要按照试点先行、稳步推进、便民高效的原则，为群众申请行政复议提供咨询服务，引导群众通过行政复议等法定渠道解决争议、化解矛盾纠纷。同时，各行政部门要积极配合，协助行政复议咨询服务点做好相关工作。</w:t>
      </w:r>
    </w:p>
    <w:p w14:paraId="735CEA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（二）全面有效化解行政纠纷。</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各单位要通过行政复议和行政应诉活动，全面了解行政相对人的真实诉求，积极搭建平台，组织有关主管部门、辖区政府共同协商解决。对纠纷形成时间长、情况复杂的案件，由辖区政府牵头，依法依规制定符合当地实际且操作性强的化解方案；必要时，由辖区政府或主管部门负责人召集申请人（原告）等多方会商，力争当事人诉求妥善解决，定分止争。</w:t>
      </w:r>
    </w:p>
    <w:p w14:paraId="7B103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（三）切实提升行政执法水平。</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一是各单位应严格落实</w:t>
      </w:r>
      <w:r>
        <w:rPr>
          <w:rFonts w:hint="eastAsia" w:ascii="仿宋_GB2312" w:hAnsi="宋体" w:eastAsia="仿宋_GB2312" w:cs="仿宋_GB2312"/>
          <w:i w:val="0"/>
          <w:iCs w:val="0"/>
          <w:caps w:val="0"/>
          <w:color w:val="333333"/>
          <w:spacing w:val="0"/>
          <w:kern w:val="0"/>
          <w:sz w:val="32"/>
          <w:szCs w:val="32"/>
          <w:shd w:val="clear" w:fill="FFFFFF"/>
          <w:lang w:val="en-US" w:eastAsia="zh-CN" w:bidi="ar"/>
        </w:rPr>
        <w:t>行政执法“三项制度”</w:t>
      </w:r>
      <w:bookmarkStart w:id="0" w:name="_GoBack"/>
      <w:bookmarkEnd w:id="0"/>
      <w:r>
        <w:rPr>
          <w:rFonts w:hint="default" w:ascii="仿宋_GB2312" w:hAnsi="宋体" w:eastAsia="仿宋_GB2312" w:cs="仿宋_GB2312"/>
          <w:i w:val="0"/>
          <w:iCs w:val="0"/>
          <w:caps w:val="0"/>
          <w:color w:val="333333"/>
          <w:spacing w:val="0"/>
          <w:kern w:val="0"/>
          <w:sz w:val="32"/>
          <w:szCs w:val="32"/>
          <w:shd w:val="clear" w:fill="FFFFFF"/>
          <w:lang w:val="en-US" w:eastAsia="zh-CN" w:bidi="ar"/>
        </w:rPr>
        <w:t>。坚持行政执法公示、执法全过程记录、重大执法决定法制审核制度，完善执法程序，规范执法行为，着力推进行政执法透明、规范、合法、公正。二是各单位应加强业务培训。上级主管部门要加强系统内专业知识的培训指导，执法人员熟知相关业务知识，熟练掌握执法职权、执法程序等。三是各单位应加强责任追究。对经复议、诉讼后行政行为被确认违法或被撤销的案件要认真查找原因，对执法违法或执法不规范等行为依法依规予以处理，增加执法人员的责任感，倒逼其提升行政执法水平。</w:t>
      </w:r>
    </w:p>
    <w:p w14:paraId="47250C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14:paraId="6E289F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14:paraId="1A169A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right"/>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鄂州市人民政府行政复议委员会办公室</w:t>
      </w:r>
    </w:p>
    <w:p w14:paraId="091257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right"/>
        <w:rPr>
          <w:rFonts w:ascii="宋体" w:hAnsi="宋体" w:eastAsia="宋体" w:cs="宋体"/>
          <w:i w:val="0"/>
          <w:iCs w:val="0"/>
          <w:caps w:val="0"/>
          <w:color w:val="333333"/>
          <w:spacing w:val="0"/>
          <w:sz w:val="22"/>
          <w:szCs w:val="22"/>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2021年4月16日  </w:t>
      </w:r>
    </w:p>
    <w:p w14:paraId="5AC4DC2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52DD7DF5"/>
    <w:rsid w:val="52DD7DF5"/>
    <w:rsid w:val="70407063"/>
    <w:rsid w:val="76E3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1965</Words>
  <Characters>2001</Characters>
  <Lines>0</Lines>
  <Paragraphs>0</Paragraphs>
  <TotalTime>1</TotalTime>
  <ScaleCrop>false</ScaleCrop>
  <LinksUpToDate>false</LinksUpToDate>
  <CharactersWithSpaces>2006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2021-10-25T01:58:00Z</dcterms:created>
  <dc:creator>dell</dc:creator>
  <cp:lastModifiedBy>夏之雪</cp:lastModifiedBy>
  <dcterms:modified xsi:type="dcterms:W3CDTF">2025-03-24T02:37:52Z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7196923E08B74F3AA828AE7CE554E050</vt:lpwstr>
  </property>
</Properties>
</file>