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520" w:firstLineChars="1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FF0000"/>
          <w:sz w:val="52"/>
          <w:szCs w:val="52"/>
          <w:lang w:val="en-US" w:eastAsia="zh-CN"/>
        </w:rPr>
        <w:t>国家统计局鄂州调查队签发稿纸</w:t>
      </w:r>
    </w:p>
    <w:p>
      <w:pPr>
        <w:spacing w:line="560" w:lineRule="exact"/>
        <w:ind w:firstLine="2650" w:firstLineChars="600"/>
        <w:rPr>
          <w:rFonts w:hint="eastAsia" w:ascii="宋体" w:hAnsi="宋体"/>
          <w:color w:val="000000"/>
          <w:sz w:val="32"/>
          <w:szCs w:val="32"/>
        </w:rPr>
      </w:pPr>
      <w:r>
        <w:rPr>
          <w:rFonts w:hint="eastAsia" w:ascii="华文中宋" w:hAnsi="华文中宋" w:eastAsia="华文中宋"/>
          <w:b/>
          <w:sz w:val="44"/>
          <w:szCs w:val="44"/>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337820</wp:posOffset>
                </wp:positionV>
                <wp:extent cx="54864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pt;margin-top:26.6pt;height:0pt;width:432pt;z-index:251659264;mso-width-relative:page;mso-height-relative:page;" filled="f" stroked="t" coordsize="21600,21600" o:gfxdata="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kK8ftgAAAAJAQAADwAA&#10;AAAAAAABACAAAAAiAAAAZHJzL2Rvd25yZXYueG1sUEsBAhQAFAAAAAgAh07iQGb/RuTdAQAAlwMA&#10;AA4AAAAAAAAAAQAgAAAAJwEAAGRycy9lMm9Eb2MueG1sUEsFBgAAAAAGAAYAWQEAAH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领导签发意见：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 xml:space="preserve"> 队网  </w:t>
      </w: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 xml:space="preserve"> 总队网  </w:t>
      </w: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 xml:space="preserve"> 两办  </w:t>
      </w: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 xml:space="preserve"> 互联网（政府网、云上鄂州）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签名：</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4800" w:firstLineChars="1500"/>
        <w:jc w:val="left"/>
        <w:textAlignment w:val="auto"/>
        <w:rPr>
          <w:rFonts w:hint="eastAsia" w:ascii="仿宋" w:hAnsi="仿宋" w:eastAsia="仿宋" w:cs="仿宋"/>
          <w:b/>
          <w:sz w:val="32"/>
          <w:szCs w:val="32"/>
        </w:rPr>
      </w:pPr>
      <w:r>
        <w:rPr>
          <w:rFonts w:hint="eastAsia" w:ascii="仿宋" w:hAnsi="仿宋" w:eastAsia="仿宋" w:cs="仿宋"/>
          <w:sz w:val="32"/>
          <w:szCs w:val="32"/>
          <w:lang w:val="en-US" w:eastAsia="zh-CN"/>
        </w:rPr>
        <w:t>2020 年   月   日</w:t>
      </w:r>
    </w:p>
    <w:p>
      <w:pPr>
        <w:tabs>
          <w:tab w:val="left" w:pos="6915"/>
        </w:tabs>
        <w:spacing w:line="560" w:lineRule="exact"/>
        <w:jc w:val="left"/>
        <w:rPr>
          <w:rFonts w:hint="eastAsia" w:ascii="方正小标宋简体" w:hAnsi="方正小标宋简体" w:eastAsia="方正小标宋简体" w:cs="方正小标宋简体"/>
          <w:b/>
          <w:bCs/>
          <w:sz w:val="32"/>
          <w:szCs w:val="32"/>
          <w:lang w:val="en-US" w:eastAsia="zh-CN"/>
        </w:rPr>
      </w:pPr>
      <w:r>
        <w:rPr>
          <w:rFonts w:hint="eastAsia" w:ascii="华文中宋" w:hAnsi="华文中宋" w:eastAsia="华文中宋"/>
          <w:b/>
          <w:sz w:val="44"/>
          <w:szCs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0</wp:posOffset>
                </wp:positionV>
                <wp:extent cx="54864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25pt;margin-top:0pt;height:0pt;width:432pt;z-index:251658240;mso-width-relative:page;mso-height-relative:page;" filled="f" stroked="t" coordsize="21600,21600" o:gfxdata="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Rw42zTAAAABQEAAA8AAAAAAAAA&#10;AQAgAAAAIgAAAGRycy9kb3ducmV2LnhtbFBLAQIUABQAAAAIAIdO4kDNMiFb3QEAAJcDAAAOAAAA&#10;AAAAAAEAIAAAACIBAABkcnMvZTJvRG9jLnhtbFBLBQYAAAAABgAGAFkBAABxBQAAAAA=&#10;">
                <v:fill on="f" focussize="0,0"/>
                <v:stroke weight="2.25pt" color="#FF0000" joinstyle="round"/>
                <v:imagedata o:title=""/>
                <o:lock v:ext="edit" aspectratio="f"/>
              </v:line>
            </w:pict>
          </mc:Fallback>
        </mc:AlternateContent>
      </w:r>
      <w:r>
        <w:rPr>
          <w:rFonts w:ascii="华文中宋" w:hAnsi="华文中宋" w:eastAsia="华文中宋"/>
          <w:b/>
          <w:sz w:val="36"/>
          <w:szCs w:val="36"/>
        </w:rPr>
        <w:tab/>
      </w:r>
    </w:p>
    <w:p>
      <w:pPr>
        <w:rPr>
          <w:rFonts w:hint="eastAsia" w:ascii="Arial" w:hAnsi="Arial" w:eastAsia="宋体" w:cs="Arial"/>
          <w:i w:val="0"/>
          <w:caps w:val="0"/>
          <w:color w:val="333333"/>
          <w:spacing w:val="0"/>
          <w:sz w:val="21"/>
          <w:szCs w:val="21"/>
          <w:shd w:val="clear" w:color="auto"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75" w:lineRule="atLeas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z w:val="44"/>
          <w:szCs w:val="44"/>
          <w:lang w:val="en-US" w:eastAsia="zh-CN"/>
        </w:rPr>
        <w:t>1</w:t>
      </w:r>
      <w:r>
        <w:rPr>
          <w:rFonts w:hint="eastAsia" w:ascii="方正小标宋简体" w:hAnsi="方正小标宋简体" w:eastAsia="方正小标宋简体" w:cs="方正小标宋简体"/>
          <w:color w:val="333333"/>
          <w:sz w:val="44"/>
          <w:szCs w:val="44"/>
        </w:rPr>
        <w:t>月份</w:t>
      </w:r>
      <w:r>
        <w:rPr>
          <w:rFonts w:hint="eastAsia" w:ascii="方正小标宋简体" w:hAnsi="方正小标宋简体" w:eastAsia="方正小标宋简体" w:cs="方正小标宋简体"/>
          <w:color w:val="333333"/>
          <w:sz w:val="44"/>
          <w:szCs w:val="44"/>
          <w:lang w:eastAsia="zh-CN"/>
        </w:rPr>
        <w:t>鄂州</w:t>
      </w:r>
      <w:r>
        <w:rPr>
          <w:rFonts w:hint="eastAsia" w:ascii="方正小标宋简体" w:hAnsi="方正小标宋简体" w:eastAsia="方正小标宋简体" w:cs="方正小标宋简体"/>
          <w:color w:val="333333"/>
          <w:sz w:val="44"/>
          <w:szCs w:val="44"/>
        </w:rPr>
        <w:t>CPI</w:t>
      </w:r>
      <w:r>
        <w:rPr>
          <w:rFonts w:hint="eastAsia" w:ascii="方正小标宋简体" w:hAnsi="方正小标宋简体" w:eastAsia="方正小标宋简体" w:cs="方正小标宋简体"/>
          <w:color w:val="333333"/>
          <w:sz w:val="44"/>
          <w:szCs w:val="44"/>
          <w:lang w:eastAsia="zh-CN"/>
        </w:rPr>
        <w:t>同比上涨</w:t>
      </w:r>
      <w:r>
        <w:rPr>
          <w:rFonts w:hint="eastAsia" w:ascii="方正小标宋简体" w:hAnsi="方正小标宋简体" w:eastAsia="方正小标宋简体" w:cs="方正小标宋简体"/>
          <w:color w:val="333333"/>
          <w:sz w:val="44"/>
          <w:szCs w:val="44"/>
          <w:lang w:val="en-US" w:eastAsia="zh-CN"/>
        </w:rPr>
        <w:t>5.1</w:t>
      </w:r>
      <w:r>
        <w:rPr>
          <w:rFonts w:hint="eastAsia" w:ascii="方正小标宋简体" w:hAnsi="方正小标宋简体" w:eastAsia="方正小标宋简体" w:cs="方正小标宋简体"/>
          <w:color w:val="333333"/>
          <w:sz w:val="44"/>
          <w:szCs w:val="44"/>
        </w:rPr>
        <w:t>%</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r>
        <w:rPr>
          <w:rFonts w:hint="default" w:ascii="Times New Roman" w:hAnsi="Times New Roman" w:eastAsia="宋体" w:cs="宋体"/>
          <w:kern w:val="0"/>
          <w:sz w:val="24"/>
          <w:szCs w:val="21"/>
          <w:lang w:val="en-US" w:eastAsia="zh-CN" w:bidi="ar"/>
        </w:rPr>
        <w:t> </w:t>
      </w:r>
      <w:r>
        <w:rPr>
          <w:rFonts w:hint="eastAsia" w:cs="宋体"/>
          <w:kern w:val="0"/>
          <w:sz w:val="24"/>
          <w:szCs w:val="21"/>
          <w:lang w:val="en-US" w:eastAsia="zh-CN" w:bidi="ar"/>
        </w:rPr>
        <w:t xml:space="preserve">    1</w:t>
      </w:r>
      <w:r>
        <w:rPr>
          <w:rFonts w:hint="eastAsia" w:ascii="仿宋_GB2312" w:hAnsi="宋体" w:eastAsia="仿宋_GB2312"/>
          <w:sz w:val="32"/>
          <w:szCs w:val="24"/>
        </w:rPr>
        <w:t>月份，</w:t>
      </w:r>
      <w:r>
        <w:rPr>
          <w:rFonts w:hint="eastAsia" w:ascii="仿宋_GB2312" w:hAnsi="宋体" w:eastAsia="仿宋_GB2312"/>
          <w:sz w:val="32"/>
          <w:szCs w:val="24"/>
          <w:lang w:eastAsia="zh-CN"/>
        </w:rPr>
        <w:t>鄂州</w:t>
      </w:r>
      <w:r>
        <w:rPr>
          <w:rFonts w:hint="eastAsia" w:ascii="仿宋_GB2312" w:hAnsi="宋体" w:eastAsia="仿宋_GB2312"/>
          <w:sz w:val="32"/>
          <w:szCs w:val="24"/>
        </w:rPr>
        <w:t>居民消费价格总水平环比</w:t>
      </w:r>
      <w:r>
        <w:rPr>
          <w:rFonts w:hint="eastAsia" w:ascii="仿宋_GB2312" w:hAnsi="宋体" w:eastAsia="仿宋_GB2312"/>
          <w:sz w:val="32"/>
          <w:szCs w:val="24"/>
          <w:lang w:eastAsia="zh-CN"/>
        </w:rPr>
        <w:t>上涨</w:t>
      </w:r>
      <w:r>
        <w:rPr>
          <w:rFonts w:hint="eastAsia" w:ascii="仿宋_GB2312" w:hAnsi="宋体" w:eastAsia="仿宋_GB2312"/>
          <w:sz w:val="32"/>
          <w:szCs w:val="24"/>
          <w:lang w:val="en-US" w:eastAsia="zh-CN"/>
        </w:rPr>
        <w:t>1.7%</w:t>
      </w:r>
      <w:r>
        <w:rPr>
          <w:rFonts w:hint="eastAsia" w:ascii="仿宋_GB2312" w:hAnsi="宋体" w:eastAsia="仿宋_GB2312"/>
          <w:sz w:val="32"/>
          <w:szCs w:val="24"/>
        </w:rPr>
        <w:t>，</w:t>
      </w:r>
      <w:r>
        <w:rPr>
          <w:rFonts w:hint="eastAsia" w:ascii="仿宋_GB2312" w:hAnsi="宋体" w:eastAsia="仿宋_GB2312"/>
          <w:sz w:val="32"/>
          <w:szCs w:val="24"/>
          <w:lang w:eastAsia="zh-CN"/>
        </w:rPr>
        <w:t>与上月相比上涨</w:t>
      </w:r>
      <w:r>
        <w:rPr>
          <w:rFonts w:hint="eastAsia" w:ascii="仿宋_GB2312" w:hAnsi="宋体" w:eastAsia="仿宋_GB2312"/>
          <w:sz w:val="32"/>
          <w:szCs w:val="24"/>
          <w:lang w:val="en-US" w:eastAsia="zh-CN"/>
        </w:rPr>
        <w:t>1.5个百分点</w:t>
      </w:r>
      <w:r>
        <w:rPr>
          <w:rFonts w:hint="eastAsia" w:ascii="仿宋_GB2312" w:hAnsi="宋体" w:eastAsia="仿宋_GB2312"/>
          <w:sz w:val="32"/>
          <w:szCs w:val="24"/>
        </w:rPr>
        <w:t>；同比上涨</w:t>
      </w:r>
      <w:r>
        <w:rPr>
          <w:rFonts w:hint="eastAsia" w:ascii="仿宋_GB2312" w:hAnsi="宋体" w:eastAsia="仿宋_GB2312"/>
          <w:sz w:val="32"/>
          <w:szCs w:val="24"/>
          <w:lang w:val="en-US" w:eastAsia="zh-CN"/>
        </w:rPr>
        <w:t>5.1%</w:t>
      </w:r>
      <w:r>
        <w:rPr>
          <w:rFonts w:hint="eastAsia" w:ascii="仿宋_GB2312" w:hAnsi="宋体" w:eastAsia="仿宋_GB2312"/>
          <w:sz w:val="32"/>
          <w:szCs w:val="24"/>
        </w:rPr>
        <w:t>，与上月相比</w:t>
      </w:r>
      <w:r>
        <w:rPr>
          <w:rFonts w:hint="eastAsia" w:ascii="仿宋_GB2312" w:hAnsi="宋体" w:eastAsia="仿宋_GB2312"/>
          <w:sz w:val="32"/>
          <w:szCs w:val="24"/>
          <w:lang w:eastAsia="zh-CN"/>
        </w:rPr>
        <w:t>上涨</w:t>
      </w:r>
      <w:r>
        <w:rPr>
          <w:rFonts w:hint="eastAsia" w:ascii="仿宋_GB2312" w:hAnsi="宋体" w:eastAsia="仿宋_GB2312"/>
          <w:sz w:val="32"/>
          <w:szCs w:val="24"/>
          <w:lang w:val="en-US" w:eastAsia="zh-CN"/>
        </w:rPr>
        <w:t>1.2个百分点</w:t>
      </w:r>
      <w:r>
        <w:rPr>
          <w:rFonts w:hint="eastAsia" w:ascii="仿宋_GB2312" w:hAnsi="宋体" w:eastAsia="仿宋_GB2312"/>
          <w:sz w:val="32"/>
          <w:szCs w:val="24"/>
        </w:rPr>
        <w:t>。</w:t>
      </w:r>
    </w:p>
    <w:p>
      <w:pPr>
        <w:keepNext w:val="0"/>
        <w:keepLines w:val="0"/>
        <w:widowControl/>
        <w:numPr>
          <w:ilvl w:val="0"/>
          <w:numId w:val="1"/>
        </w:numPr>
        <w:suppressLineNumbers w:val="0"/>
        <w:spacing w:before="0" w:beforeAutospacing="0" w:after="0" w:afterAutospacing="0"/>
        <w:ind w:left="481" w:leftChars="0" w:right="0" w:firstLine="0" w:firstLineChars="0"/>
        <w:jc w:val="left"/>
        <w:rPr>
          <w:rFonts w:hint="eastAsia" w:ascii="仿宋_GB2312" w:hAnsi="仿宋_GB2312" w:eastAsia="仿宋_GB2312" w:cs="仿宋_GB2312"/>
          <w:b/>
          <w:bCs w:val="0"/>
          <w:kern w:val="0"/>
          <w:sz w:val="32"/>
          <w:szCs w:val="32"/>
          <w:lang w:val="en-US" w:eastAsia="zh-CN" w:bidi="ar"/>
        </w:rPr>
      </w:pPr>
      <w:r>
        <w:rPr>
          <w:rFonts w:hint="eastAsia" w:ascii="仿宋_GB2312" w:hAnsi="仿宋_GB2312" w:eastAsia="仿宋_GB2312" w:cs="仿宋_GB2312"/>
          <w:b/>
          <w:bCs w:val="0"/>
          <w:kern w:val="0"/>
          <w:sz w:val="32"/>
          <w:szCs w:val="32"/>
          <w:lang w:val="en-US" w:eastAsia="zh-CN" w:bidi="ar"/>
        </w:rPr>
        <w:t>八大类商品价格情况</w:t>
      </w:r>
    </w:p>
    <w:p>
      <w:pPr>
        <w:keepNext w:val="0"/>
        <w:keepLines w:val="0"/>
        <w:widowControl/>
        <w:numPr>
          <w:ilvl w:val="0"/>
          <w:numId w:val="0"/>
        </w:numPr>
        <w:suppressLineNumbers w:val="0"/>
        <w:spacing w:before="0" w:beforeAutospacing="0" w:after="0" w:afterAutospacing="0"/>
        <w:ind w:right="0" w:rightChars="0" w:firstLine="643"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val="0"/>
          <w:kern w:val="0"/>
          <w:sz w:val="32"/>
          <w:szCs w:val="32"/>
          <w:lang w:val="en-US" w:eastAsia="zh-CN" w:bidi="ar"/>
        </w:rPr>
        <w:t> </w:t>
      </w:r>
      <w:r>
        <w:rPr>
          <w:rFonts w:hint="eastAsia" w:ascii="仿宋_GB2312" w:hAnsi="仿宋_GB2312" w:eastAsia="仿宋_GB2312" w:cs="仿宋_GB2312"/>
          <w:kern w:val="0"/>
          <w:sz w:val="32"/>
          <w:szCs w:val="32"/>
          <w:lang w:val="en-US" w:eastAsia="zh-CN" w:bidi="ar"/>
        </w:rPr>
        <w:t>从环比看，八大类商品价格呈“6升2降”的态势。价格上涨的依次为食品烟酒、教育文化和娱乐、医疗保健、交通和通信、其他用品和服务类，环比涨幅分别为3.7%、2.9%、1.4%、1.2%和0.6%；价格下跌的是衣着和生活用品及服务类，环比分别下跌0.7%、0.1%；居住类未发生变动。</w:t>
      </w:r>
    </w:p>
    <w:p>
      <w:pPr>
        <w:keepNext w:val="0"/>
        <w:keepLines w:val="0"/>
        <w:widowControl/>
        <w:suppressLineNumbers w:val="0"/>
        <w:spacing w:before="0" w:beforeAutospacing="0" w:after="0" w:afterAutospacing="0"/>
        <w:ind w:right="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从同比看，八大类商品价格呈“6升2降”的态势。价格上涨的依次为食品烟酒、教育文化和娱乐、其他用品和服务、医疗保健、生活用品及服务、交通和通信类，同比涨幅分别为14.6%、3.9%、3.6%、2.6%、1.2%、1.2%；衣着、居住类商品价格同比下降3.4%、0.2%。</w:t>
      </w:r>
    </w:p>
    <w:p>
      <w:pPr>
        <w:keepNext w:val="0"/>
        <w:keepLines w:val="0"/>
        <w:widowControl/>
        <w:suppressLineNumbers w:val="0"/>
        <w:spacing w:before="0" w:beforeAutospacing="0" w:after="0" w:afterAutospacing="0"/>
        <w:ind w:right="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bCs w:val="0"/>
          <w:kern w:val="0"/>
          <w:sz w:val="32"/>
          <w:szCs w:val="32"/>
          <w:lang w:val="en-US" w:eastAsia="zh-CN" w:bidi="ar"/>
        </w:rPr>
        <w:t>　　二、价格变动主要原因</w:t>
      </w:r>
    </w:p>
    <w:p>
      <w:pPr>
        <w:keepNext w:val="0"/>
        <w:keepLines w:val="0"/>
        <w:widowControl/>
        <w:numPr>
          <w:ilvl w:val="0"/>
          <w:numId w:val="0"/>
        </w:numPr>
        <w:suppressLineNumbers w:val="0"/>
        <w:spacing w:before="0" w:beforeAutospacing="0" w:after="0" w:afterAutospacing="0"/>
        <w:ind w:right="0" w:rightChars="0" w:firstLine="643" w:firstLineChars="20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（一）春节节庆因素和新冠冠状病毒肺炎（以下简称新冠肺炎）双重作用下食品价格上涨明显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食品价格涨幅明显，受翘尾因素影响猪肉价格稳中有升。受传统饮食习惯的影响，虽然春节节庆原因造成猪、牛、羊等畜肉、鸡鸭等禽肉、淡水鱼、鲜菜和鲜瓜果等商品的价格都有不同程度上涨，但新冠肺炎疫情蔓延开后，各地政府的系列应对举措对食品价格的上涨也起到一定的催化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春节来临之际，随着生猪产能的逐步回升，受节庆因素影响，1月，畜肉类商品价格环比上涨7.9%，同比上涨76%，拉动CPI上涨3.3个百分点，其中猪肉价格环比上涨9.0%，同比上涨106.9%，拉动CPI上涨2.71个百分点；受猪肉价格上涨影响，牛肉价格环比上涨3.2%，同比上涨14.9%；羊肉价格环比上涨6.0%，同比上涨19.4%；畜肉副产品价格环比上涨9.6%，同比上涨72.7%，拉动CPI上涨0.36个百分点；禽肉价格环比下跌0.8%，同比上涨20.8%，拉动CPI上涨0.22个百分点；水产品价格环比上涨7.9%，同比上涨8.2%，影响CPI上涨0.17个百分点；菜价环比上涨14.1%，同比上涨12.7%，拉动CPI上涨0.41个百分点；鲜瓜果价格环比上涨4.4%，同比上涨4.9%，拉动CPI价格上涨0.08个百分点。受翘尾因素影响，在2019年持续补仓下，1月，鸡蛋价格环比下跌0.9%，同比上涨12.6%，拉动CPI上涨0.08个百分点。</w:t>
      </w:r>
    </w:p>
    <w:p>
      <w:pPr>
        <w:keepNext w:val="0"/>
        <w:keepLines w:val="0"/>
        <w:widowControl/>
        <w:numPr>
          <w:ilvl w:val="0"/>
          <w:numId w:val="0"/>
        </w:numPr>
        <w:suppressLineNumbers w:val="0"/>
        <w:spacing w:before="0" w:beforeAutospacing="0" w:after="0" w:afterAutospacing="0"/>
        <w:ind w:right="0" w:rightChars="0"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（二）随着防疫工作深入衣着类商品遇冷</w:t>
      </w:r>
    </w:p>
    <w:p>
      <w:pPr>
        <w:keepNext w:val="0"/>
        <w:keepLines w:val="0"/>
        <w:widowControl/>
        <w:numPr>
          <w:ilvl w:val="0"/>
          <w:numId w:val="0"/>
        </w:numPr>
        <w:suppressLineNumbers w:val="0"/>
        <w:spacing w:before="0" w:beforeAutospacing="0" w:after="0" w:afterAutospacing="0"/>
        <w:ind w:right="0" w:rightChars="0" w:firstLine="64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自鄂州市先后出台各项相应防疫管制措施以来，银泰百货、武商以及步行街各品牌卖场施行封场，阻断了销售渠道，春装上市推迟，行市遇冷。</w:t>
      </w:r>
    </w:p>
    <w:p>
      <w:pPr>
        <w:keepNext w:val="0"/>
        <w:keepLines w:val="0"/>
        <w:widowControl/>
        <w:numPr>
          <w:ilvl w:val="0"/>
          <w:numId w:val="2"/>
        </w:numPr>
        <w:suppressLineNumbers w:val="0"/>
        <w:spacing w:before="0" w:beforeAutospacing="0" w:after="0" w:afterAutospacing="0"/>
        <w:ind w:right="0" w:rightChars="0" w:firstLine="640"/>
        <w:jc w:val="left"/>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val="en-US" w:eastAsia="zh-CN"/>
        </w:rPr>
        <w:t>春节节庆因素和国际原油价格上涨助推文化娱乐价格上涨</w:t>
      </w:r>
    </w:p>
    <w:p>
      <w:pPr>
        <w:keepNext w:val="0"/>
        <w:keepLines w:val="0"/>
        <w:widowControl/>
        <w:numPr>
          <w:ilvl w:val="0"/>
          <w:numId w:val="0"/>
        </w:numPr>
        <w:suppressLineNumbers w:val="0"/>
        <w:spacing w:before="0" w:beforeAutospacing="0" w:after="0" w:afterAutospacing="0"/>
        <w:ind w:right="0" w:rightChars="0" w:firstLine="642"/>
        <w:jc w:val="left"/>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受春节节庆影响，人工成本价格上涨，文化娱乐和服务价格上涨；受国际原油价格上涨的影响，随着春运的启动，飞机票和旅游消费的价格上涨明显。</w:t>
      </w:r>
    </w:p>
    <w:p>
      <w:pPr>
        <w:keepNext w:val="0"/>
        <w:keepLines w:val="0"/>
        <w:widowControl/>
        <w:numPr>
          <w:ilvl w:val="0"/>
          <w:numId w:val="2"/>
        </w:numPr>
        <w:suppressLineNumbers w:val="0"/>
        <w:spacing w:before="0" w:beforeAutospacing="0" w:after="0" w:afterAutospacing="0"/>
        <w:ind w:left="0" w:leftChars="0" w:right="0" w:rightChars="0" w:firstLine="640" w:firstLineChars="0"/>
        <w:jc w:val="left"/>
        <w:rPr>
          <w:rFonts w:hint="default"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lang w:eastAsia="zh-CN"/>
        </w:rPr>
        <w:t>新冠肺炎疫情成为促使医疗保健价格上涨的原因之一</w:t>
      </w:r>
    </w:p>
    <w:p>
      <w:pPr>
        <w:keepNext w:val="0"/>
        <w:keepLines w:val="0"/>
        <w:widowControl/>
        <w:numPr>
          <w:ilvl w:val="0"/>
          <w:numId w:val="0"/>
        </w:numPr>
        <w:suppressLineNumbers w:val="0"/>
        <w:spacing w:before="0" w:beforeAutospacing="0" w:after="0" w:afterAutospacing="0"/>
        <w:ind w:right="0" w:rightChars="0"/>
        <w:jc w:val="left"/>
        <w:rPr>
          <w:rFonts w:hint="default"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 xml:space="preserve">    随着新冠肺炎疫情的蔓延，居民购进治疗和预防感冒类药品的需求变得旺盛，口罩、感冒类药品、酒精和消毒液等商品供不应求，受省内各地市间交通管制措施、春节期间人员返乡复工难和工价上涨等因素影响，部分药品价格上涨。受供需比和药品政策性调控调整的影响，部分治疗针对性疾病的药品价格上涨明显。</w:t>
      </w:r>
    </w:p>
    <w:p>
      <w:pPr>
        <w:keepNext w:val="0"/>
        <w:keepLines w:val="0"/>
        <w:widowControl/>
        <w:numPr>
          <w:ilvl w:val="0"/>
          <w:numId w:val="0"/>
        </w:numPr>
        <w:suppressLineNumbers w:val="0"/>
        <w:spacing w:before="0" w:beforeAutospacing="0" w:after="0" w:afterAutospacing="0"/>
        <w:ind w:right="0" w:rightChars="0" w:firstLine="642"/>
        <w:jc w:val="left"/>
        <w:rPr>
          <w:rFonts w:hint="eastAsia" w:ascii="仿宋_GB2312" w:hAnsi="仿宋_GB2312" w:eastAsia="仿宋_GB2312" w:cs="仿宋_GB2312"/>
          <w:b/>
          <w:bCs/>
          <w:color w:val="333333"/>
          <w:sz w:val="32"/>
          <w:szCs w:val="32"/>
          <w:lang w:eastAsia="zh-CN"/>
        </w:rPr>
      </w:pPr>
      <w:r>
        <w:rPr>
          <w:rFonts w:hint="eastAsia" w:ascii="仿宋_GB2312" w:hAnsi="仿宋_GB2312" w:eastAsia="仿宋_GB2312" w:cs="仿宋_GB2312"/>
          <w:b/>
          <w:bCs/>
          <w:color w:val="333333"/>
          <w:sz w:val="32"/>
          <w:szCs w:val="32"/>
          <w:lang w:eastAsia="zh-CN"/>
        </w:rPr>
        <w:t>（五</w:t>
      </w:r>
      <w:bookmarkStart w:id="0" w:name="_GoBack"/>
      <w:bookmarkEnd w:id="0"/>
      <w:r>
        <w:rPr>
          <w:rFonts w:hint="eastAsia" w:ascii="仿宋_GB2312" w:hAnsi="仿宋_GB2312" w:eastAsia="仿宋_GB2312" w:cs="仿宋_GB2312"/>
          <w:b/>
          <w:bCs/>
          <w:color w:val="333333"/>
          <w:sz w:val="32"/>
          <w:szCs w:val="32"/>
          <w:lang w:eastAsia="zh-CN"/>
        </w:rPr>
        <w:t>）国际黄金价格上涨带动其他用品类价格上涨</w:t>
      </w:r>
    </w:p>
    <w:p>
      <w:pPr>
        <w:keepNext w:val="0"/>
        <w:keepLines w:val="0"/>
        <w:widowControl/>
        <w:numPr>
          <w:ilvl w:val="0"/>
          <w:numId w:val="0"/>
        </w:numPr>
        <w:suppressLineNumbers w:val="0"/>
        <w:spacing w:before="0" w:beforeAutospacing="0" w:after="0" w:afterAutospacing="0"/>
        <w:ind w:right="0" w:rightChars="0" w:firstLine="640" w:firstLineChars="200"/>
        <w:jc w:val="left"/>
        <w:rPr>
          <w:rFonts w:hint="default"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eastAsia="zh-CN"/>
        </w:rPr>
        <w:t>受国际金价上涨影响，黄金价格继续走高，金价环比上涨</w:t>
      </w:r>
      <w:r>
        <w:rPr>
          <w:rFonts w:hint="eastAsia" w:ascii="仿宋_GB2312" w:hAnsi="仿宋_GB2312" w:eastAsia="仿宋_GB2312" w:cs="仿宋_GB2312"/>
          <w:b w:val="0"/>
          <w:bCs w:val="0"/>
          <w:color w:val="333333"/>
          <w:sz w:val="32"/>
          <w:szCs w:val="32"/>
          <w:lang w:val="en-US" w:eastAsia="zh-CN"/>
        </w:rPr>
        <w:t>2.3%，</w:t>
      </w:r>
      <w:r>
        <w:rPr>
          <w:rFonts w:hint="eastAsia" w:ascii="仿宋_GB2312" w:hAnsi="仿宋_GB2312" w:eastAsia="仿宋_GB2312" w:cs="仿宋_GB2312"/>
          <w:b w:val="0"/>
          <w:bCs w:val="0"/>
          <w:color w:val="333333"/>
          <w:sz w:val="32"/>
          <w:szCs w:val="32"/>
          <w:lang w:eastAsia="zh-CN"/>
        </w:rPr>
        <w:t>同比上涨</w:t>
      </w:r>
      <w:r>
        <w:rPr>
          <w:rFonts w:hint="eastAsia" w:ascii="仿宋_GB2312" w:hAnsi="仿宋_GB2312" w:eastAsia="仿宋_GB2312" w:cs="仿宋_GB2312"/>
          <w:b w:val="0"/>
          <w:bCs w:val="0"/>
          <w:color w:val="333333"/>
          <w:sz w:val="32"/>
          <w:szCs w:val="32"/>
          <w:lang w:val="en-US" w:eastAsia="zh-CN"/>
        </w:rPr>
        <w:t>20.0%</w:t>
      </w:r>
      <w:r>
        <w:rPr>
          <w:rFonts w:hint="eastAsia" w:ascii="仿宋_GB2312" w:hAnsi="仿宋_GB2312" w:eastAsia="仿宋_GB2312" w:cs="仿宋_GB2312"/>
          <w:b w:val="0"/>
          <w:bCs w:val="0"/>
          <w:color w:val="333333"/>
          <w:sz w:val="32"/>
          <w:szCs w:val="32"/>
        </w:rPr>
        <w:t> </w:t>
      </w:r>
      <w:r>
        <w:rPr>
          <w:rFonts w:hint="eastAsia" w:ascii="仿宋_GB2312" w:hAnsi="仿宋_GB2312" w:eastAsia="仿宋_GB2312" w:cs="仿宋_GB2312"/>
          <w:b w:val="0"/>
          <w:bCs w:val="0"/>
          <w:color w:val="333333"/>
          <w:sz w:val="32"/>
          <w:szCs w:val="32"/>
          <w:lang w:eastAsia="zh-CN"/>
        </w:rPr>
        <w:t>；铂金价格环比上涨</w:t>
      </w:r>
      <w:r>
        <w:rPr>
          <w:rFonts w:hint="eastAsia" w:ascii="仿宋_GB2312" w:hAnsi="仿宋_GB2312" w:eastAsia="仿宋_GB2312" w:cs="仿宋_GB2312"/>
          <w:b w:val="0"/>
          <w:bCs w:val="0"/>
          <w:color w:val="333333"/>
          <w:sz w:val="32"/>
          <w:szCs w:val="32"/>
          <w:lang w:val="en-US" w:eastAsia="zh-CN"/>
        </w:rPr>
        <w:t>3.0%，同比上涨13.1%，国际黄金价格的震荡带动其他用品和服务类价格同比上涨3.6%。</w:t>
      </w:r>
    </w:p>
    <w:p>
      <w:pPr>
        <w:keepNext w:val="0"/>
        <w:keepLines w:val="0"/>
        <w:widowControl/>
        <w:numPr>
          <w:ilvl w:val="0"/>
          <w:numId w:val="0"/>
        </w:numPr>
        <w:suppressLineNumbers w:val="0"/>
        <w:spacing w:before="0" w:beforeAutospacing="0" w:after="0" w:afterAutospacing="0"/>
        <w:ind w:right="0" w:rightChars="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val="0"/>
          <w:kern w:val="0"/>
          <w:sz w:val="32"/>
          <w:szCs w:val="32"/>
          <w:lang w:val="en-US" w:eastAsia="zh-CN" w:bidi="ar"/>
        </w:rPr>
        <w:t>三、后期预测</w:t>
      </w:r>
    </w:p>
    <w:p>
      <w:pPr>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随着2月春节假期结束，各地的医护生产恢复产能，国际援助的逐项落实，各省支援湖北的人力、物力持续投入以及天气的逐步升温，新冠肺炎疫情蔓延空间将逐步缩小，在各项政策的调控下，各种医疗和民生的商品供需和价格也将逐步趋于缓和。</w:t>
      </w:r>
    </w:p>
    <w:p>
      <w:pPr>
        <w:ind w:firstLine="640" w:firstLineChars="20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随着生猪产能的逐渐恢复，猪肉价格也将稳步回落，随之其它替代性蛋白质和脂肪的畜禽肉类和鱼蛋类商品价格也将随之下跌。</w:t>
      </w:r>
    </w:p>
    <w:p>
      <w:pPr>
        <w:ind w:firstLine="640" w:firstLineChars="200"/>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疫情结束前，服装、住房和教育文化娱乐等行业都将承受不小的考验。</w:t>
      </w:r>
    </w:p>
    <w:p>
      <w:pPr>
        <w:keepNext w:val="0"/>
        <w:keepLines w:val="0"/>
        <w:pageBreakBefore w:val="0"/>
        <w:widowControl w:val="0"/>
        <w:kinsoku/>
        <w:wordWrap/>
        <w:overflowPunct/>
        <w:topLinePunct w:val="0"/>
        <w:autoSpaceDE/>
        <w:autoSpaceDN/>
        <w:bidi w:val="0"/>
        <w:adjustRightInd/>
        <w:snapToGrid/>
        <w:spacing w:line="560" w:lineRule="exact"/>
        <w:ind w:firstLine="4320" w:firstLineChars="1800"/>
        <w:jc w:val="left"/>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（撰稿：严华  电话：0711-5903978  核稿：徐芹）</w:t>
      </w:r>
    </w:p>
    <w:p/>
    <w:p/>
    <w:p/>
    <w:p>
      <w:pPr>
        <w:keepNext w:val="0"/>
        <w:keepLines w:val="0"/>
        <w:pageBreakBefore w:val="0"/>
        <w:kinsoku/>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Courier New"/>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2"/>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31B10"/>
    <w:multiLevelType w:val="singleLevel"/>
    <w:tmpl w:val="E5831B10"/>
    <w:lvl w:ilvl="0" w:tentative="0">
      <w:start w:val="3"/>
      <w:numFmt w:val="chineseCounting"/>
      <w:suff w:val="nothing"/>
      <w:lvlText w:val="（%1）"/>
      <w:lvlJc w:val="left"/>
      <w:rPr>
        <w:rFonts w:hint="eastAsia"/>
      </w:rPr>
    </w:lvl>
  </w:abstractNum>
  <w:abstractNum w:abstractNumId="1">
    <w:nsid w:val="FDA0222B"/>
    <w:multiLevelType w:val="singleLevel"/>
    <w:tmpl w:val="FDA0222B"/>
    <w:lvl w:ilvl="0" w:tentative="0">
      <w:start w:val="1"/>
      <w:numFmt w:val="chineseCounting"/>
      <w:suff w:val="nothing"/>
      <w:lvlText w:val="%1、"/>
      <w:lvlJc w:val="left"/>
      <w:pPr>
        <w:ind w:left="481"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A0982"/>
    <w:rsid w:val="0F5F2EF8"/>
    <w:rsid w:val="13B005CE"/>
    <w:rsid w:val="1AB73AF9"/>
    <w:rsid w:val="1ED50FDF"/>
    <w:rsid w:val="1F3D11F2"/>
    <w:rsid w:val="21BA0982"/>
    <w:rsid w:val="26AD5878"/>
    <w:rsid w:val="2A946EC7"/>
    <w:rsid w:val="44ED34B1"/>
    <w:rsid w:val="504E7017"/>
    <w:rsid w:val="5B42676F"/>
    <w:rsid w:val="5F7704B4"/>
    <w:rsid w:val="735769AA"/>
    <w:rsid w:val="7F093B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八大类规格品环比、同比对照表</a:t>
            </a:r>
            <a:endParaRPr altLang="en-US"/>
          </a:p>
        </c:rich>
      </c:tx>
      <c:layout/>
      <c:overlay val="0"/>
      <c:spPr>
        <a:noFill/>
        <a:ln>
          <a:noFill/>
        </a:ln>
        <a:effectLst/>
      </c:spPr>
    </c:title>
    <c:autoTitleDeleted val="0"/>
    <c:plotArea>
      <c:layout/>
      <c:lineChart>
        <c:grouping val="standard"/>
        <c:varyColors val="0"/>
        <c:ser>
          <c:idx val="0"/>
          <c:order val="0"/>
          <c:tx>
            <c:strRef>
              <c:f>Sheet1!$B$1</c:f>
              <c:strCache>
                <c:ptCount val="1"/>
                <c:pt idx="0">
                  <c:v>环比涨幅</c:v>
                </c:pt>
              </c:strCache>
            </c:strRef>
          </c:tx>
          <c:spPr>
            <a:ln w="28575" cap="rnd">
              <a:solidFill>
                <a:schemeClr val="accent1"/>
              </a:solidFill>
              <a:round/>
            </a:ln>
            <a:effectLst/>
          </c:spPr>
          <c:marker>
            <c:symbol val="none"/>
          </c:marker>
          <c:dLbls>
            <c:delete val="1"/>
          </c:dLbls>
          <c:cat>
            <c:strRef>
              <c:f>Sheet1!$A$2:$A$9</c:f>
              <c:strCache>
                <c:ptCount val="8"/>
                <c:pt idx="0">
                  <c:v>食品烟酒</c:v>
                </c:pt>
                <c:pt idx="1">
                  <c:v>衣着</c:v>
                </c:pt>
                <c:pt idx="2">
                  <c:v>居住</c:v>
                </c:pt>
                <c:pt idx="3">
                  <c:v>生活用品及服务</c:v>
                </c:pt>
                <c:pt idx="4">
                  <c:v>交通和通信</c:v>
                </c:pt>
                <c:pt idx="5">
                  <c:v>教育文化和娱乐</c:v>
                </c:pt>
                <c:pt idx="6">
                  <c:v>医疗保健</c:v>
                </c:pt>
                <c:pt idx="7">
                  <c:v>其他用品和服务</c:v>
                </c:pt>
              </c:strCache>
            </c:strRef>
          </c:cat>
          <c:val>
            <c:numRef>
              <c:f>Sheet1!$B$2:$B$9</c:f>
              <c:numCache>
                <c:formatCode>General</c:formatCode>
                <c:ptCount val="8"/>
                <c:pt idx="0">
                  <c:v>3.7</c:v>
                </c:pt>
                <c:pt idx="1">
                  <c:v>-0.7</c:v>
                </c:pt>
                <c:pt idx="2">
                  <c:v>0</c:v>
                </c:pt>
                <c:pt idx="3">
                  <c:v>-0.1</c:v>
                </c:pt>
                <c:pt idx="4">
                  <c:v>1.2</c:v>
                </c:pt>
                <c:pt idx="5">
                  <c:v>2.9</c:v>
                </c:pt>
                <c:pt idx="6">
                  <c:v>1.4</c:v>
                </c:pt>
                <c:pt idx="7">
                  <c:v>0.6</c:v>
                </c:pt>
              </c:numCache>
            </c:numRef>
          </c:val>
          <c:smooth val="0"/>
        </c:ser>
        <c:ser>
          <c:idx val="1"/>
          <c:order val="1"/>
          <c:tx>
            <c:strRef>
              <c:f>Sheet1!$C$1</c:f>
              <c:strCache>
                <c:ptCount val="1"/>
                <c:pt idx="0">
                  <c:v>同比涨幅</c:v>
                </c:pt>
              </c:strCache>
            </c:strRef>
          </c:tx>
          <c:spPr>
            <a:ln w="28575" cap="rnd">
              <a:solidFill>
                <a:schemeClr val="accent2"/>
              </a:solidFill>
              <a:round/>
            </a:ln>
            <a:effectLst/>
          </c:spPr>
          <c:marker>
            <c:symbol val="none"/>
          </c:marker>
          <c:dLbls>
            <c:delete val="1"/>
          </c:dLbls>
          <c:cat>
            <c:strRef>
              <c:f>Sheet1!$A$2:$A$9</c:f>
              <c:strCache>
                <c:ptCount val="8"/>
                <c:pt idx="0">
                  <c:v>食品烟酒</c:v>
                </c:pt>
                <c:pt idx="1">
                  <c:v>衣着</c:v>
                </c:pt>
                <c:pt idx="2">
                  <c:v>居住</c:v>
                </c:pt>
                <c:pt idx="3">
                  <c:v>生活用品及服务</c:v>
                </c:pt>
                <c:pt idx="4">
                  <c:v>交通和通信</c:v>
                </c:pt>
                <c:pt idx="5">
                  <c:v>教育文化和娱乐</c:v>
                </c:pt>
                <c:pt idx="6">
                  <c:v>医疗保健</c:v>
                </c:pt>
                <c:pt idx="7">
                  <c:v>其他用品和服务</c:v>
                </c:pt>
              </c:strCache>
            </c:strRef>
          </c:cat>
          <c:val>
            <c:numRef>
              <c:f>Sheet1!$C$2:$C$9</c:f>
              <c:numCache>
                <c:formatCode>General</c:formatCode>
                <c:ptCount val="8"/>
                <c:pt idx="0">
                  <c:v>14.6</c:v>
                </c:pt>
                <c:pt idx="1">
                  <c:v>-3.4</c:v>
                </c:pt>
                <c:pt idx="2">
                  <c:v>-0.2</c:v>
                </c:pt>
                <c:pt idx="3">
                  <c:v>1.2</c:v>
                </c:pt>
                <c:pt idx="4">
                  <c:v>1.2</c:v>
                </c:pt>
                <c:pt idx="5">
                  <c:v>3.9</c:v>
                </c:pt>
                <c:pt idx="6">
                  <c:v>2.6</c:v>
                </c:pt>
                <c:pt idx="7">
                  <c:v>3.6</c:v>
                </c:pt>
              </c:numCache>
            </c:numRef>
          </c:val>
          <c:smooth val="0"/>
        </c:ser>
        <c:ser>
          <c:idx val="2"/>
          <c:order val="2"/>
          <c:tx>
            <c:strRef>
              <c:f>Sheet1!#REF!</c:f>
              <c:strCache>
                <c:ptCount val="1"/>
                <c:pt idx="0">
                  <c:v/>
                </c:pt>
              </c:strCache>
            </c:strRef>
          </c:tx>
          <c:spPr>
            <a:ln w="28575" cap="rnd">
              <a:solidFill>
                <a:schemeClr val="accent3"/>
              </a:solidFill>
              <a:round/>
            </a:ln>
            <a:effectLst/>
          </c:spPr>
          <c:marker>
            <c:symbol val="none"/>
          </c:marker>
          <c:dLbls>
            <c:delete val="1"/>
          </c:dLbls>
          <c:cat>
            <c:strRef>
              <c:f>Sheet1!$A$2:$A$9</c:f>
              <c:strCache>
                <c:ptCount val="8"/>
                <c:pt idx="0">
                  <c:v>食品烟酒</c:v>
                </c:pt>
                <c:pt idx="1">
                  <c:v>衣着</c:v>
                </c:pt>
                <c:pt idx="2">
                  <c:v>居住</c:v>
                </c:pt>
                <c:pt idx="3">
                  <c:v>生活用品及服务</c:v>
                </c:pt>
                <c:pt idx="4">
                  <c:v>交通和通信</c:v>
                </c:pt>
                <c:pt idx="5">
                  <c:v>教育文化和娱乐</c:v>
                </c:pt>
                <c:pt idx="6">
                  <c:v>医疗保健</c:v>
                </c:pt>
                <c:pt idx="7">
                  <c:v>其他用品和服务</c:v>
                </c:pt>
              </c:strCache>
            </c:str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0"/>
        <c:smooth val="0"/>
        <c:axId val="757833331"/>
        <c:axId val="660611224"/>
      </c:lineChart>
      <c:catAx>
        <c:axId val="7578333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611224"/>
        <c:crosses val="autoZero"/>
        <c:auto val="1"/>
        <c:lblAlgn val="ctr"/>
        <c:lblOffset val="100"/>
        <c:noMultiLvlLbl val="0"/>
      </c:catAx>
      <c:valAx>
        <c:axId val="660611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7833331"/>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2020-02-19T03:33:00Z</dcterms:created>
  <dc:creator>鄂州调查队严华</dc:creator>
  <cp:lastModifiedBy>鄂州调查队(鄂州调查队:)</cp:lastModifiedBy>
  <dcterms:modified xsi:type="dcterms:W3CDTF">2020-02-27T09:02:23Z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