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81" w:rsidRDefault="00256481" w:rsidP="00EE6573">
      <w:pPr>
        <w:widowControl/>
        <w:shd w:val="clear" w:color="auto" w:fill="FFFFFF"/>
        <w:spacing w:line="540" w:lineRule="atLeast"/>
        <w:jc w:val="left"/>
        <w:rPr>
          <w:rFonts w:hint="eastAsia"/>
          <w:color w:val="333333"/>
          <w:sz w:val="39"/>
          <w:szCs w:val="39"/>
        </w:rPr>
      </w:pPr>
      <w:r w:rsidRPr="00256481">
        <w:rPr>
          <w:rFonts w:hint="eastAsia"/>
          <w:color w:val="333333"/>
          <w:sz w:val="39"/>
          <w:szCs w:val="39"/>
        </w:rPr>
        <w:t>2021</w:t>
      </w:r>
      <w:r w:rsidRPr="00256481">
        <w:rPr>
          <w:rFonts w:hint="eastAsia"/>
          <w:color w:val="333333"/>
          <w:sz w:val="39"/>
          <w:szCs w:val="39"/>
        </w:rPr>
        <w:t>年</w:t>
      </w:r>
      <w:r w:rsidRPr="00256481">
        <w:rPr>
          <w:rFonts w:hint="eastAsia"/>
          <w:color w:val="333333"/>
          <w:sz w:val="39"/>
          <w:szCs w:val="39"/>
        </w:rPr>
        <w:t>1-6</w:t>
      </w:r>
      <w:r w:rsidRPr="00256481">
        <w:rPr>
          <w:rFonts w:hint="eastAsia"/>
          <w:color w:val="333333"/>
          <w:sz w:val="39"/>
          <w:szCs w:val="39"/>
        </w:rPr>
        <w:t>月份鄂州市房地产市场运行情况</w:t>
      </w:r>
    </w:p>
    <w:p w:rsidR="00256481" w:rsidRPr="00256481" w:rsidRDefault="00EE6573" w:rsidP="00256481">
      <w:pPr>
        <w:shd w:val="clear" w:color="auto" w:fill="FFFFFF"/>
        <w:spacing w:line="54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E65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="00256481" w:rsidRPr="00256481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t>一、供应情况</w:t>
      </w:r>
      <w:r w:rsidR="00256481" w:rsidRPr="0025648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256481" w:rsidRPr="00256481" w:rsidRDefault="00256481" w:rsidP="00256481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6481">
        <w:rPr>
          <w:rFonts w:ascii="仿宋_GB2312" w:eastAsia="仿宋_GB2312" w:hAnsi="宋体" w:cs="宋体" w:hint="eastAsia"/>
          <w:color w:val="343434"/>
          <w:sz w:val="32"/>
          <w:szCs w:val="32"/>
        </w:rPr>
        <w:t>2021年1-6月份全市新建商品房批准预售16010套，批准预售面积186万平方米，同比增长160%；其中，新建商品住房批准预售14970套，批准预售面积166.8万平方米，同比增长151%。</w:t>
      </w:r>
    </w:p>
    <w:p w:rsidR="00256481" w:rsidRPr="00256481" w:rsidRDefault="00256481" w:rsidP="00256481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6481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t>二、交易情况</w:t>
      </w:r>
    </w:p>
    <w:p w:rsidR="00256481" w:rsidRPr="00256481" w:rsidRDefault="00256481" w:rsidP="00256481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6481">
        <w:rPr>
          <w:rFonts w:ascii="仿宋_GB2312" w:eastAsia="仿宋_GB2312" w:hAnsi="宋体" w:cs="宋体" w:hint="eastAsia"/>
          <w:color w:val="343434"/>
          <w:sz w:val="32"/>
          <w:szCs w:val="32"/>
        </w:rPr>
        <w:t>1-6月份新建商品房销售13953套，销售面积151.2万平方米，同比增长174.2%；其中，新建商品住房销售13398套，销售面积144.9万平方米，同比增长167%。</w:t>
      </w:r>
    </w:p>
    <w:p w:rsidR="00256481" w:rsidRPr="00256481" w:rsidRDefault="00256481" w:rsidP="00256481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6481">
        <w:rPr>
          <w:rFonts w:ascii="仿宋_GB2312" w:eastAsia="仿宋_GB2312" w:hAnsi="宋体" w:cs="宋体" w:hint="eastAsia"/>
          <w:color w:val="343434"/>
          <w:sz w:val="32"/>
          <w:szCs w:val="32"/>
        </w:rPr>
        <w:t>1-6月份存量房（二手房）成交1136套，成交面积10.1万平方米，同比持平；其中，存量住房成交1057套，成交面积9.5万平方米，同比增长-5%。</w:t>
      </w:r>
    </w:p>
    <w:p w:rsidR="00256481" w:rsidRPr="00256481" w:rsidRDefault="00256481" w:rsidP="00256481">
      <w:pPr>
        <w:widowControl/>
        <w:shd w:val="clear" w:color="auto" w:fill="FFFFFF"/>
        <w:spacing w:before="100" w:beforeAutospacing="1" w:after="100" w:afterAutospacing="1" w:line="54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6481">
        <w:rPr>
          <w:rFonts w:ascii="仿宋_GB2312" w:eastAsia="仿宋_GB2312" w:hAnsi="宋体" w:cs="宋体" w:hint="eastAsia"/>
          <w:color w:val="343434"/>
          <w:sz w:val="32"/>
          <w:szCs w:val="32"/>
        </w:rPr>
        <w:t>1-6月，全市新建商品房销售均价为7118元/平方米，同比增长5.4%，其中：新建商品住房销售均价为7030元/平方米，同比增长2.9%；办公楼销售均价为0元/平方米，同比增长0%；商业营业用房销售均价为9452元/平方米，同比增长8.7%；工业用房销售均价为元3245元/平方米，同比增长100%。</w:t>
      </w:r>
    </w:p>
    <w:p w:rsidR="00256481" w:rsidRPr="00256481" w:rsidRDefault="00256481" w:rsidP="00256481">
      <w:pPr>
        <w:widowControl/>
        <w:shd w:val="clear" w:color="auto" w:fill="FFFFFF"/>
        <w:spacing w:before="100" w:beforeAutospacing="1" w:after="100" w:afterAutospacing="1" w:line="540" w:lineRule="atLeast"/>
        <w:ind w:firstLine="643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6481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lastRenderedPageBreak/>
        <w:t>三、库存情况</w:t>
      </w:r>
      <w:r w:rsidRPr="00256481">
        <w:rPr>
          <w:rFonts w:ascii="仿宋_GB2312" w:eastAsia="仿宋_GB2312" w:hAnsi="宋体" w:cs="宋体" w:hint="eastAsia"/>
          <w:color w:val="343434"/>
          <w:sz w:val="32"/>
          <w:szCs w:val="32"/>
        </w:rPr>
        <w:br/>
        <w:t xml:space="preserve">  截至2021年6月末，已批准预售尚未售出的商品住房12633套，面积135.6万平方米，按最近9个月均商品房住宅备案销售24万平方米，平均去化周期约为5.7个月。取得预售尚未销售完毕的项目有：恒大金碧天下、聚福广场、恒大首府 二期、金州星城、滨湖明珠、智慧城、飞鹅新天地、桃源居、银海龙城、莲湖锦城、罗马假日、东盛新干线、太子花苑、水乡小镇、中梁壹号院、碧桂园黄金时代、鑫源阳光景城、融创澜观大岸，星辰湾，中建澜悦，金地悦府,宏维新天地，中核城市之光，双创之星，海伦堡大城小院、恒大誉府、豪威御景湾、华顺时代新城等项目，去化压力主要集中在中小项目。</w:t>
      </w:r>
    </w:p>
    <w:p w:rsidR="00FE0585" w:rsidRDefault="00FE0585" w:rsidP="00256481">
      <w:pPr>
        <w:widowControl/>
        <w:shd w:val="clear" w:color="auto" w:fill="FFFFFF"/>
        <w:spacing w:line="540" w:lineRule="atLeast"/>
        <w:jc w:val="left"/>
      </w:pPr>
    </w:p>
    <w:sectPr w:rsidR="00FE0585" w:rsidSect="005A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585"/>
    <w:rsid w:val="0012182B"/>
    <w:rsid w:val="00256481"/>
    <w:rsid w:val="00290781"/>
    <w:rsid w:val="003B440E"/>
    <w:rsid w:val="005A2A1F"/>
    <w:rsid w:val="008F10E8"/>
    <w:rsid w:val="00B07625"/>
    <w:rsid w:val="00B44753"/>
    <w:rsid w:val="00CD07B4"/>
    <w:rsid w:val="00EE6573"/>
    <w:rsid w:val="00EF528F"/>
    <w:rsid w:val="00F8176D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0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4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6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71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37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75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713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8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80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6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2021-08-17T07:26:00Z</dcterms:created>
  <dcterms:modified xsi:type="dcterms:W3CDTF">2021-08-17T07:26:00Z</dcterms:modified>
</cp:coreProperties>
</file>