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2021年5月份全市招商引资情况通报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64"/>
        <w:jc w:val="both"/>
        <w:rPr>
          <w:rFonts w:ascii="宋体" w:hAnsi="宋体" w:eastAsia="宋体" w:cs="宋体"/>
          <w:color w:val="333333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fill="FFFFFF"/>
          <w:lang w:val="en-US" w:eastAsia="zh-CN" w:bidi="ar"/>
        </w:rPr>
        <w:t>今年元至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fill="FFFFFF"/>
          <w:lang w:val="en-US" w:eastAsia="zh-CN" w:bidi="ar"/>
        </w:rPr>
        <w:t>份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fill="FFFFFF"/>
          <w:lang w:val="en-US" w:eastAsia="zh-CN" w:bidi="ar"/>
        </w:rPr>
        <w:t>，全市完成省外资金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fill="FFFFFF"/>
          <w:lang w:val="en-US" w:eastAsia="zh-CN" w:bidi="ar"/>
        </w:rPr>
        <w:t>186.87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fill="FFFFFF"/>
          <w:lang w:val="en-US" w:eastAsia="zh-CN" w:bidi="ar"/>
        </w:rPr>
        <w:t>亿元，完成全年计划的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fill="FFFFFF"/>
          <w:lang w:val="en-US" w:eastAsia="zh-CN" w:bidi="ar"/>
        </w:rPr>
        <w:t>53.4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fill="FFFFFF"/>
          <w:lang w:val="en-US" w:eastAsia="zh-CN" w:bidi="ar"/>
        </w:rPr>
        <w:t>%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fill="FFFFFF"/>
          <w:lang w:val="en-US" w:eastAsia="zh-CN" w:bidi="ar"/>
        </w:rPr>
        <w:t>，超时序进度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6"/>
          <w:kern w:val="0"/>
          <w:sz w:val="32"/>
          <w:szCs w:val="32"/>
          <w:shd w:val="clear" w:fill="FFFFFF"/>
          <w:lang w:val="en-US" w:eastAsia="zh-CN" w:bidi="ar"/>
        </w:rPr>
        <w:t>11.7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fill="FFFFFF"/>
          <w:lang w:val="en-US" w:eastAsia="zh-CN" w:bidi="ar"/>
        </w:rPr>
        <w:t>个百分点，同比增长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fill="FFFFFF"/>
          <w:lang w:val="en-US" w:eastAsia="zh-CN" w:bidi="ar"/>
        </w:rPr>
        <w:t>177.1%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fill="FFFFFF"/>
          <w:lang w:val="en-US" w:eastAsia="zh-CN" w:bidi="ar"/>
        </w:rPr>
        <w:t>；签约亿元以上项目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fill="FFFFFF"/>
          <w:lang w:val="en-US" w:eastAsia="zh-CN" w:bidi="ar"/>
        </w:rPr>
        <w:t>36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fill="FFFFFF"/>
          <w:lang w:val="en-US" w:eastAsia="zh-CN" w:bidi="ar"/>
        </w:rPr>
        <w:t>个，完成全年计划的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fill="FFFFFF"/>
          <w:lang w:val="en-US" w:eastAsia="zh-CN" w:bidi="ar"/>
        </w:rPr>
        <w:t>40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fill="FFFFFF"/>
          <w:lang w:val="en-US" w:eastAsia="zh-CN" w:bidi="ar"/>
        </w:rPr>
        <w:t>%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fill="FFFFFF"/>
          <w:lang w:val="en-US" w:eastAsia="zh-CN" w:bidi="ar"/>
        </w:rPr>
        <w:t>掉时序进度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6"/>
          <w:kern w:val="0"/>
          <w:sz w:val="32"/>
          <w:szCs w:val="32"/>
          <w:shd w:val="clear" w:fill="FFFFFF"/>
          <w:lang w:val="en-US" w:eastAsia="zh-CN" w:bidi="ar"/>
        </w:rPr>
        <w:t>1.7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fill="FFFFFF"/>
          <w:lang w:val="en-US" w:eastAsia="zh-CN" w:bidi="ar"/>
        </w:rPr>
        <w:t>个百分点，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fill="FFFFFF"/>
          <w:lang w:val="en-US" w:eastAsia="zh-CN" w:bidi="ar"/>
        </w:rPr>
        <w:t>合同投资额为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fill="FFFFFF"/>
          <w:lang w:val="en-US" w:eastAsia="zh-CN" w:bidi="ar"/>
        </w:rPr>
        <w:t>514.22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fill="FFFFFF"/>
          <w:lang w:val="en-US" w:eastAsia="zh-CN" w:bidi="ar"/>
        </w:rPr>
        <w:t>亿元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fill="FFFFFF"/>
          <w:lang w:val="en-US" w:eastAsia="zh-CN" w:bidi="ar"/>
        </w:rPr>
        <w:t>，同比增长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fill="FFFFFF"/>
          <w:lang w:val="en-US" w:eastAsia="zh-CN" w:bidi="ar"/>
        </w:rPr>
        <w:t>2.29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fill="FFFFFF"/>
          <w:lang w:val="en-US" w:eastAsia="zh-CN" w:bidi="ar"/>
        </w:rPr>
        <w:t>倍；亿元以上开工项目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fill="FFFFFF"/>
          <w:lang w:val="en-US" w:eastAsia="zh-CN" w:bidi="ar"/>
        </w:rPr>
        <w:t>16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fill="FFFFFF"/>
          <w:lang w:val="en-US" w:eastAsia="zh-CN" w:bidi="ar"/>
        </w:rPr>
        <w:t>个，完成全年计划的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fill="FFFFFF"/>
          <w:lang w:val="en-US" w:eastAsia="zh-CN" w:bidi="ar"/>
        </w:rPr>
        <w:t>21.4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fill="FFFFFF"/>
          <w:lang w:val="en-US" w:eastAsia="zh-CN" w:bidi="ar"/>
        </w:rPr>
        <w:t>%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fill="FFFFFF"/>
          <w:lang w:val="en-US" w:eastAsia="zh-CN" w:bidi="ar"/>
        </w:rPr>
        <w:t>，掉时序进度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6"/>
          <w:kern w:val="0"/>
          <w:sz w:val="32"/>
          <w:szCs w:val="32"/>
          <w:shd w:val="clear" w:fill="FFFFFF"/>
          <w:lang w:val="en-US" w:eastAsia="zh-CN" w:bidi="ar"/>
        </w:rPr>
        <w:t>20.3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fill="FFFFFF"/>
          <w:lang w:val="en-US" w:eastAsia="zh-CN" w:bidi="ar"/>
        </w:rPr>
        <w:t>个百分点，同比持平。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320"/>
        <w:jc w:val="left"/>
        <w:rPr>
          <w:rFonts w:ascii="宋体" w:hAnsi="宋体" w:eastAsia="宋体" w:cs="宋体"/>
          <w:color w:val="333333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基本目标任务完成情况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  <w:jc w:val="both"/>
        <w:rPr>
          <w:rFonts w:ascii="宋体" w:hAnsi="宋体" w:eastAsia="宋体" w:cs="宋体"/>
          <w:color w:val="333333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ascii="楷体_GB2312" w:hAnsi="Times New Roman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、省外资金完成情况：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fill="FFFFFF"/>
          <w:lang w:val="en-US" w:eastAsia="zh-CN" w:bidi="ar"/>
        </w:rPr>
        <w:t>元至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月份，全市完成省外资金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146.11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亿元，其中临空经济区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49.37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亿元，完成目标任务的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61.7%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；鄂城区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36.8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亿元，完成目标任务的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56.6%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；华容区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32.5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亿元，完成目标任务的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54.2%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；梁子湖区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18.18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亿元，完成目标任务的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51.9%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，葛店开发区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50.02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亿元，完成目标任务的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39.5%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葛店开发区掉进度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个百分点，其他各区均超时序进度。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  <w:jc w:val="both"/>
        <w:rPr>
          <w:rFonts w:ascii="宋体" w:hAnsi="宋体" w:eastAsia="宋体" w:cs="宋体"/>
          <w:color w:val="333333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、亿元以上签约项目情况：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fill="FFFFFF"/>
          <w:lang w:val="en-US" w:eastAsia="zh-CN" w:bidi="ar"/>
        </w:rPr>
        <w:t>元至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份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，全市亿元以上签约项目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36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个，其中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鄂城区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个，完成目标任务的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64.7%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；临空经济区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个，完成目标任务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50%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；梁子湖区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个，完成目标任务的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50%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；葛店开发区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个，完成目标任务的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25%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；华容区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个，完成目标任务的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23.5%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。鄂城区、临空经济区和梁子湖区超进度要求，葛店开发区和华容区分别掉进度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16.7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18.2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个百分点。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  <w:jc w:val="both"/>
        <w:rPr>
          <w:rFonts w:ascii="宋体" w:hAnsi="宋体" w:eastAsia="宋体" w:cs="宋体"/>
          <w:color w:val="333333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、亿元以上开工项目完成情况：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fill="FFFFFF"/>
          <w:lang w:val="en-US" w:eastAsia="zh-CN" w:bidi="ar"/>
        </w:rPr>
        <w:t>元至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月份，全市新开工亿元以上项目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个，鄂城区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个，完成目标任务的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50%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；梁子湖区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个，完成目标任务的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37.5%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；华容区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个，完成目标任务的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35.7%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；葛店开发区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个，完成目标任务的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4.2%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。鄂城区超进度要求，梁子湖区、华容区和葛店开发区分别掉进度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37.5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个百分点，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fill="FFFFFF"/>
          <w:lang w:val="en-US" w:eastAsia="zh-CN" w:bidi="ar"/>
        </w:rPr>
        <w:t>临空经济区截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fill="FFFFFF"/>
          <w:lang w:val="en-US" w:eastAsia="zh-CN" w:bidi="ar"/>
        </w:rPr>
        <w:t>至</w:t>
      </w:r>
      <w:bookmarkStart w:id="0" w:name="_GoBack"/>
      <w:bookmarkEnd w:id="0"/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fill="FFFFFF"/>
          <w:lang w:val="en-US" w:eastAsia="zh-CN" w:bidi="ar"/>
        </w:rPr>
        <w:t>目前没有开工项目。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800" w:right="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二、重大项目任务完成情况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、葛店开发区重大项目任务是签约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100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亿单体项目争取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个、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亿以上单体项目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个、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亿以上单体项目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个。目前投资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亿元的盛隆电气智能制造产业基地项目、投资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亿元的万度光能太阳能电池生产基地项目和投资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80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亿元的芯映光电新型显示器件项目均已签定正式合同。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、临空经济区重大项目任务是签约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亿元单体项目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个、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亿以上单体项目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个。目前投资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亿元的富春网营物联智能供应链运营中心项目和投资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亿元的鄂州临空国际创新医疗器械产业园项目已签定框架合作协议。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、鄂城区重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项目任务是签约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亿以上单体项目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亿以上单体项目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个。目前投资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亿元的中新开维二期年产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万头生猪项目和投资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亿元的欧冶链金再生资源产业园项目已签正式合同。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、华容区重大项目任务是签约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亿以上单体项目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亿以上单体项目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个。目前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投资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亿元的韵达鄂州华容产业园项目和投资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15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亿元的渔光互补项目已签框架合作协议。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、梁子湖区重大项目任务是签约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亿以上单体项目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亿以上单体项目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目前投资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15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亿元的前海湖渔猎主题公园项目、投资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亿元的北京致成生物医学项目、投资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亿元的乐华城乐华小镇项目已签合作协议，投资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亿元的慈文吴楚影视项目已签框架合作协议。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ZTcwOGZmMTRkODQ5MWU4MTM1N2I3YzEyOTVhN2QifQ=="/>
  </w:docVars>
  <w:rsids>
    <w:rsidRoot w:val="4110156F"/>
    <w:rsid w:val="0AFF7645"/>
    <w:rsid w:val="0E3956AF"/>
    <w:rsid w:val="0F3466D6"/>
    <w:rsid w:val="11AE5E35"/>
    <w:rsid w:val="2CBB3292"/>
    <w:rsid w:val="364A4BF7"/>
    <w:rsid w:val="3A1B10FF"/>
    <w:rsid w:val="3D855AD5"/>
    <w:rsid w:val="4110156F"/>
    <w:rsid w:val="47970345"/>
    <w:rsid w:val="4B2A43F8"/>
    <w:rsid w:val="4BA73AC1"/>
    <w:rsid w:val="54CD24E0"/>
    <w:rsid w:val="573E6FF0"/>
    <w:rsid w:val="59AD6367"/>
    <w:rsid w:val="5ED84D86"/>
    <w:rsid w:val="70AC6E22"/>
    <w:rsid w:val="73452AF9"/>
    <w:rsid w:val="7ACD0594"/>
    <w:rsid w:val="7D9147A1"/>
    <w:rsid w:val="7EEE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1118</Words>
  <Characters>1272</Characters>
  <Lines>0</Lines>
  <Paragraphs>0</Paragraphs>
  <TotalTime>25</TotalTime>
  <ScaleCrop>false</ScaleCrop>
  <LinksUpToDate>false</LinksUpToDate>
  <CharactersWithSpaces>1272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2021-10-27T06:32:00Z</dcterms:created>
  <dc:creator>dell</dc:creator>
  <cp:lastModifiedBy>远烟</cp:lastModifiedBy>
  <dcterms:modified xsi:type="dcterms:W3CDTF">2023-05-30T02:46:39Z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BFB2F43450F344949758D89E6B5A2B81</vt:lpwstr>
  </property>
</Properties>
</file>