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方正小标宋简体" w:eastAsia="仿宋_GB2312" w:cs="方正小标宋简体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sz w:val="32"/>
          <w:szCs w:val="32"/>
        </w:rPr>
        <w:t>鄂州发改投资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323</w:t>
      </w:r>
      <w:r>
        <w:rPr>
          <w:rFonts w:hint="eastAsia" w:ascii="仿宋_GB2312" w:hAnsi="方正小标宋简体" w:eastAsia="仿宋_GB2312" w:cs="方正小标宋简体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spacing w:val="0"/>
          <w:w w:val="95"/>
          <w:sz w:val="44"/>
          <w:szCs w:val="44"/>
        </w:rPr>
      </w:pPr>
      <w:r>
        <w:rPr>
          <w:rFonts w:hint="eastAsia" w:ascii="方正小标宋简体" w:hAnsi="宋体" w:eastAsia="方正小标宋简体"/>
          <w:spacing w:val="0"/>
          <w:w w:val="95"/>
          <w:sz w:val="44"/>
          <w:szCs w:val="44"/>
        </w:rPr>
        <w:t>关于</w:t>
      </w:r>
      <w:r>
        <w:rPr>
          <w:rFonts w:hint="eastAsia" w:ascii="方正小标宋简体" w:hAnsi="宋体" w:eastAsia="方正小标宋简体"/>
          <w:spacing w:val="0"/>
          <w:w w:val="95"/>
          <w:sz w:val="44"/>
          <w:szCs w:val="44"/>
          <w:lang w:eastAsia="zh-CN"/>
        </w:rPr>
        <w:t>中海锦城国际房地产开发项目</w:t>
      </w:r>
      <w:r>
        <w:rPr>
          <w:rFonts w:hint="eastAsia" w:ascii="方正小标宋简体" w:hAnsi="宋体" w:eastAsia="方正小标宋简体"/>
          <w:spacing w:val="0"/>
          <w:w w:val="95"/>
          <w:sz w:val="44"/>
          <w:szCs w:val="44"/>
        </w:rPr>
        <w:t>核准的</w:t>
      </w:r>
      <w:r>
        <w:rPr>
          <w:rFonts w:hint="eastAsia" w:ascii="方正小标宋简体" w:hAnsi="宋体" w:eastAsia="方正小标宋简体"/>
          <w:spacing w:val="0"/>
          <w:w w:val="95"/>
          <w:sz w:val="44"/>
          <w:szCs w:val="44"/>
          <w:lang w:eastAsia="zh-CN"/>
        </w:rPr>
        <w:t>批复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宋体" w:hAnsi="宋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鄂州中建宝来房地产有限公司</w:t>
      </w:r>
      <w:r>
        <w:rPr>
          <w:rFonts w:hint="eastAsia" w:ascii="仿宋_GB2312" w:eastAsia="仿宋_GB2312"/>
          <w:spacing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你公司《关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于中海锦城国际房地产开发项目申请核准的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请示》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（中建宝来〔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2018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〕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19号）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及有关附件收悉。经研究，</w:t>
      </w:r>
      <w:r>
        <w:rPr>
          <w:rFonts w:hint="eastAsia" w:ascii="仿宋_GB2312" w:eastAsia="仿宋_GB2312"/>
          <w:spacing w:val="0"/>
          <w:sz w:val="32"/>
          <w:szCs w:val="32"/>
        </w:rPr>
        <w:t>现就该项目核准事项批复如下：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eastAsia="仿宋_GB2312"/>
          <w:spacing w:val="0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为改善当地居民居住条件，</w:t>
      </w:r>
      <w:r>
        <w:rPr>
          <w:rFonts w:hint="eastAsia" w:ascii="仿宋_GB2312" w:eastAsia="仿宋_GB2312"/>
          <w:spacing w:val="0"/>
          <w:sz w:val="32"/>
          <w:szCs w:val="32"/>
        </w:rPr>
        <w:t>提升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城市居住品质</w:t>
      </w:r>
      <w:r>
        <w:rPr>
          <w:rFonts w:hint="eastAsia" w:ascii="仿宋_GB2312" w:eastAsia="仿宋_GB2312"/>
          <w:spacing w:val="0"/>
          <w:sz w:val="32"/>
          <w:szCs w:val="32"/>
        </w:rPr>
        <w:t>，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依据《行政许可法》、《企业投资项目核准备案管理条例》，</w:t>
      </w:r>
      <w:r>
        <w:rPr>
          <w:rFonts w:hint="eastAsia" w:ascii="仿宋_GB2312" w:eastAsia="仿宋_GB2312"/>
          <w:spacing w:val="0"/>
          <w:sz w:val="32"/>
          <w:szCs w:val="32"/>
        </w:rPr>
        <w:t>同意你公司建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设中海锦城国际房地产开发项目。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项目代码：2018-420796-70-02-066488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26" w:firstLineChars="200"/>
        <w:jc w:val="both"/>
        <w:textAlignment w:val="auto"/>
        <w:rPr>
          <w:rFonts w:hint="eastAsia" w:ascii="仿宋_GB2312" w:eastAsia="仿宋_GB2312"/>
          <w:spacing w:val="0"/>
          <w:w w:val="98"/>
          <w:sz w:val="32"/>
          <w:szCs w:val="32"/>
          <w:lang w:val="en-US"/>
        </w:rPr>
      </w:pPr>
      <w:r>
        <w:rPr>
          <w:rFonts w:hint="eastAsia" w:ascii="仿宋_GB2312" w:eastAsia="仿宋_GB2312"/>
          <w:spacing w:val="0"/>
          <w:w w:val="98"/>
          <w:sz w:val="32"/>
          <w:szCs w:val="32"/>
          <w:lang w:eastAsia="zh-CN"/>
        </w:rPr>
        <w:t>二、项目建设地点：鄂州市葛店开发区高新二路以南地块。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pacing w:val="0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三、主要经济技术指标和主要建设内容、建设规模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该项目规划地块面积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123756.3平方米，</w:t>
      </w:r>
      <w:r>
        <w:rPr>
          <w:rFonts w:hint="eastAsia" w:ascii="仿宋_GB2312" w:eastAsia="仿宋_GB2312"/>
          <w:spacing w:val="0"/>
          <w:sz w:val="32"/>
          <w:szCs w:val="32"/>
        </w:rPr>
        <w:t>总建筑面积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432111</w:t>
      </w:r>
      <w:r>
        <w:rPr>
          <w:rFonts w:hint="eastAsia" w:ascii="仿宋_GB2312" w:eastAsia="仿宋_GB2312"/>
          <w:spacing w:val="0"/>
          <w:sz w:val="32"/>
          <w:szCs w:val="32"/>
        </w:rPr>
        <w:t>平方米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，容积率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2.8，建筑密度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%，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绿地率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%。</w:t>
      </w:r>
      <w:r>
        <w:rPr>
          <w:rFonts w:hint="eastAsia" w:ascii="仿宋_GB2312" w:eastAsia="仿宋_GB2312"/>
          <w:sz w:val="32"/>
          <w:szCs w:val="32"/>
          <w:lang w:eastAsia="zh-CN"/>
        </w:rPr>
        <w:t>计容建筑面积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346517平方米，</w:t>
      </w:r>
      <w:r>
        <w:rPr>
          <w:rFonts w:hint="eastAsia" w:ascii="仿宋_GB2312" w:eastAsia="仿宋_GB2312"/>
          <w:sz w:val="32"/>
          <w:szCs w:val="32"/>
          <w:lang w:eastAsia="zh-CN"/>
        </w:rPr>
        <w:t>其中：住宅建筑面积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320136</w:t>
      </w:r>
      <w:r>
        <w:rPr>
          <w:rFonts w:hint="eastAsia" w:ascii="仿宋_GB2312" w:eastAsia="仿宋_GB2312"/>
          <w:sz w:val="32"/>
          <w:szCs w:val="32"/>
        </w:rPr>
        <w:t>平方米</w:t>
      </w:r>
      <w:r>
        <w:rPr>
          <w:rFonts w:hint="eastAsia" w:ascii="仿宋_GB2312" w:eastAsia="仿宋_GB2312"/>
          <w:sz w:val="32"/>
          <w:szCs w:val="32"/>
          <w:lang w:eastAsia="zh-CN"/>
        </w:rPr>
        <w:t>，商业建筑面积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19044平方米，幼儿园建筑面积3600平方米，社区服务用房、治安管理用房、物业管理用房等配套设施</w:t>
      </w:r>
      <w:r>
        <w:rPr>
          <w:rFonts w:hint="eastAsia" w:ascii="仿宋_GB2312" w:eastAsia="仿宋_GB2312"/>
          <w:sz w:val="32"/>
          <w:szCs w:val="32"/>
          <w:lang w:eastAsia="zh-CN"/>
        </w:rPr>
        <w:t>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3737</w:t>
      </w:r>
      <w:r>
        <w:rPr>
          <w:rFonts w:hint="eastAsia" w:ascii="仿宋_GB2312" w:eastAsia="仿宋_GB2312"/>
          <w:sz w:val="32"/>
          <w:szCs w:val="32"/>
        </w:rPr>
        <w:t>平方米</w:t>
      </w:r>
      <w:r>
        <w:rPr>
          <w:rFonts w:hint="eastAsia" w:ascii="仿宋_GB2312" w:eastAsia="仿宋_GB2312"/>
          <w:sz w:val="32"/>
          <w:szCs w:val="32"/>
          <w:lang w:eastAsia="zh-CN"/>
        </w:rPr>
        <w:t>；不计容建筑面积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85594平方米。总户数3406户，机动车停车位3582个，其中地上停车位358个，地下停车位3224个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color w:val="auto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四、项目总投</w:t>
      </w:r>
      <w:r>
        <w:rPr>
          <w:rFonts w:hint="eastAsia" w:ascii="仿宋_GB2312" w:eastAsia="仿宋_GB2312"/>
          <w:color w:val="auto"/>
          <w:spacing w:val="0"/>
          <w:sz w:val="32"/>
          <w:szCs w:val="32"/>
        </w:rPr>
        <w:t>资</w:t>
      </w:r>
      <w:r>
        <w:rPr>
          <w:rFonts w:hint="eastAsia" w:ascii="仿宋_GB2312" w:eastAsia="仿宋_GB2312"/>
          <w:color w:val="auto"/>
          <w:spacing w:val="0"/>
          <w:sz w:val="32"/>
          <w:szCs w:val="32"/>
          <w:lang w:val="en-US" w:eastAsia="zh-CN"/>
        </w:rPr>
        <w:t>310206</w:t>
      </w:r>
      <w:r>
        <w:rPr>
          <w:rFonts w:hint="eastAsia" w:ascii="仿宋_GB2312" w:eastAsia="仿宋_GB2312"/>
          <w:color w:val="auto"/>
          <w:spacing w:val="0"/>
          <w:sz w:val="32"/>
          <w:szCs w:val="32"/>
        </w:rPr>
        <w:t>万元，资金由企业自筹解决</w:t>
      </w:r>
      <w:r>
        <w:rPr>
          <w:rFonts w:hint="eastAsia" w:ascii="仿宋_GB2312" w:eastAsia="仿宋_GB2312"/>
          <w:color w:val="auto"/>
          <w:spacing w:val="0"/>
          <w:sz w:val="32"/>
          <w:szCs w:val="32"/>
          <w:lang w:eastAsia="zh-CN"/>
        </w:rPr>
        <w:t>，其中项目资本金不得低于</w:t>
      </w:r>
      <w:r>
        <w:rPr>
          <w:rFonts w:hint="eastAsia" w:ascii="仿宋_GB2312" w:eastAsia="仿宋_GB2312"/>
          <w:color w:val="auto"/>
          <w:spacing w:val="0"/>
          <w:sz w:val="32"/>
          <w:szCs w:val="32"/>
          <w:lang w:val="en-US" w:eastAsia="zh-CN"/>
        </w:rPr>
        <w:t>20%，即62041万元</w:t>
      </w:r>
      <w:r>
        <w:rPr>
          <w:rFonts w:hint="eastAsia" w:ascii="仿宋_GB2312" w:eastAsia="仿宋_GB2312"/>
          <w:color w:val="auto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color w:val="auto"/>
          <w:spacing w:val="0"/>
          <w:sz w:val="32"/>
          <w:szCs w:val="32"/>
        </w:rPr>
        <w:t>五、项目区域内的供水、雨污排放、供电、供</w:t>
      </w:r>
      <w:r>
        <w:rPr>
          <w:rFonts w:hint="eastAsia" w:ascii="仿宋_GB2312" w:eastAsia="仿宋_GB2312"/>
          <w:spacing w:val="0"/>
          <w:sz w:val="32"/>
          <w:szCs w:val="32"/>
        </w:rPr>
        <w:t>气、通信等市政配套设施的建设以及节能环保、抗震、消防、人防等与项目同步实施。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0"/>
          <w:sz w:val="32"/>
          <w:szCs w:val="32"/>
        </w:rPr>
        <w:t>六、该项目必须依法招标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（见附件）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0"/>
          <w:sz w:val="32"/>
          <w:szCs w:val="32"/>
        </w:rPr>
        <w:t>七、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按照相关法律、行政法规，</w:t>
      </w:r>
      <w:r>
        <w:rPr>
          <w:rFonts w:hint="eastAsia" w:ascii="仿宋_GB2312" w:eastAsia="仿宋_GB2312"/>
          <w:spacing w:val="0"/>
          <w:sz w:val="32"/>
          <w:szCs w:val="32"/>
        </w:rPr>
        <w:t>核准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该</w:t>
      </w:r>
      <w:r>
        <w:rPr>
          <w:rFonts w:hint="eastAsia" w:ascii="仿宋_GB2312" w:eastAsia="仿宋_GB2312"/>
          <w:spacing w:val="0"/>
          <w:sz w:val="32"/>
          <w:szCs w:val="32"/>
        </w:rPr>
        <w:t>项目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应附</w:t>
      </w:r>
      <w:r>
        <w:rPr>
          <w:rFonts w:hint="eastAsia" w:ascii="仿宋_GB2312" w:eastAsia="仿宋_GB2312"/>
          <w:spacing w:val="0"/>
          <w:sz w:val="32"/>
          <w:szCs w:val="32"/>
        </w:rPr>
        <w:t>的相关文件分别是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葛店开发区住房和建设环保局规划设计条件通知书、葛店开发区规委会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2018年第七次会议审议的项目规划设计方案、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鄂州市国土资</w:t>
      </w:r>
      <w:r>
        <w:rPr>
          <w:rFonts w:hint="eastAsia" w:ascii="仿宋_GB2312" w:eastAsia="仿宋_GB2312"/>
          <w:color w:val="auto"/>
          <w:spacing w:val="0"/>
          <w:sz w:val="32"/>
          <w:szCs w:val="32"/>
          <w:lang w:eastAsia="zh-CN"/>
        </w:rPr>
        <w:t>源局《关于中海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锦</w:t>
      </w:r>
      <w:r>
        <w:rPr>
          <w:rFonts w:hint="eastAsia" w:ascii="仿宋_GB2312" w:eastAsia="仿宋_GB2312"/>
          <w:color w:val="auto"/>
          <w:spacing w:val="0"/>
          <w:sz w:val="32"/>
          <w:szCs w:val="32"/>
          <w:lang w:eastAsia="zh-CN"/>
        </w:rPr>
        <w:t>城国际房地产开发项目建设用地预审意见的函》（</w:t>
      </w:r>
      <w:r>
        <w:rPr>
          <w:rFonts w:hint="eastAsia" w:ascii="仿宋_GB2312" w:hAnsi="方正小标宋简体" w:eastAsia="仿宋_GB2312" w:cs="方正小标宋简体"/>
          <w:sz w:val="32"/>
          <w:szCs w:val="32"/>
        </w:rPr>
        <w:t>鄂州</w:t>
      </w:r>
      <w:r>
        <w:rPr>
          <w:rFonts w:hint="eastAsia" w:ascii="仿宋_GB2312" w:hAnsi="方正小标宋简体" w:eastAsia="仿宋_GB2312" w:cs="方正小标宋简体"/>
          <w:sz w:val="32"/>
          <w:szCs w:val="32"/>
          <w:lang w:eastAsia="zh-CN"/>
        </w:rPr>
        <w:t>土资函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157号</w:t>
      </w:r>
      <w:r>
        <w:rPr>
          <w:rFonts w:hint="eastAsia" w:ascii="仿宋_GB2312" w:eastAsia="仿宋_GB2312"/>
          <w:color w:val="auto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auto"/>
          <w:spacing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八、</w:t>
      </w:r>
      <w:r>
        <w:rPr>
          <w:rFonts w:hint="eastAsia" w:ascii="仿宋_GB2312" w:eastAsia="仿宋_GB2312"/>
          <w:spacing w:val="0"/>
          <w:sz w:val="32"/>
          <w:szCs w:val="32"/>
        </w:rPr>
        <w:t>如需对本项目核准文件所规定的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建设地点、建设规模、主要建设内容等</w:t>
      </w:r>
      <w:r>
        <w:rPr>
          <w:rFonts w:hint="eastAsia" w:ascii="仿宋_GB2312" w:eastAsia="仿宋_GB2312"/>
          <w:spacing w:val="0"/>
          <w:sz w:val="32"/>
          <w:szCs w:val="32"/>
        </w:rPr>
        <w:t>进行调整，请按照《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湖北省企业投资</w:t>
      </w:r>
      <w:r>
        <w:rPr>
          <w:rFonts w:hint="eastAsia" w:ascii="仿宋_GB2312" w:eastAsia="仿宋_GB2312"/>
          <w:spacing w:val="0"/>
          <w:sz w:val="32"/>
          <w:szCs w:val="32"/>
        </w:rPr>
        <w:t>项目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核准和备案</w:t>
      </w:r>
      <w:r>
        <w:rPr>
          <w:rFonts w:hint="eastAsia" w:ascii="仿宋_GB2312" w:eastAsia="仿宋_GB2312"/>
          <w:spacing w:val="0"/>
          <w:sz w:val="32"/>
          <w:szCs w:val="32"/>
        </w:rPr>
        <w:t>管理办法》的有关规定，及时提出调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整变更</w:t>
      </w:r>
      <w:r>
        <w:rPr>
          <w:rFonts w:hint="eastAsia" w:ascii="仿宋_GB2312" w:eastAsia="仿宋_GB2312"/>
          <w:spacing w:val="0"/>
          <w:sz w:val="32"/>
          <w:szCs w:val="32"/>
        </w:rPr>
        <w:t>申请，我委将根据项目具体情况，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作出是否同意变更的书面决定</w:t>
      </w:r>
      <w:r>
        <w:rPr>
          <w:rFonts w:hint="eastAsia" w:ascii="仿宋_GB2312" w:eastAsia="仿宋_GB2312"/>
          <w:spacing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九</w:t>
      </w:r>
      <w:r>
        <w:rPr>
          <w:rFonts w:hint="eastAsia" w:ascii="仿宋_GB2312" w:eastAsia="仿宋_GB2312"/>
          <w:spacing w:val="0"/>
          <w:sz w:val="32"/>
          <w:szCs w:val="32"/>
        </w:rPr>
        <w:t>、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请你公司在项目开工建设前，依据相关法律、行政法规规定办理规划许可、土地使用、资源利用、安全生产、环评等相关报建手续。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十</w:t>
      </w:r>
      <w:r>
        <w:rPr>
          <w:rFonts w:hint="eastAsia" w:ascii="仿宋_GB2312" w:eastAsia="仿宋_GB2312"/>
          <w:spacing w:val="0"/>
          <w:sz w:val="32"/>
          <w:szCs w:val="32"/>
        </w:rPr>
        <w:t>、本核准文件自印发之日起有效期限2年。在核准文件有效期内未开工建设的，应在核准文件有效期届满前的30个工作日之前向我委申请延期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开工建设</w:t>
      </w:r>
      <w:r>
        <w:rPr>
          <w:rFonts w:hint="eastAsia" w:ascii="仿宋_GB2312" w:eastAsia="仿宋_GB2312"/>
          <w:spacing w:val="0"/>
          <w:sz w:val="32"/>
          <w:szCs w:val="32"/>
        </w:rPr>
        <w:t>。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开工建设只能延期一次，期限最长不得超过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1年。</w:t>
      </w:r>
      <w:r>
        <w:rPr>
          <w:rFonts w:hint="eastAsia" w:ascii="仿宋_GB2312" w:eastAsia="仿宋_GB2312"/>
          <w:spacing w:val="0"/>
          <w:sz w:val="32"/>
          <w:szCs w:val="32"/>
        </w:rPr>
        <w:t>项目在核准文件有效期内未开工建设也未按规定申请延期的，或虽提出延期申请但未获批准的，本核准文件自动失效。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此复。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pacing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3520" w:firstLineChars="1100"/>
        <w:jc w:val="both"/>
        <w:textAlignment w:val="auto"/>
        <w:outlineLvl w:val="9"/>
        <w:rPr>
          <w:rFonts w:hint="eastAsia" w:ascii="仿宋_GB2312" w:eastAsia="仿宋_GB2312"/>
          <w:spacing w:val="0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鄂州市发展和改革委员会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4640" w:firstLineChars="1450"/>
        <w:jc w:val="both"/>
        <w:textAlignment w:val="auto"/>
        <w:outlineLvl w:val="9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</w:rPr>
        <w:t>201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pacing w:val="0"/>
          <w:sz w:val="32"/>
          <w:szCs w:val="32"/>
        </w:rPr>
        <w:t>年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11</w:t>
      </w:r>
      <w:r>
        <w:rPr>
          <w:rFonts w:hint="eastAsia" w:ascii="仿宋_GB2312" w:eastAsia="仿宋_GB2312"/>
          <w:spacing w:val="0"/>
          <w:sz w:val="32"/>
          <w:szCs w:val="32"/>
        </w:rPr>
        <w:t>月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/>
          <w:spacing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4640" w:firstLineChars="1450"/>
        <w:jc w:val="both"/>
        <w:textAlignment w:val="auto"/>
        <w:outlineLvl w:val="9"/>
        <w:rPr>
          <w:rFonts w:hint="eastAsia" w:ascii="仿宋_GB2312" w:eastAsia="仿宋_GB2312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4640" w:firstLineChars="1450"/>
        <w:jc w:val="both"/>
        <w:textAlignment w:val="auto"/>
        <w:outlineLvl w:val="9"/>
        <w:rPr>
          <w:rFonts w:hint="eastAsia" w:ascii="仿宋_GB2312" w:eastAsia="仿宋_GB2312"/>
          <w:spacing w:val="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4640" w:firstLineChars="1450"/>
        <w:jc w:val="both"/>
        <w:textAlignment w:val="auto"/>
        <w:outlineLvl w:val="9"/>
        <w:rPr>
          <w:rFonts w:hint="eastAsia" w:ascii="仿宋_GB2312" w:eastAsia="仿宋_GB2312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抄送：市城建委、国土局、环保局、规划局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鄂州市发展和改革委员会           2018年11月16日印发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工程招标审批部门核准意见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textAlignment w:val="auto"/>
        <w:outlineLvl w:val="9"/>
        <w:rPr>
          <w:rFonts w:hint="eastAsia" w:ascii="仿宋_GB2312" w:eastAsia="仿宋_GB2312"/>
          <w:sz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textAlignment w:val="auto"/>
        <w:outlineLvl w:val="9"/>
        <w:rPr>
          <w:rFonts w:hint="eastAsia" w:ascii="仿宋_GB2312" w:eastAsia="仿宋_GB2312"/>
          <w:sz w:val="24"/>
          <w:lang w:eastAsia="zh-CN"/>
        </w:rPr>
      </w:pPr>
      <w:r>
        <w:rPr>
          <w:rFonts w:hint="eastAsia" w:ascii="仿宋_GB2312" w:eastAsia="仿宋_GB2312"/>
          <w:sz w:val="24"/>
          <w:lang w:eastAsia="zh-CN"/>
        </w:rPr>
        <w:t>建设单位: 鄂州中建宝来房地产有限公司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textAlignment w:val="auto"/>
        <w:outlineLvl w:val="9"/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  <w:lang w:eastAsia="zh-CN"/>
        </w:rPr>
        <w:t>项目</w:t>
      </w:r>
      <w:r>
        <w:rPr>
          <w:rFonts w:hint="eastAsia" w:ascii="仿宋_GB2312" w:eastAsia="仿宋_GB2312"/>
          <w:sz w:val="24"/>
        </w:rPr>
        <w:t>名称:</w:t>
      </w:r>
      <w:r>
        <w:rPr>
          <w:rFonts w:hint="eastAsia" w:ascii="仿宋_GB2312" w:eastAsia="仿宋_GB2312"/>
          <w:sz w:val="24"/>
          <w:lang w:eastAsia="zh-CN"/>
        </w:rPr>
        <w:t xml:space="preserve"> 中海锦城国际房地产开发项目</w:t>
      </w:r>
    </w:p>
    <w:tbl>
      <w:tblPr>
        <w:tblStyle w:val="6"/>
        <w:tblW w:w="86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983"/>
        <w:gridCol w:w="982"/>
        <w:gridCol w:w="983"/>
        <w:gridCol w:w="983"/>
        <w:gridCol w:w="983"/>
        <w:gridCol w:w="983"/>
        <w:gridCol w:w="13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招标范围</w:t>
            </w:r>
          </w:p>
        </w:tc>
        <w:tc>
          <w:tcPr>
            <w:tcW w:w="19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招标组织形式</w:t>
            </w:r>
          </w:p>
        </w:tc>
        <w:tc>
          <w:tcPr>
            <w:tcW w:w="19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招标方式</w:t>
            </w:r>
          </w:p>
        </w:tc>
        <w:tc>
          <w:tcPr>
            <w:tcW w:w="139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不采用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3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委托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邀请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distribute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勘察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distribute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设计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distribute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建筑工程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distribute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安装工程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distribute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监理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distribute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主要设备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distribute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重要材料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distribute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其它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5" w:hRule="atLeast"/>
        </w:trPr>
        <w:tc>
          <w:tcPr>
            <w:tcW w:w="8640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审批部门核准意见：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核准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543" w:firstLineChars="194"/>
              <w:jc w:val="left"/>
              <w:textAlignment w:val="auto"/>
              <w:outlineLvl w:val="9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请严格按照《中华人民共和国招标投标法》等相关法律法规和相关部门规章，规范招标投标行为。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5717" w:firstLineChars="2042"/>
              <w:jc w:val="left"/>
              <w:textAlignment w:val="auto"/>
              <w:outlineLvl w:val="9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880" w:firstLineChars="2100"/>
              <w:jc w:val="left"/>
              <w:textAlignment w:val="auto"/>
              <w:outlineLvl w:val="9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审批部门盖章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560" w:firstLine="5600" w:firstLineChars="2000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201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sectPr>
      <w:pgSz w:w="11849" w:h="16781"/>
      <w:pgMar w:top="1984" w:right="1701" w:bottom="1701" w:left="1701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C0B582"/>
    <w:multiLevelType w:val="singleLevel"/>
    <w:tmpl w:val="86C0B58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37F1D"/>
    <w:rsid w:val="00206E83"/>
    <w:rsid w:val="00536AE6"/>
    <w:rsid w:val="00EB230D"/>
    <w:rsid w:val="02384A81"/>
    <w:rsid w:val="025F6562"/>
    <w:rsid w:val="02F45840"/>
    <w:rsid w:val="03326913"/>
    <w:rsid w:val="03A32A65"/>
    <w:rsid w:val="03D1782E"/>
    <w:rsid w:val="043A0DE0"/>
    <w:rsid w:val="05165672"/>
    <w:rsid w:val="06421616"/>
    <w:rsid w:val="070403D1"/>
    <w:rsid w:val="082C02D4"/>
    <w:rsid w:val="08CF6F6F"/>
    <w:rsid w:val="09033CEE"/>
    <w:rsid w:val="096C68C2"/>
    <w:rsid w:val="098051F9"/>
    <w:rsid w:val="09DF7021"/>
    <w:rsid w:val="0B0F738B"/>
    <w:rsid w:val="0BE32BBA"/>
    <w:rsid w:val="0CE61437"/>
    <w:rsid w:val="0D2B6F2D"/>
    <w:rsid w:val="0DE62282"/>
    <w:rsid w:val="1109093F"/>
    <w:rsid w:val="11332207"/>
    <w:rsid w:val="11CD2FB9"/>
    <w:rsid w:val="12EA1D0E"/>
    <w:rsid w:val="13A014E8"/>
    <w:rsid w:val="14191415"/>
    <w:rsid w:val="14474A76"/>
    <w:rsid w:val="153E1DAF"/>
    <w:rsid w:val="17653597"/>
    <w:rsid w:val="18FE2914"/>
    <w:rsid w:val="1A783E06"/>
    <w:rsid w:val="1C0D1776"/>
    <w:rsid w:val="1C5A4B9C"/>
    <w:rsid w:val="1CDF2292"/>
    <w:rsid w:val="1DB46DF0"/>
    <w:rsid w:val="1DD3443A"/>
    <w:rsid w:val="1E110CE3"/>
    <w:rsid w:val="1E8E73BB"/>
    <w:rsid w:val="1ECD2A42"/>
    <w:rsid w:val="1FAE437A"/>
    <w:rsid w:val="20537F1D"/>
    <w:rsid w:val="21605F1B"/>
    <w:rsid w:val="21DA2A66"/>
    <w:rsid w:val="230E2F82"/>
    <w:rsid w:val="23155E31"/>
    <w:rsid w:val="25777625"/>
    <w:rsid w:val="25A5459F"/>
    <w:rsid w:val="26966A3E"/>
    <w:rsid w:val="27E26F34"/>
    <w:rsid w:val="284D0BD1"/>
    <w:rsid w:val="28CE3FC5"/>
    <w:rsid w:val="2AD2323B"/>
    <w:rsid w:val="2B7F464D"/>
    <w:rsid w:val="2B8245C2"/>
    <w:rsid w:val="2BB471F9"/>
    <w:rsid w:val="2BDB75EA"/>
    <w:rsid w:val="2D724DB6"/>
    <w:rsid w:val="2FB71C6B"/>
    <w:rsid w:val="2FC714D5"/>
    <w:rsid w:val="2FD90671"/>
    <w:rsid w:val="2FF15331"/>
    <w:rsid w:val="30722231"/>
    <w:rsid w:val="30936D44"/>
    <w:rsid w:val="33361CF4"/>
    <w:rsid w:val="33966356"/>
    <w:rsid w:val="34B2516B"/>
    <w:rsid w:val="34D401DA"/>
    <w:rsid w:val="36A43490"/>
    <w:rsid w:val="38757A38"/>
    <w:rsid w:val="39D67C55"/>
    <w:rsid w:val="3A173443"/>
    <w:rsid w:val="3A2522E8"/>
    <w:rsid w:val="3A9B339F"/>
    <w:rsid w:val="3AF54641"/>
    <w:rsid w:val="3B1E7B3E"/>
    <w:rsid w:val="3C827AFC"/>
    <w:rsid w:val="3CF5301C"/>
    <w:rsid w:val="3D8D6FE5"/>
    <w:rsid w:val="3EB909CD"/>
    <w:rsid w:val="3F565610"/>
    <w:rsid w:val="41242B77"/>
    <w:rsid w:val="41420045"/>
    <w:rsid w:val="41C35F92"/>
    <w:rsid w:val="42907A72"/>
    <w:rsid w:val="43392607"/>
    <w:rsid w:val="45582077"/>
    <w:rsid w:val="45F53DA9"/>
    <w:rsid w:val="46D4196B"/>
    <w:rsid w:val="4A4804B3"/>
    <w:rsid w:val="4A8C269E"/>
    <w:rsid w:val="4B045D3D"/>
    <w:rsid w:val="4C643ED4"/>
    <w:rsid w:val="4DA64523"/>
    <w:rsid w:val="4E1D6127"/>
    <w:rsid w:val="4E3C39FA"/>
    <w:rsid w:val="4E631F38"/>
    <w:rsid w:val="4E84053D"/>
    <w:rsid w:val="4EA40227"/>
    <w:rsid w:val="4F9C443B"/>
    <w:rsid w:val="4FCD598E"/>
    <w:rsid w:val="50054518"/>
    <w:rsid w:val="505041BC"/>
    <w:rsid w:val="50D37583"/>
    <w:rsid w:val="50EA7F64"/>
    <w:rsid w:val="516D735B"/>
    <w:rsid w:val="51C904E0"/>
    <w:rsid w:val="52177810"/>
    <w:rsid w:val="5466784A"/>
    <w:rsid w:val="54F07612"/>
    <w:rsid w:val="555A1A52"/>
    <w:rsid w:val="56E51535"/>
    <w:rsid w:val="56E53A12"/>
    <w:rsid w:val="572B7C65"/>
    <w:rsid w:val="57843562"/>
    <w:rsid w:val="57D93081"/>
    <w:rsid w:val="57ED35FA"/>
    <w:rsid w:val="57FF7138"/>
    <w:rsid w:val="58CD626F"/>
    <w:rsid w:val="58E80E56"/>
    <w:rsid w:val="5964052B"/>
    <w:rsid w:val="5A0B4467"/>
    <w:rsid w:val="5A9D11E8"/>
    <w:rsid w:val="5B326750"/>
    <w:rsid w:val="5BAE59FA"/>
    <w:rsid w:val="5C1C6C17"/>
    <w:rsid w:val="5C420357"/>
    <w:rsid w:val="5CDD6A5C"/>
    <w:rsid w:val="5D3A2BA4"/>
    <w:rsid w:val="5D8D6B5F"/>
    <w:rsid w:val="5E9918B2"/>
    <w:rsid w:val="5EBD308A"/>
    <w:rsid w:val="600F249C"/>
    <w:rsid w:val="60443C70"/>
    <w:rsid w:val="60776CD5"/>
    <w:rsid w:val="61024FD1"/>
    <w:rsid w:val="614263FA"/>
    <w:rsid w:val="6188631D"/>
    <w:rsid w:val="621222F1"/>
    <w:rsid w:val="6401049B"/>
    <w:rsid w:val="640A32A5"/>
    <w:rsid w:val="640D4CD4"/>
    <w:rsid w:val="646E41B6"/>
    <w:rsid w:val="65752EA8"/>
    <w:rsid w:val="665C3701"/>
    <w:rsid w:val="6739723C"/>
    <w:rsid w:val="685F0D3A"/>
    <w:rsid w:val="686B501A"/>
    <w:rsid w:val="68BC432A"/>
    <w:rsid w:val="69C726E9"/>
    <w:rsid w:val="6B1D37DE"/>
    <w:rsid w:val="6BA01150"/>
    <w:rsid w:val="6C333300"/>
    <w:rsid w:val="6C86043C"/>
    <w:rsid w:val="6D484382"/>
    <w:rsid w:val="6DA747E2"/>
    <w:rsid w:val="6E67083E"/>
    <w:rsid w:val="6ECF711C"/>
    <w:rsid w:val="71B04B95"/>
    <w:rsid w:val="72C63C21"/>
    <w:rsid w:val="7360486D"/>
    <w:rsid w:val="73703801"/>
    <w:rsid w:val="74766A4B"/>
    <w:rsid w:val="75386BDC"/>
    <w:rsid w:val="753D428C"/>
    <w:rsid w:val="75877F8D"/>
    <w:rsid w:val="76F506CE"/>
    <w:rsid w:val="7702256F"/>
    <w:rsid w:val="775324BC"/>
    <w:rsid w:val="77BA4245"/>
    <w:rsid w:val="77C7176C"/>
    <w:rsid w:val="788E1009"/>
    <w:rsid w:val="794D35E1"/>
    <w:rsid w:val="7A7B1891"/>
    <w:rsid w:val="7A98709D"/>
    <w:rsid w:val="7B4763E6"/>
    <w:rsid w:val="7C1D2091"/>
    <w:rsid w:val="7C3334ED"/>
    <w:rsid w:val="7F217CFA"/>
    <w:rsid w:val="7F9D29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2017-05-17T01:26:00Z</dcterms:created>
  <dc:creator>lenovo</dc:creator>
  <cp:lastModifiedBy>Administrator</cp:lastModifiedBy>
  <cp:lastPrinted>2018-11-16T01:17:00Z</cp:lastPrinted>
  <dcterms:modified xsi:type="dcterms:W3CDTF">2018-11-16T03:51:37Z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