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鄂州市2021年8月份养老、工伤保险收入、支出情况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截至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2021年8月，全市累计参加养老保险人数808550人，其中参加企业职工养老保险307584人，参加“老机保”1998人，参加“新机保”31657人，参加城乡居民养老保险467311人；全市累计参加工伤保险人数136509人。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2021年8月，全市养老保险基金收入356265万元，其中企业职工养老保险基金收入269155万元，“老机保”基金收入3685万元，“新机保”基金收入58960万元，城乡居民养老保险基金收入24465万元；全市工伤保险基金收入2373万元。全市养老保险基金支出396457万元，其中企业职工养老保险基金支出321625万元，“老机保”基金支出86万元，“新机保”基金支出60368万元，城乡居民养老保险基金支出14378万元；全市工伤保险基金支出1836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10A64E3F"/>
    <w:rsid w:val="15D21A07"/>
    <w:rsid w:val="34176465"/>
    <w:rsid w:val="55D1584F"/>
    <w:rsid w:val="5F687176"/>
    <w:rsid w:val="6A3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8A7ED3F93349410197165F04894FFE62</vt:lpwstr>
  </property>
</Properties>
</file>