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鄂州市2021年8月份养老、工伤保险收入、支出情况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截至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2021年8月，全市累计参加养老保险人数808550人，其中参加企业职工养老保险307584人，参加“老机保”1998人，参加“新机保”31657人，参加城乡居民养老保险467311人；全市累计参加工伤保险人数136509人。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8月，全市养老保险基金收入356265万元，其中企业职工养老保险基金收入269155万元，“老机保”基金收入3685万元，“新机保”基金收入58960万元，城乡居民养老保险基金收入24465万元；全市工伤保险基金收入2373万元。全市养老保险基金支出396457万元，其中企业职工养老保险基金支出321625万元，“老机保”基金支出86万元，“新机保”基金支出60368万元，城乡居民养老保险基金支出14378万元；全市工伤保险基金支出1836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10A64E3F"/>
    <w:rsid w:val="15D21A07"/>
    <w:rsid w:val="34176465"/>
    <w:rsid w:val="55D1584F"/>
    <w:rsid w:val="5F687176"/>
    <w:rsid w:val="6A3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8A7ED3F93349410197165F04894FFE62</vt:lpwstr>
  </property>
</Properties>
</file>