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28"/>
        </w:rPr>
      </w:pPr>
      <w:bookmarkStart w:id="0" w:name="_GoBack"/>
      <w:r>
        <w:rPr>
          <w:rFonts w:hint="eastAsia"/>
          <w:b/>
          <w:bCs/>
          <w:sz w:val="28"/>
          <w:szCs w:val="28"/>
        </w:rPr>
        <w:t>一季度全市对外贸易、利用外资实现“开门红”</w:t>
      </w:r>
    </w:p>
    <w:bookmarkEnd w:id="0"/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　　一季度，全市实现外贸进出口9.1亿元，同比增长70.5%，增幅高于全省56.8个百分点，居全省第3位，其中：出口5亿元，同比增长80.9%，增幅高于全省54.6个百分点，居全省第1位；进口4.1亿元，同比增长59.0%，增幅高于全省63.2个百分点，居全省第2位。全市实际利用外资完成6164万美元，同比增长35.1%，实际利用外资规模居全省第3位，全市对外贸易、利用外资实现快速增长、质量提升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  今年以来，市商务局深入贯彻落实市委市政府决策部署，大力实施“外贸出口振兴”和“利用外资增量提质”行动，扎实推动外贸外资创新发展，取得了明显成效。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I3ODdjMzJhOTA1OTgzYTA5NDQ0MTNmNTY4ZGEyMDYifQ=="/>
  </w:docVars>
  <w:rsids>
    <w:rsidRoot w:val="63E60CFB"/>
    <w:rsid w:val="63E60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275</Words>
  <Characters>316</Characters>
  <Lines>0</Lines>
  <Paragraphs>0</Paragraphs>
  <TotalTime>0</TotalTime>
  <ScaleCrop>false</ScaleCrop>
  <LinksUpToDate>false</LinksUpToDate>
  <CharactersWithSpaces>323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2022-08-30T03:40:00Z</dcterms:created>
  <dc:creator>430小中中</dc:creator>
  <cp:lastModifiedBy>430小中中</cp:lastModifiedBy>
  <dcterms:modified xsi:type="dcterms:W3CDTF">2022-08-30T03:41:16Z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29F62470CD534F3EAA31C299D46A8C31</vt:lpwstr>
  </property>
</Properties>
</file>